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164C8" w:rsidRPr="00CA4CF9" w:rsidTr="005F4C08">
        <w:trPr>
          <w:trHeight w:hRule="exact" w:val="1418"/>
        </w:trPr>
        <w:tc>
          <w:tcPr>
            <w:tcW w:w="6804" w:type="dxa"/>
            <w:shd w:val="clear" w:color="auto" w:fill="auto"/>
            <w:vAlign w:val="center"/>
          </w:tcPr>
          <w:p w:rsidR="00B13D6F" w:rsidRPr="00CA4CF9" w:rsidRDefault="00772EA1" w:rsidP="005F4C08">
            <w:pPr>
              <w:pStyle w:val="EPName"/>
            </w:pPr>
            <w:r w:rsidRPr="00CA4CF9">
              <w:t>Europa-Parlamentet</w:t>
            </w:r>
          </w:p>
          <w:p w:rsidR="00B13D6F" w:rsidRPr="00CA4CF9" w:rsidRDefault="00772EA1" w:rsidP="00886DE8">
            <w:pPr>
              <w:pStyle w:val="EPTerm"/>
            </w:pPr>
            <w:r w:rsidRPr="00CA4CF9">
              <w:t>2019-2024</w:t>
            </w:r>
          </w:p>
        </w:tc>
        <w:tc>
          <w:tcPr>
            <w:tcW w:w="2268" w:type="dxa"/>
            <w:shd w:val="clear" w:color="auto" w:fill="auto"/>
          </w:tcPr>
          <w:p w:rsidR="00B13D6F" w:rsidRPr="00CA4CF9" w:rsidRDefault="00772EA1" w:rsidP="005F4C08">
            <w:pPr>
              <w:pStyle w:val="EPLogo"/>
            </w:pPr>
            <w:r w:rsidRPr="00CA4CF9">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CA4CF9" w:rsidRDefault="00461601" w:rsidP="00461601">
      <w:pPr>
        <w:pStyle w:val="LineTop"/>
      </w:pPr>
    </w:p>
    <w:p w:rsidR="00461601" w:rsidRPr="00CA4CF9" w:rsidRDefault="00772EA1" w:rsidP="00461601">
      <w:pPr>
        <w:pStyle w:val="EPBody"/>
      </w:pPr>
      <w:r w:rsidRPr="00CA4CF9">
        <w:rPr>
          <w:rStyle w:val="HideTWBExt"/>
          <w:noProof w:val="0"/>
        </w:rPr>
        <w:t>&lt;</w:t>
      </w:r>
      <w:r w:rsidRPr="00CA4CF9">
        <w:rPr>
          <w:rStyle w:val="HideTWBExt"/>
          <w:i w:val="0"/>
          <w:noProof w:val="0"/>
        </w:rPr>
        <w:t>Commission</w:t>
      </w:r>
      <w:r w:rsidRPr="00CA4CF9">
        <w:rPr>
          <w:rStyle w:val="HideTWBExt"/>
          <w:noProof w:val="0"/>
        </w:rPr>
        <w:t>&gt;</w:t>
      </w:r>
      <w:r w:rsidRPr="00CA4CF9">
        <w:rPr>
          <w:rStyle w:val="HideTWBInt"/>
          <w:color w:val="auto"/>
        </w:rPr>
        <w:t>{EMPL}</w:t>
      </w:r>
      <w:r w:rsidRPr="00CA4CF9">
        <w:t>Udvalget om Beskæftigelse og Sociale Anliggender</w:t>
      </w:r>
      <w:r w:rsidRPr="00CA4CF9">
        <w:rPr>
          <w:rStyle w:val="HideTWBExt"/>
          <w:noProof w:val="0"/>
        </w:rPr>
        <w:t>&lt;/</w:t>
      </w:r>
      <w:r w:rsidRPr="00CA4CF9">
        <w:rPr>
          <w:rStyle w:val="HideTWBExt"/>
          <w:i w:val="0"/>
          <w:noProof w:val="0"/>
        </w:rPr>
        <w:t>Commission</w:t>
      </w:r>
      <w:r w:rsidRPr="00CA4CF9">
        <w:rPr>
          <w:rStyle w:val="HideTWBExt"/>
          <w:noProof w:val="0"/>
        </w:rPr>
        <w:t>&gt;</w:t>
      </w:r>
    </w:p>
    <w:p w:rsidR="00461601" w:rsidRPr="00CA4CF9" w:rsidRDefault="00461601" w:rsidP="00461601">
      <w:pPr>
        <w:pStyle w:val="LineBottom"/>
      </w:pPr>
    </w:p>
    <w:p w:rsidR="00793EA9" w:rsidRPr="00CA4CF9" w:rsidRDefault="00772EA1">
      <w:pPr>
        <w:pStyle w:val="CoverReference"/>
      </w:pPr>
      <w:r w:rsidRPr="00CA4CF9">
        <w:rPr>
          <w:rStyle w:val="HideTWBExt"/>
          <w:b w:val="0"/>
          <w:noProof w:val="0"/>
        </w:rPr>
        <w:t>&lt;RefProc&gt;</w:t>
      </w:r>
      <w:r w:rsidRPr="00CA4CF9">
        <w:t>2023/0033</w:t>
      </w:r>
      <w:r w:rsidRPr="00CA4CF9">
        <w:rPr>
          <w:rStyle w:val="HideTWBExt"/>
          <w:b w:val="0"/>
          <w:noProof w:val="0"/>
        </w:rPr>
        <w:t>&lt;/RefProc&gt;&lt;RefTypeProc&gt;</w:t>
      </w:r>
      <w:r w:rsidRPr="00CA4CF9">
        <w:t>(COD)</w:t>
      </w:r>
      <w:r w:rsidRPr="00CA4CF9">
        <w:rPr>
          <w:rStyle w:val="HideTWBExt"/>
          <w:b w:val="0"/>
          <w:noProof w:val="0"/>
        </w:rPr>
        <w:t>&lt;/RefTypeProc&gt;</w:t>
      </w:r>
    </w:p>
    <w:p w:rsidR="00793EA9" w:rsidRPr="00CA4CF9" w:rsidRDefault="00772EA1">
      <w:pPr>
        <w:pStyle w:val="CoverDate"/>
      </w:pPr>
      <w:r w:rsidRPr="00CA4CF9">
        <w:rPr>
          <w:rStyle w:val="HideTWBExt"/>
          <w:noProof w:val="0"/>
        </w:rPr>
        <w:t>&lt;Date&gt;</w:t>
      </w:r>
      <w:r w:rsidRPr="00CA4CF9">
        <w:rPr>
          <w:rStyle w:val="HideTWBInt"/>
          <w:color w:val="auto"/>
        </w:rPr>
        <w:t>{08/05/2023}</w:t>
      </w:r>
      <w:r w:rsidRPr="00CA4CF9">
        <w:t>8.5.2023</w:t>
      </w:r>
      <w:r w:rsidRPr="00CA4CF9">
        <w:rPr>
          <w:rStyle w:val="HideTWBExt"/>
          <w:noProof w:val="0"/>
        </w:rPr>
        <w:t>&lt;/Date&gt;</w:t>
      </w:r>
    </w:p>
    <w:p w:rsidR="00793EA9" w:rsidRPr="00CA4CF9" w:rsidRDefault="00772EA1">
      <w:pPr>
        <w:pStyle w:val="CoverDocType"/>
      </w:pPr>
      <w:r w:rsidRPr="00CA4CF9">
        <w:rPr>
          <w:rStyle w:val="HideTWBExt"/>
          <w:b w:val="0"/>
          <w:noProof w:val="0"/>
        </w:rPr>
        <w:t>&lt;RefProcLect&gt;</w:t>
      </w:r>
      <w:r w:rsidRPr="00CA4CF9">
        <w:t>***I</w:t>
      </w:r>
      <w:r w:rsidRPr="00CA4CF9">
        <w:rPr>
          <w:rStyle w:val="HideTWBExt"/>
          <w:b w:val="0"/>
          <w:noProof w:val="0"/>
        </w:rPr>
        <w:t>&lt;/RefProcLect&gt;</w:t>
      </w:r>
    </w:p>
    <w:p w:rsidR="00793EA9" w:rsidRPr="00CA4CF9" w:rsidRDefault="00772EA1">
      <w:pPr>
        <w:pStyle w:val="CoverDocType24a"/>
      </w:pPr>
      <w:r w:rsidRPr="00CA4CF9">
        <w:rPr>
          <w:rStyle w:val="HideTWBExt"/>
          <w:b w:val="0"/>
          <w:noProof w:val="0"/>
        </w:rPr>
        <w:t>&lt;TitreType&gt;</w:t>
      </w:r>
      <w:r w:rsidRPr="00CA4CF9">
        <w:t>UDKAST TIL BETÆNKNING</w:t>
      </w:r>
      <w:r w:rsidRPr="00CA4CF9">
        <w:rPr>
          <w:rStyle w:val="HideTWBExt"/>
          <w:b w:val="0"/>
          <w:noProof w:val="0"/>
        </w:rPr>
        <w:t>&lt;/TitreType&gt;</w:t>
      </w:r>
    </w:p>
    <w:p w:rsidR="00793EA9" w:rsidRPr="00CA4CF9" w:rsidRDefault="00772EA1">
      <w:pPr>
        <w:pStyle w:val="CoverNormal"/>
      </w:pPr>
      <w:r w:rsidRPr="00CA4CF9">
        <w:rPr>
          <w:rStyle w:val="HideTWBExt"/>
          <w:noProof w:val="0"/>
        </w:rPr>
        <w:t>&lt;Titre&gt;</w:t>
      </w:r>
      <w:r w:rsidRPr="00CA4CF9">
        <w:t>om forslag til Europa-Parlamentets og Rådets direktiv om ændring af Rådets direktiv 98/24/EF og Europa-Parlamentets og Rådets direktiv 2004/37/EF for så vidt angår grænseværdierne for bly og dets uorganiske forbinde</w:t>
      </w:r>
      <w:r w:rsidRPr="00CA4CF9">
        <w:t>lser og diisocyanater</w:t>
      </w:r>
      <w:r w:rsidRPr="00CA4CF9">
        <w:rPr>
          <w:rStyle w:val="HideTWBExt"/>
          <w:noProof w:val="0"/>
        </w:rPr>
        <w:t>&lt;/Titre&gt;</w:t>
      </w:r>
    </w:p>
    <w:p w:rsidR="00793EA9" w:rsidRPr="00CA4CF9" w:rsidRDefault="00772EA1">
      <w:pPr>
        <w:pStyle w:val="CoverNormal24a"/>
      </w:pPr>
      <w:r w:rsidRPr="00CA4CF9">
        <w:rPr>
          <w:rStyle w:val="HideTWBExt"/>
          <w:noProof w:val="0"/>
        </w:rPr>
        <w:t>&lt;DocRef&gt;</w:t>
      </w:r>
      <w:r w:rsidRPr="00CA4CF9">
        <w:t>(COM(2023)0071 – C9</w:t>
      </w:r>
      <w:r w:rsidRPr="00CA4CF9">
        <w:noBreakHyphen/>
        <w:t>0022/2023 – 2023/0033(COD))</w:t>
      </w:r>
      <w:r w:rsidRPr="00CA4CF9">
        <w:rPr>
          <w:rStyle w:val="HideTWBExt"/>
          <w:noProof w:val="0"/>
        </w:rPr>
        <w:t>&lt;/DocRef&gt;</w:t>
      </w:r>
    </w:p>
    <w:p w:rsidR="00793EA9" w:rsidRPr="00CA4CF9" w:rsidRDefault="00772EA1">
      <w:pPr>
        <w:pStyle w:val="CoverNormal24a"/>
      </w:pPr>
      <w:r w:rsidRPr="00CA4CF9">
        <w:rPr>
          <w:rStyle w:val="HideTWBExt"/>
          <w:noProof w:val="0"/>
        </w:rPr>
        <w:t>&lt;Commission&gt;</w:t>
      </w:r>
      <w:r w:rsidRPr="00CA4CF9">
        <w:rPr>
          <w:rStyle w:val="HideTWBInt"/>
          <w:color w:val="auto"/>
        </w:rPr>
        <w:t>{EMPL}</w:t>
      </w:r>
      <w:r w:rsidRPr="00CA4CF9">
        <w:t>Udvalget om Beskæftigelse og Sociale Anliggender</w:t>
      </w:r>
      <w:r w:rsidRPr="00CA4CF9">
        <w:rPr>
          <w:rStyle w:val="HideTWBExt"/>
          <w:noProof w:val="0"/>
        </w:rPr>
        <w:t>&lt;/Commission&gt;</w:t>
      </w:r>
    </w:p>
    <w:p w:rsidR="00793EA9" w:rsidRPr="00CA4CF9" w:rsidRDefault="00772EA1">
      <w:pPr>
        <w:pStyle w:val="CoverNormal24a"/>
      </w:pPr>
      <w:r w:rsidRPr="00CA4CF9">
        <w:t xml:space="preserve">Ordfører: </w:t>
      </w:r>
      <w:r w:rsidRPr="00CA4CF9">
        <w:rPr>
          <w:rStyle w:val="HideTWBExt"/>
          <w:noProof w:val="0"/>
        </w:rPr>
        <w:t>&lt;Depute&gt;</w:t>
      </w:r>
      <w:r w:rsidRPr="00CA4CF9">
        <w:t>Nikolaj Villumsen</w:t>
      </w:r>
      <w:r w:rsidRPr="00CA4CF9">
        <w:rPr>
          <w:rStyle w:val="HideTWBExt"/>
          <w:noProof w:val="0"/>
        </w:rPr>
        <w:t>&lt;/Depute&gt;</w:t>
      </w:r>
    </w:p>
    <w:p w:rsidR="001C5B44" w:rsidRPr="00CA4CF9" w:rsidRDefault="001C5B44" w:rsidP="001C5B44">
      <w:pPr>
        <w:pStyle w:val="CoverNormal"/>
      </w:pPr>
    </w:p>
    <w:p w:rsidR="00886DE8" w:rsidRPr="00CA4CF9" w:rsidRDefault="00772EA1" w:rsidP="005F4C08">
      <w:r w:rsidRPr="00CA4CF9">
        <w:br w:type="page"/>
      </w:r>
      <w:fldSimple w:instr=" TITLE  \* MERGEFORMAT ">
        <w:r>
          <w:t>PR_COD_1amCom</w:t>
        </w:r>
      </w:fldSimple>
    </w:p>
    <w:p w:rsidR="00886DE8" w:rsidRPr="00CA4CF9" w:rsidRDefault="00886DE8" w:rsidP="005F4C08"/>
    <w:p w:rsidR="00886DE8" w:rsidRPr="00CA4CF9" w:rsidRDefault="00886DE8" w:rsidP="005F4C0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164C8" w:rsidRPr="00CA4CF9">
        <w:tc>
          <w:tcPr>
            <w:tcW w:w="5811" w:type="dxa"/>
          </w:tcPr>
          <w:p w:rsidR="00886DE8" w:rsidRPr="00CA4CF9" w:rsidRDefault="00772EA1" w:rsidP="005F4C08">
            <w:pPr>
              <w:pStyle w:val="Lgendetitre"/>
            </w:pPr>
            <w:r w:rsidRPr="00CA4CF9">
              <w:t>Tegnforklaring</w:t>
            </w:r>
          </w:p>
        </w:tc>
      </w:tr>
      <w:tr w:rsidR="009164C8" w:rsidRPr="00CA4CF9" w:rsidTr="005F4C08">
        <w:trPr>
          <w:cantSplit/>
          <w:trHeight w:val="1807"/>
        </w:trPr>
        <w:tc>
          <w:tcPr>
            <w:tcW w:w="5811" w:type="dxa"/>
            <w:tcBorders>
              <w:bottom w:val="single" w:sz="4" w:space="0" w:color="auto"/>
            </w:tcBorders>
          </w:tcPr>
          <w:p w:rsidR="00886DE8" w:rsidRPr="00CA4CF9" w:rsidRDefault="00772EA1" w:rsidP="005F4C08">
            <w:pPr>
              <w:pStyle w:val="Lgendesigne"/>
            </w:pPr>
            <w:r w:rsidRPr="00CA4CF9">
              <w:tab/>
              <w:t>*</w:t>
            </w:r>
            <w:r w:rsidRPr="00CA4CF9">
              <w:tab/>
              <w:t>Høringsprocedure</w:t>
            </w:r>
          </w:p>
          <w:p w:rsidR="00886DE8" w:rsidRPr="00CA4CF9" w:rsidRDefault="00772EA1" w:rsidP="005F4C08">
            <w:pPr>
              <w:pStyle w:val="Lgendesigne"/>
            </w:pPr>
            <w:r w:rsidRPr="00CA4CF9">
              <w:tab/>
              <w:t>***</w:t>
            </w:r>
            <w:r w:rsidRPr="00CA4CF9">
              <w:tab/>
              <w:t>Godkendelsesprocedure</w:t>
            </w:r>
          </w:p>
          <w:p w:rsidR="00886DE8" w:rsidRPr="00CA4CF9" w:rsidRDefault="00772EA1" w:rsidP="005F4C08">
            <w:pPr>
              <w:pStyle w:val="Lgendesigne"/>
            </w:pPr>
            <w:r w:rsidRPr="00CA4CF9">
              <w:tab/>
              <w:t>***I</w:t>
            </w:r>
            <w:r w:rsidRPr="00CA4CF9">
              <w:tab/>
              <w:t>Almindelig lovgivningsprocedure (førstebehandling)</w:t>
            </w:r>
          </w:p>
          <w:p w:rsidR="00886DE8" w:rsidRPr="00CA4CF9" w:rsidRDefault="00772EA1" w:rsidP="005F4C08">
            <w:pPr>
              <w:pStyle w:val="Lgendesigne"/>
            </w:pPr>
            <w:r w:rsidRPr="00CA4CF9">
              <w:tab/>
              <w:t>***II</w:t>
            </w:r>
            <w:r w:rsidRPr="00CA4CF9">
              <w:tab/>
              <w:t>Almindelig lovgivningsprocedure (andenbehandling)</w:t>
            </w:r>
          </w:p>
          <w:p w:rsidR="00886DE8" w:rsidRPr="00CA4CF9" w:rsidRDefault="00772EA1" w:rsidP="005F4C08">
            <w:pPr>
              <w:pStyle w:val="Lgendesigne"/>
            </w:pPr>
            <w:r w:rsidRPr="00CA4CF9">
              <w:tab/>
              <w:t>***III</w:t>
            </w:r>
            <w:r w:rsidRPr="00CA4CF9">
              <w:tab/>
              <w:t>Almindelig lovgivningsprocedure (tredjebehandling)</w:t>
            </w:r>
          </w:p>
          <w:p w:rsidR="00886DE8" w:rsidRPr="00CA4CF9" w:rsidRDefault="00886DE8" w:rsidP="005F4C08">
            <w:pPr>
              <w:pStyle w:val="Lgendestandard"/>
            </w:pPr>
          </w:p>
          <w:p w:rsidR="00886DE8" w:rsidRPr="00CA4CF9" w:rsidRDefault="00772EA1" w:rsidP="005F4C08">
            <w:pPr>
              <w:pStyle w:val="Lgendestandard"/>
            </w:pPr>
            <w:r w:rsidRPr="00CA4CF9">
              <w:t>(Proceduren afhænger af, hvilket retsgrundlag der er valgt i udkastet til retsakt)</w:t>
            </w:r>
          </w:p>
          <w:p w:rsidR="00886DE8" w:rsidRPr="00CA4CF9" w:rsidRDefault="00886DE8" w:rsidP="005F4C08">
            <w:pPr>
              <w:pStyle w:val="Lgendestandard"/>
            </w:pPr>
          </w:p>
        </w:tc>
      </w:tr>
    </w:tbl>
    <w:p w:rsidR="00886DE8" w:rsidRPr="00CA4CF9" w:rsidRDefault="00886DE8" w:rsidP="005F4C08"/>
    <w:p w:rsidR="00886DE8" w:rsidRPr="00CA4CF9" w:rsidRDefault="00886DE8" w:rsidP="005F4C08"/>
    <w:p w:rsidR="00886DE8" w:rsidRPr="00CA4CF9" w:rsidRDefault="00886DE8" w:rsidP="005F4C08"/>
    <w:p w:rsidR="00886DE8" w:rsidRPr="00CA4CF9" w:rsidRDefault="00886DE8" w:rsidP="005F4C0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164C8" w:rsidRPr="00CA4CF9">
        <w:tc>
          <w:tcPr>
            <w:tcW w:w="5811" w:type="dxa"/>
          </w:tcPr>
          <w:p w:rsidR="00886DE8" w:rsidRPr="00CA4CF9" w:rsidRDefault="00772EA1" w:rsidP="005F4C08">
            <w:pPr>
              <w:pStyle w:val="Lgendetitre"/>
            </w:pPr>
            <w:r w:rsidRPr="00CA4CF9">
              <w:t>Ændringsforslag til et udkast til retsakt</w:t>
            </w:r>
          </w:p>
        </w:tc>
      </w:tr>
      <w:tr w:rsidR="009164C8" w:rsidRPr="00CA4CF9" w:rsidTr="005F4C08">
        <w:trPr>
          <w:trHeight w:val="4496"/>
        </w:trPr>
        <w:tc>
          <w:tcPr>
            <w:tcW w:w="5811" w:type="dxa"/>
          </w:tcPr>
          <w:p w:rsidR="00886DE8" w:rsidRPr="00CA4CF9" w:rsidRDefault="00772EA1" w:rsidP="005F4C08">
            <w:pPr>
              <w:pStyle w:val="Lgendestandard"/>
              <w:rPr>
                <w:szCs w:val="24"/>
              </w:rPr>
            </w:pPr>
            <w:r w:rsidRPr="00CA4CF9">
              <w:rPr>
                <w:b/>
              </w:rPr>
              <w:t>Ændringsforslag fra Parlamentet opstillet i to kolonner</w:t>
            </w:r>
          </w:p>
          <w:p w:rsidR="00886DE8" w:rsidRPr="00CA4CF9" w:rsidRDefault="00886DE8" w:rsidP="005F4C08">
            <w:pPr>
              <w:pStyle w:val="Lgendestandard"/>
              <w:rPr>
                <w:szCs w:val="24"/>
              </w:rPr>
            </w:pPr>
          </w:p>
          <w:p w:rsidR="00886DE8" w:rsidRPr="00CA4CF9" w:rsidRDefault="00772EA1" w:rsidP="005F4C08">
            <w:pPr>
              <w:pStyle w:val="Lgendestandard"/>
              <w:rPr>
                <w:szCs w:val="24"/>
              </w:rPr>
            </w:pPr>
            <w:r w:rsidRPr="00CA4CF9">
              <w:t xml:space="preserve">Tekst, der udgår, er markeret med fede typer og kursiv i venstre </w:t>
            </w:r>
            <w:r w:rsidRPr="00CA4CF9">
              <w:t>kolonne. Tekst, der udskiftes, er markeret med fede typer og kursiv i begge kolonner. Ny tekst er markeret med fede typer og kursiv i højre kolonne.</w:t>
            </w:r>
          </w:p>
          <w:p w:rsidR="00886DE8" w:rsidRPr="00CA4CF9" w:rsidRDefault="00886DE8" w:rsidP="005F4C08">
            <w:pPr>
              <w:pStyle w:val="Lgendestandard"/>
              <w:rPr>
                <w:szCs w:val="24"/>
              </w:rPr>
            </w:pPr>
          </w:p>
          <w:p w:rsidR="00886DE8" w:rsidRPr="00CA4CF9" w:rsidRDefault="00772EA1" w:rsidP="005F4C08">
            <w:pPr>
              <w:pStyle w:val="Lgendestandard"/>
              <w:rPr>
                <w:szCs w:val="24"/>
              </w:rPr>
            </w:pPr>
            <w:r w:rsidRPr="00CA4CF9">
              <w:t xml:space="preserve">Den første og den anden linje i informationsblokken til hvert ændringsforslag angiver den relevante </w:t>
            </w:r>
            <w:r w:rsidRPr="00CA4CF9">
              <w:t>passage i det pågældende udkast til retsakt. Hvis et ændringsforslag angår en eksisterende retsakt, som udkastet til retsakt har til formål at ændre, indeholder informationsblokken tillige en tredje og en fjerde linje, hvori det er anført, hvilken eksister</w:t>
            </w:r>
            <w:r w:rsidRPr="00CA4CF9">
              <w:t>ende retsakt og hvilken bestemmelse heri der er berørt.</w:t>
            </w:r>
          </w:p>
          <w:p w:rsidR="00886DE8" w:rsidRPr="00CA4CF9" w:rsidRDefault="00886DE8" w:rsidP="005F4C08">
            <w:pPr>
              <w:pStyle w:val="Lgendestandard"/>
              <w:rPr>
                <w:szCs w:val="24"/>
              </w:rPr>
            </w:pPr>
          </w:p>
          <w:p w:rsidR="00886DE8" w:rsidRPr="00CA4CF9" w:rsidRDefault="00772EA1" w:rsidP="005F4C08">
            <w:pPr>
              <w:pStyle w:val="Lgendestandard"/>
              <w:rPr>
                <w:b/>
                <w:szCs w:val="24"/>
              </w:rPr>
            </w:pPr>
            <w:r w:rsidRPr="00CA4CF9">
              <w:rPr>
                <w:b/>
              </w:rPr>
              <w:t>Ændringsforslag fra Parlamentet i form af en konsolideret tekst</w:t>
            </w:r>
          </w:p>
          <w:p w:rsidR="00886DE8" w:rsidRPr="00CA4CF9" w:rsidRDefault="00886DE8" w:rsidP="005F4C08">
            <w:pPr>
              <w:pStyle w:val="Lgendestandard"/>
              <w:rPr>
                <w:szCs w:val="24"/>
              </w:rPr>
            </w:pPr>
          </w:p>
          <w:p w:rsidR="00886DE8" w:rsidRPr="00CA4CF9" w:rsidRDefault="00772EA1" w:rsidP="005F4C08">
            <w:pPr>
              <w:pStyle w:val="Lgendestandard"/>
              <w:rPr>
                <w:szCs w:val="24"/>
              </w:rPr>
            </w:pPr>
            <w:r w:rsidRPr="00CA4CF9">
              <w:t>Ny tekst er markeret med fede typer og kursiv. Tekst, som er bortfaldet, markeres med symbolet ▌eller med overstregning. Ved udskiftni</w:t>
            </w:r>
            <w:r w:rsidRPr="00CA4CF9">
              <w:t xml:space="preserve">nger markeres den nye tekst med fede typer og kursiv, og den udskiftede tekst slettes eller overstreges. </w:t>
            </w:r>
          </w:p>
          <w:p w:rsidR="00886DE8" w:rsidRPr="00CA4CF9" w:rsidRDefault="00772EA1" w:rsidP="005F4C08">
            <w:pPr>
              <w:pStyle w:val="Lgendestandard"/>
            </w:pPr>
            <w:r w:rsidRPr="00CA4CF9">
              <w:t>Som en undtagelse bliver rent tekniske justeringer, der er foretaget af de berørte tjenestegrene med henblik på udarbejdelsen af den endelige tekst, i</w:t>
            </w:r>
            <w:r w:rsidRPr="00CA4CF9">
              <w:t>kke markeret.</w:t>
            </w:r>
          </w:p>
          <w:p w:rsidR="00886DE8" w:rsidRPr="00CA4CF9" w:rsidRDefault="00886DE8" w:rsidP="005F4C08">
            <w:pPr>
              <w:pStyle w:val="Lgendestandard"/>
            </w:pPr>
          </w:p>
        </w:tc>
      </w:tr>
    </w:tbl>
    <w:p w:rsidR="00886DE8" w:rsidRPr="00CA4CF9" w:rsidRDefault="00886DE8" w:rsidP="005F4C08"/>
    <w:p w:rsidR="00793EA9" w:rsidRPr="00CA4CF9" w:rsidRDefault="00793EA9" w:rsidP="00012351">
      <w:pPr>
        <w:widowControl/>
        <w:tabs>
          <w:tab w:val="center" w:pos="4677"/>
        </w:tabs>
      </w:pPr>
    </w:p>
    <w:p w:rsidR="00793EA9" w:rsidRPr="00CA4CF9" w:rsidRDefault="00772EA1">
      <w:pPr>
        <w:pStyle w:val="TOCHeading"/>
      </w:pPr>
      <w:r w:rsidRPr="00CA4CF9">
        <w:br w:type="page"/>
        <w:t>INDHOLD</w:t>
      </w:r>
    </w:p>
    <w:p w:rsidR="00793EA9" w:rsidRPr="00CA4CF9" w:rsidRDefault="00772EA1">
      <w:pPr>
        <w:pStyle w:val="TOCPage"/>
      </w:pPr>
      <w:r w:rsidRPr="00CA4CF9">
        <w:t>Side</w:t>
      </w:r>
    </w:p>
    <w:p w:rsidR="00772EA1" w:rsidRDefault="00772EA1">
      <w:pPr>
        <w:pStyle w:val="TOC1"/>
        <w:tabs>
          <w:tab w:val="right" w:leader="dot" w:pos="9060"/>
        </w:tabs>
        <w:rPr>
          <w:rFonts w:asciiTheme="minorHAnsi" w:eastAsiaTheme="minorEastAsia" w:hAnsiTheme="minorHAnsi" w:cstheme="minorBidi"/>
          <w:noProof/>
          <w:sz w:val="22"/>
          <w:szCs w:val="22"/>
          <w:lang w:val="en-GB"/>
        </w:rPr>
      </w:pPr>
      <w:r w:rsidRPr="00CA4CF9">
        <w:rPr>
          <w:b/>
        </w:rPr>
        <w:fldChar w:fldCharType="begin"/>
      </w:r>
      <w:r w:rsidRPr="00CA4CF9">
        <w:rPr>
          <w:b/>
        </w:rPr>
        <w:instrText xml:space="preserve"> TOC \t "PageHeading</w:instrText>
      </w:r>
      <w:r w:rsidR="00CA4CF9" w:rsidRPr="00CA4CF9">
        <w:rPr>
          <w:b/>
        </w:rPr>
        <w:instrText>;</w:instrText>
      </w:r>
      <w:r w:rsidRPr="00CA4CF9">
        <w:rPr>
          <w:b/>
        </w:rPr>
        <w:instrText xml:space="preserve">1" </w:instrText>
      </w:r>
      <w:r w:rsidRPr="00CA4CF9">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_Toc135813425 \h </w:instrText>
      </w:r>
      <w:r>
        <w:rPr>
          <w:noProof/>
        </w:rPr>
      </w:r>
      <w:r>
        <w:rPr>
          <w:noProof/>
        </w:rPr>
        <w:fldChar w:fldCharType="separate"/>
      </w:r>
      <w:r>
        <w:rPr>
          <w:noProof/>
        </w:rPr>
        <w:t>5</w:t>
      </w:r>
      <w:r>
        <w:rPr>
          <w:noProof/>
        </w:rPr>
        <w:fldChar w:fldCharType="end"/>
      </w:r>
    </w:p>
    <w:p w:rsidR="00772EA1" w:rsidRDefault="00772EA1">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_Toc135813426 \h </w:instrText>
      </w:r>
      <w:r>
        <w:rPr>
          <w:noProof/>
        </w:rPr>
      </w:r>
      <w:r>
        <w:rPr>
          <w:noProof/>
        </w:rPr>
        <w:fldChar w:fldCharType="separate"/>
      </w:r>
      <w:r>
        <w:rPr>
          <w:noProof/>
        </w:rPr>
        <w:t>32</w:t>
      </w:r>
      <w:r>
        <w:rPr>
          <w:noProof/>
        </w:rPr>
        <w:fldChar w:fldCharType="end"/>
      </w:r>
    </w:p>
    <w:p w:rsidR="00772EA1" w:rsidRDefault="00772EA1">
      <w:pPr>
        <w:pStyle w:val="TOC1"/>
        <w:tabs>
          <w:tab w:val="right" w:leader="dot" w:pos="9060"/>
        </w:tabs>
        <w:rPr>
          <w:rFonts w:asciiTheme="minorHAnsi" w:eastAsiaTheme="minorEastAsia" w:hAnsiTheme="minorHAnsi" w:cstheme="minorBidi"/>
          <w:noProof/>
          <w:sz w:val="22"/>
          <w:szCs w:val="22"/>
          <w:lang w:val="en-GB"/>
        </w:rPr>
      </w:pPr>
      <w:r>
        <w:rPr>
          <w:noProof/>
        </w:rPr>
        <w:t>BILAG: LISTE OVER ENHEDER OG/ELLER PERSONER, SOM ORDFØREREN HAR MODTAGET INPUT FRA</w:t>
      </w:r>
      <w:r>
        <w:rPr>
          <w:noProof/>
        </w:rPr>
        <w:tab/>
      </w:r>
      <w:r>
        <w:rPr>
          <w:noProof/>
        </w:rPr>
        <w:fldChar w:fldCharType="begin"/>
      </w:r>
      <w:r>
        <w:rPr>
          <w:noProof/>
        </w:rPr>
        <w:instrText xml:space="preserve"> PAGEREF _Toc135813427 \h </w:instrText>
      </w:r>
      <w:r>
        <w:rPr>
          <w:noProof/>
        </w:rPr>
      </w:r>
      <w:r>
        <w:rPr>
          <w:noProof/>
        </w:rPr>
        <w:fldChar w:fldCharType="separate"/>
      </w:r>
      <w:r>
        <w:rPr>
          <w:noProof/>
        </w:rPr>
        <w:t>35</w:t>
      </w:r>
      <w:r>
        <w:rPr>
          <w:noProof/>
        </w:rPr>
        <w:fldChar w:fldCharType="end"/>
      </w:r>
    </w:p>
    <w:p w:rsidR="002346B0" w:rsidRPr="00CA4CF9" w:rsidRDefault="00772EA1" w:rsidP="00C23324">
      <w:r w:rsidRPr="00CA4CF9">
        <w:rPr>
          <w:b/>
        </w:rPr>
        <w:fldChar w:fldCharType="end"/>
      </w:r>
    </w:p>
    <w:p w:rsidR="00793EA9" w:rsidRPr="00CA4CF9" w:rsidRDefault="00772EA1">
      <w:pPr>
        <w:pStyle w:val="PageHeading"/>
      </w:pPr>
      <w:r w:rsidRPr="00CA4CF9">
        <w:br w:type="page"/>
      </w:r>
      <w:r w:rsidRPr="00CA4CF9">
        <w:br w:type="page"/>
      </w:r>
      <w:bookmarkStart w:id="0" w:name="_Toc135813425"/>
      <w:r w:rsidRPr="00CA4CF9">
        <w:t>FORSLAG TIL EUROPA-PARLAMENTETS LOVGIVNINGSMÆSSIGE BESLUTNING</w:t>
      </w:r>
      <w:bookmarkEnd w:id="0"/>
    </w:p>
    <w:p w:rsidR="00793EA9" w:rsidRPr="00CA4CF9" w:rsidRDefault="00772EA1">
      <w:pPr>
        <w:pStyle w:val="NormalBold"/>
      </w:pPr>
      <w:r w:rsidRPr="00CA4CF9">
        <w:t xml:space="preserve">om forslag til Europa-Parlamentets og Rådets direktiv om ændring af Rådets direktiv 98/24/EF og Europa-Parlamentets og </w:t>
      </w:r>
      <w:r w:rsidRPr="00CA4CF9">
        <w:t>Rådets direktiv 2004/37/EF for så vidt angår grænseværdierne for bly og dets uorganiske forbindelser og diisocyanater</w:t>
      </w:r>
    </w:p>
    <w:p w:rsidR="00793EA9" w:rsidRPr="00CA4CF9" w:rsidRDefault="00772EA1">
      <w:pPr>
        <w:pStyle w:val="NormalBold12a"/>
      </w:pPr>
      <w:r w:rsidRPr="00CA4CF9">
        <w:t>(COM(2023)0071 – C9</w:t>
      </w:r>
      <w:r w:rsidRPr="00CA4CF9">
        <w:noBreakHyphen/>
        <w:t>0022/2023 – 2023/0033(COD))</w:t>
      </w:r>
    </w:p>
    <w:p w:rsidR="00793EA9" w:rsidRPr="00CA4CF9" w:rsidRDefault="00772EA1" w:rsidP="00A910C9">
      <w:pPr>
        <w:pStyle w:val="NormalBold"/>
      </w:pPr>
      <w:r w:rsidRPr="00CA4CF9">
        <w:t>(Almindelig lovgivningsprocedure: førstebehandling)</w:t>
      </w:r>
    </w:p>
    <w:p w:rsidR="00793EA9" w:rsidRPr="00CA4CF9" w:rsidRDefault="00772EA1" w:rsidP="00A910C9">
      <w:pPr>
        <w:pStyle w:val="EPComma"/>
      </w:pPr>
      <w:r w:rsidRPr="00CA4CF9">
        <w:t>Europa-Parlamentet,</w:t>
      </w:r>
    </w:p>
    <w:p w:rsidR="00793EA9" w:rsidRPr="00CA4CF9" w:rsidRDefault="00772EA1">
      <w:pPr>
        <w:pStyle w:val="NormalHanging12a"/>
      </w:pPr>
      <w:r w:rsidRPr="00CA4CF9">
        <w:t>–</w:t>
      </w:r>
      <w:r w:rsidRPr="00CA4CF9">
        <w:tab/>
        <w:t>der henviser til</w:t>
      </w:r>
      <w:r w:rsidRPr="00CA4CF9">
        <w:t xml:space="preserve"> Kommissionens forslag til Europa-Parlamentet og Rådet (COM(2023)0071),</w:t>
      </w:r>
    </w:p>
    <w:p w:rsidR="00A15B92" w:rsidRPr="00CA4CF9" w:rsidRDefault="00772EA1" w:rsidP="00A15B92">
      <w:pPr>
        <w:pStyle w:val="NormalHanging12a"/>
      </w:pPr>
      <w:r w:rsidRPr="00CA4CF9">
        <w:t>–</w:t>
      </w:r>
      <w:r w:rsidRPr="00CA4CF9">
        <w:tab/>
        <w:t>der henviser til artikel 294, stk. 2, og artikel 153, stk. 2, litra b), sammenholdt med artikel 153, stk. 1, litra a), i traktaten om Den Europæiske Unions funktionsmåde, på grundlag</w:t>
      </w:r>
      <w:r w:rsidRPr="00CA4CF9">
        <w:t xml:space="preserve"> af hvilke Kommissionen har forelagt forslaget for Parlamentet (C9</w:t>
      </w:r>
      <w:r w:rsidRPr="00CA4CF9">
        <w:noBreakHyphen/>
        <w:t>0022/2023),</w:t>
      </w:r>
    </w:p>
    <w:p w:rsidR="00A15B92" w:rsidRPr="00CA4CF9" w:rsidRDefault="00772EA1" w:rsidP="00A15B92">
      <w:pPr>
        <w:pStyle w:val="NormalHanging12a"/>
      </w:pPr>
      <w:r w:rsidRPr="00CA4CF9">
        <w:t>–</w:t>
      </w:r>
      <w:r w:rsidRPr="00CA4CF9">
        <w:tab/>
        <w:t>der henviser til artikel 294, stk. 3, i traktaten om Den Europæiske Unions funktionsmåde,</w:t>
      </w:r>
    </w:p>
    <w:p w:rsidR="00A15B92" w:rsidRPr="00CA4CF9" w:rsidRDefault="00772EA1" w:rsidP="00A15B92">
      <w:pPr>
        <w:pStyle w:val="NormalHanging12a"/>
      </w:pPr>
      <w:r w:rsidRPr="00CA4CF9">
        <w:t>–</w:t>
      </w:r>
      <w:r w:rsidRPr="00CA4CF9">
        <w:tab/>
        <w:t>der henviser til udtalelse af 22. marts 2023 fra Det Europæiske Økonomiske og Socia</w:t>
      </w:r>
      <w:r w:rsidRPr="00CA4CF9">
        <w:t>le Udvalg</w:t>
      </w:r>
      <w:r w:rsidRPr="00CA4CF9">
        <w:rPr>
          <w:vertAlign w:val="superscript"/>
        </w:rPr>
        <w:footnoteReference w:id="1"/>
      </w:r>
      <w:r w:rsidRPr="00CA4CF9">
        <w:t xml:space="preserve"> og udtalelse af xx.xx 2023 fra Regionsudvalget</w:t>
      </w:r>
      <w:r w:rsidRPr="00CA4CF9">
        <w:rPr>
          <w:vertAlign w:val="superscript"/>
        </w:rPr>
        <w:footnoteReference w:id="2"/>
      </w:r>
      <w:r w:rsidRPr="00CA4CF9">
        <w:t>,</w:t>
      </w:r>
    </w:p>
    <w:p w:rsidR="00A15B92" w:rsidRPr="00CA4CF9" w:rsidRDefault="00772EA1" w:rsidP="00A15B92">
      <w:pPr>
        <w:pStyle w:val="NormalHanging12a"/>
      </w:pPr>
      <w:r w:rsidRPr="00CA4CF9">
        <w:t>–</w:t>
      </w:r>
      <w:r w:rsidRPr="00CA4CF9">
        <w:tab/>
        <w:t>der henviser til forretningsordenens artikel 59,</w:t>
      </w:r>
    </w:p>
    <w:p w:rsidR="00A15B92" w:rsidRPr="00CA4CF9" w:rsidRDefault="00772EA1" w:rsidP="00A15B92">
      <w:pPr>
        <w:pStyle w:val="NormalHanging12a"/>
      </w:pPr>
      <w:r w:rsidRPr="00CA4CF9">
        <w:t>–</w:t>
      </w:r>
      <w:r w:rsidRPr="00CA4CF9">
        <w:tab/>
        <w:t>der henviser til betænkning fra Udvalget om Beskæftigelse og Sociale Anliggender (A9-0000/2023),</w:t>
      </w:r>
    </w:p>
    <w:p w:rsidR="00A15B92" w:rsidRPr="00CA4CF9" w:rsidRDefault="00772EA1" w:rsidP="00A15B92">
      <w:pPr>
        <w:pStyle w:val="NormalHanging12a"/>
      </w:pPr>
      <w:r w:rsidRPr="00CA4CF9">
        <w:t>1.</w:t>
      </w:r>
      <w:r w:rsidRPr="00CA4CF9">
        <w:tab/>
        <w:t>vedtager nedenstående holdning ved førstebe</w:t>
      </w:r>
      <w:r w:rsidRPr="00CA4CF9">
        <w:t>handling;</w:t>
      </w:r>
    </w:p>
    <w:p w:rsidR="00A15B92" w:rsidRPr="00CA4CF9" w:rsidRDefault="00772EA1" w:rsidP="00A15B92">
      <w:pPr>
        <w:pStyle w:val="NormalHanging12a"/>
      </w:pPr>
      <w:r w:rsidRPr="00CA4CF9">
        <w:t>2.</w:t>
      </w:r>
      <w:r w:rsidRPr="00CA4CF9">
        <w:tab/>
        <w:t>anmoder om fornyet forelæggelse, hvis Kommissionen erstatter, i væsentlig grad ændrer eller agter i væsentlig grad at ændre sit forslag;</w:t>
      </w:r>
    </w:p>
    <w:p w:rsidR="00A15B92" w:rsidRPr="00CA4CF9" w:rsidRDefault="00772EA1" w:rsidP="00A15B92">
      <w:pPr>
        <w:pStyle w:val="NormalHanging12a"/>
      </w:pPr>
      <w:r w:rsidRPr="00CA4CF9">
        <w:t>3.</w:t>
      </w:r>
      <w:r w:rsidRPr="00CA4CF9">
        <w:tab/>
        <w:t>pålægger sin formand at sende Parlamentets holdning til Rådet og Kommissionen samt til de nationale par</w:t>
      </w:r>
      <w:r w:rsidRPr="00CA4CF9">
        <w:t>lamenter.</w:t>
      </w:r>
    </w:p>
    <w:p w:rsidR="00A15B92" w:rsidRPr="00CA4CF9" w:rsidRDefault="00772EA1">
      <w:pPr>
        <w:widowControl/>
      </w:pPr>
      <w:r w:rsidRPr="00CA4CF9">
        <w:br w:type="page"/>
      </w:r>
    </w:p>
    <w:p w:rsidR="0052409B" w:rsidRPr="00CA4CF9" w:rsidRDefault="00772EA1" w:rsidP="0052409B">
      <w:pPr>
        <w:pStyle w:val="AMNumberTabs0"/>
        <w:keepNext/>
      </w:pPr>
      <w:bookmarkStart w:id="1" w:name="restart"/>
      <w:r w:rsidRPr="00CA4CF9">
        <w:rPr>
          <w:rStyle w:val="HideTWBExt"/>
          <w:b w:val="0"/>
          <w:noProof w:val="0"/>
        </w:rPr>
        <w:t>&lt;RepeatBlock-Amend&gt;&lt;Amend&gt;</w:t>
      </w:r>
      <w:r w:rsidRPr="00CA4CF9">
        <w:t>Ændringsforslag</w:t>
      </w:r>
      <w:r w:rsidRPr="00CA4CF9">
        <w:tab/>
      </w:r>
      <w:r w:rsidRPr="00CA4CF9">
        <w:tab/>
      </w:r>
      <w:r w:rsidRPr="00CA4CF9">
        <w:rPr>
          <w:rStyle w:val="HideTWBExt"/>
          <w:b w:val="0"/>
          <w:noProof w:val="0"/>
        </w:rPr>
        <w:t>&lt;NumAm&gt;</w:t>
      </w:r>
      <w:r w:rsidRPr="00CA4CF9">
        <w:t>1</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Betragtning 6</w:t>
      </w:r>
      <w:r w:rsidRPr="00CA4CF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413B1F">
        <w:trPr>
          <w:jc w:val="center"/>
        </w:trPr>
        <w:tc>
          <w:tcPr>
            <w:tcW w:w="9752" w:type="dxa"/>
            <w:gridSpan w:val="2"/>
          </w:tcPr>
          <w:p w:rsidR="0052409B" w:rsidRPr="00CA4CF9" w:rsidRDefault="0052409B" w:rsidP="00413B1F">
            <w:pPr>
              <w:keepNext/>
            </w:pPr>
          </w:p>
        </w:tc>
      </w:tr>
      <w:tr w:rsidR="009164C8" w:rsidRPr="00CA4CF9" w:rsidTr="00413B1F">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413B1F">
        <w:trPr>
          <w:jc w:val="center"/>
        </w:trPr>
        <w:tc>
          <w:tcPr>
            <w:tcW w:w="4876" w:type="dxa"/>
          </w:tcPr>
          <w:p w:rsidR="0052409B" w:rsidRPr="00CA4CF9" w:rsidRDefault="00772EA1" w:rsidP="00413B1F">
            <w:pPr>
              <w:pStyle w:val="Normal6"/>
            </w:pPr>
            <w:r w:rsidRPr="00CA4CF9">
              <w:t>(6)</w:t>
            </w:r>
            <w:r w:rsidRPr="00CA4CF9">
              <w:tab/>
              <w:t xml:space="preserve">Bly og dets uorganiske forbindelser er vigtige erhvervsmæssige </w:t>
            </w:r>
            <w:r w:rsidRPr="00CA4CF9">
              <w:t>reproduktionstoksiske stoffer, der kan påvirke både forplantningsevnen og fostrets udvikling, og som opfylder kriterierne for klassificering som reproduktionstoksisk (kategori 1A) i overensstemmelse med Europa-Parlamentets og Rådets forordning (EF) nr. 127</w:t>
            </w:r>
            <w:r w:rsidRPr="00CA4CF9">
              <w:t>2/2008, og er derfor et reproduktionstoksisk stof som omhandlet i artikel 2, litra ba), i direktiv 2004/37/EF.</w:t>
            </w:r>
          </w:p>
        </w:tc>
        <w:tc>
          <w:tcPr>
            <w:tcW w:w="4876" w:type="dxa"/>
          </w:tcPr>
          <w:p w:rsidR="0052409B" w:rsidRPr="00CA4CF9" w:rsidRDefault="00772EA1" w:rsidP="00413B1F">
            <w:pPr>
              <w:pStyle w:val="Normal6"/>
              <w:rPr>
                <w:szCs w:val="24"/>
              </w:rPr>
            </w:pPr>
            <w:r w:rsidRPr="00CA4CF9">
              <w:t>(6)</w:t>
            </w:r>
            <w:r w:rsidRPr="00CA4CF9">
              <w:tab/>
              <w:t>Bly og dets uorganiske forbindelser er vigtige erhvervsmæssige reproduktionstoksiske stoffer, der kan påvirke både forplantningsevnen og fost</w:t>
            </w:r>
            <w:r w:rsidRPr="00CA4CF9">
              <w:t>rets udvikling, og som opfylder kriterierne for klassificering som reproduktionstoksisk (kategori 1A) i overensstemmelse med Europa-Parlamentets og Rådets forordning (EF) nr. 1272/2008, og er derfor et reproduktionstoksisk stof som omhandlet i artikel 2, l</w:t>
            </w:r>
            <w:r w:rsidRPr="00CA4CF9">
              <w:t xml:space="preserve">itra ba), i direktiv 2004/37/EF. </w:t>
            </w:r>
            <w:r w:rsidRPr="00CA4CF9">
              <w:rPr>
                <w:b/>
                <w:i/>
              </w:rPr>
              <w:t xml:space="preserve">Undersøgelser viser, at bly tegner sig for ca. halvdelen af al erhvervsmæssig eksponering for reproduktionstoksiske stoffer. </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r w:rsidRPr="00CA4CF9">
        <w:rPr>
          <w:rStyle w:val="HideTWBExt"/>
          <w:noProof w:val="0"/>
        </w:rPr>
        <w:t>&lt;/Amend&gt;</w:t>
      </w:r>
    </w:p>
    <w:p w:rsidR="003D192E" w:rsidRPr="00CA4CF9" w:rsidRDefault="00772EA1" w:rsidP="003D192E">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2</w:t>
      </w:r>
      <w:r w:rsidRPr="00CA4CF9">
        <w:rPr>
          <w:rStyle w:val="HideTWBExt"/>
          <w:b w:val="0"/>
          <w:noProof w:val="0"/>
        </w:rPr>
        <w:t>&lt;/NumAm&gt;</w:t>
      </w:r>
    </w:p>
    <w:p w:rsidR="003D192E" w:rsidRPr="00CA4CF9" w:rsidRDefault="00772EA1" w:rsidP="003D192E">
      <w:pPr>
        <w:pStyle w:val="NormalBold12b"/>
        <w:keepNext/>
      </w:pPr>
      <w:r w:rsidRPr="00CA4CF9">
        <w:rPr>
          <w:rStyle w:val="HideTWBExt"/>
          <w:b w:val="0"/>
          <w:noProof w:val="0"/>
        </w:rPr>
        <w:t>&lt;DocAmend&gt;</w:t>
      </w:r>
      <w:r w:rsidRPr="00CA4CF9">
        <w:t>Fors</w:t>
      </w:r>
      <w:r w:rsidRPr="00CA4CF9">
        <w:t>lag til direktiv</w:t>
      </w:r>
      <w:r w:rsidRPr="00CA4CF9">
        <w:rPr>
          <w:rStyle w:val="HideTWBExt"/>
          <w:b w:val="0"/>
          <w:noProof w:val="0"/>
        </w:rPr>
        <w:t>&lt;/DocAmend&gt;</w:t>
      </w:r>
    </w:p>
    <w:p w:rsidR="003D192E" w:rsidRPr="00CA4CF9" w:rsidRDefault="00772EA1" w:rsidP="003D192E">
      <w:pPr>
        <w:pStyle w:val="NormalBold"/>
      </w:pPr>
      <w:r w:rsidRPr="00CA4CF9">
        <w:rPr>
          <w:rStyle w:val="HideTWBExt"/>
          <w:b w:val="0"/>
          <w:noProof w:val="0"/>
        </w:rPr>
        <w:t>&lt;Article&gt;</w:t>
      </w:r>
      <w:r w:rsidRPr="00CA4CF9">
        <w:t>Betragtning 7</w:t>
      </w:r>
      <w:r w:rsidRPr="00CA4CF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413B1F">
        <w:trPr>
          <w:jc w:val="center"/>
        </w:trPr>
        <w:tc>
          <w:tcPr>
            <w:tcW w:w="9752" w:type="dxa"/>
            <w:gridSpan w:val="2"/>
          </w:tcPr>
          <w:p w:rsidR="003D192E" w:rsidRPr="00CA4CF9" w:rsidRDefault="003D192E" w:rsidP="00413B1F">
            <w:pPr>
              <w:keepNext/>
            </w:pPr>
          </w:p>
        </w:tc>
      </w:tr>
      <w:tr w:rsidR="009164C8" w:rsidRPr="00CA4CF9" w:rsidTr="00413B1F">
        <w:trPr>
          <w:jc w:val="center"/>
        </w:trPr>
        <w:tc>
          <w:tcPr>
            <w:tcW w:w="4876" w:type="dxa"/>
          </w:tcPr>
          <w:p w:rsidR="003D192E" w:rsidRPr="00CA4CF9" w:rsidRDefault="00772EA1" w:rsidP="00413B1F">
            <w:pPr>
              <w:pStyle w:val="ColumnHeading"/>
              <w:keepNext/>
            </w:pPr>
            <w:r w:rsidRPr="00CA4CF9">
              <w:t>Kommissionens forslag</w:t>
            </w:r>
          </w:p>
        </w:tc>
        <w:tc>
          <w:tcPr>
            <w:tcW w:w="4876" w:type="dxa"/>
          </w:tcPr>
          <w:p w:rsidR="003D192E" w:rsidRPr="00CA4CF9" w:rsidRDefault="00772EA1" w:rsidP="00413B1F">
            <w:pPr>
              <w:pStyle w:val="ColumnHeading"/>
              <w:keepNext/>
            </w:pPr>
            <w:r w:rsidRPr="00CA4CF9">
              <w:t>Ændringsforslag</w:t>
            </w:r>
          </w:p>
        </w:tc>
      </w:tr>
      <w:tr w:rsidR="009164C8" w:rsidRPr="00CA4CF9" w:rsidTr="00413B1F">
        <w:trPr>
          <w:jc w:val="center"/>
        </w:trPr>
        <w:tc>
          <w:tcPr>
            <w:tcW w:w="4876" w:type="dxa"/>
          </w:tcPr>
          <w:p w:rsidR="003D192E" w:rsidRPr="00CA4CF9" w:rsidRDefault="00772EA1" w:rsidP="00413B1F">
            <w:pPr>
              <w:pStyle w:val="Normal6"/>
            </w:pPr>
            <w:r w:rsidRPr="00CA4CF9">
              <w:t>(7)</w:t>
            </w:r>
            <w:r w:rsidRPr="00CA4CF9">
              <w:tab/>
              <w:t xml:space="preserve">Oral eksponering og inhalationseksponering er begge relevante veje til optagelse af bly og dets uorganiske forbindelser i det menneskelige legeme. </w:t>
            </w:r>
            <w:r w:rsidRPr="00CA4CF9">
              <w:t>Under hensyntagen til de seneste videnskabelige data og nye resultater med hensyn til bly og dets uorganiske forbindelser er det nødvendigt at forbedre beskyttelsen af arbejdstagere, der udsættes for en potentiel sundhedsrisiko, ved at reducere både den er</w:t>
            </w:r>
            <w:r w:rsidRPr="00CA4CF9">
              <w:t xml:space="preserve">hvervsmæssige eksponering og de biologiske grænseværdier for bly. </w:t>
            </w:r>
            <w:r w:rsidRPr="00CA4CF9">
              <w:rPr>
                <w:b/>
                <w:i/>
              </w:rPr>
              <w:t>Der bør derfor fastsættes en revideret biologisk grænseværdi på 15 µg/100 ml blod ledsaget af en revideret grænseværdi for erhvervsmæssig eksponering på 0,03 mg/m</w:t>
            </w:r>
            <w:r w:rsidRPr="00CA4CF9">
              <w:rPr>
                <w:b/>
                <w:i/>
                <w:vertAlign w:val="superscript"/>
              </w:rPr>
              <w:t>3</w:t>
            </w:r>
            <w:r w:rsidRPr="00CA4CF9">
              <w:rPr>
                <w:b/>
                <w:i/>
              </w:rPr>
              <w:t xml:space="preserve"> som et tidsvægtet gennemsn</w:t>
            </w:r>
            <w:r w:rsidRPr="00CA4CF9">
              <w:rPr>
                <w:b/>
                <w:i/>
              </w:rPr>
              <w:t>it over 8 timer (TWA).</w:t>
            </w:r>
          </w:p>
        </w:tc>
        <w:tc>
          <w:tcPr>
            <w:tcW w:w="4876" w:type="dxa"/>
          </w:tcPr>
          <w:p w:rsidR="003D192E" w:rsidRPr="00CA4CF9" w:rsidRDefault="00772EA1" w:rsidP="003D192E">
            <w:pPr>
              <w:pStyle w:val="Normal6"/>
              <w:rPr>
                <w:szCs w:val="24"/>
              </w:rPr>
            </w:pPr>
            <w:r w:rsidRPr="00CA4CF9">
              <w:t>(7)</w:t>
            </w:r>
            <w:r w:rsidRPr="00CA4CF9">
              <w:tab/>
              <w:t xml:space="preserve">Oral eksponering og inhalationseksponering er begge relevante veje til optagelse af bly og dets uorganiske forbindelser i det menneskelige legeme. Under hensyntagen til de seneste videnskabelige data og nye resultater med hensyn </w:t>
            </w:r>
            <w:r w:rsidRPr="00CA4CF9">
              <w:t xml:space="preserve">til bly og dets uorganiske forbindelser er det nødvendigt at forbedre beskyttelsen af arbejdstagere, der udsættes for en potentiel sundhedsrisiko, ved at reducere både den erhvervsmæssige eksponering og de biologiske grænseværdier for bly. </w:t>
            </w:r>
          </w:p>
        </w:tc>
      </w:tr>
    </w:tbl>
    <w:p w:rsidR="003D192E" w:rsidRPr="00CA4CF9" w:rsidRDefault="00772EA1" w:rsidP="003D192E">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3D192E" w:rsidRPr="00CA4CF9" w:rsidRDefault="00772EA1" w:rsidP="003D192E">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3</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Betragtning 7 a (ny)</w:t>
      </w:r>
      <w:r w:rsidRPr="00CA4CF9">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EC2EAE">
        <w:trPr>
          <w:jc w:val="center"/>
        </w:trPr>
        <w:tc>
          <w:tcPr>
            <w:tcW w:w="9752" w:type="dxa"/>
            <w:gridSpan w:val="2"/>
          </w:tcPr>
          <w:p w:rsidR="0052409B" w:rsidRPr="00CA4CF9" w:rsidRDefault="0052409B" w:rsidP="00413B1F">
            <w:pPr>
              <w:keepNext/>
            </w:pPr>
          </w:p>
        </w:tc>
      </w:tr>
      <w:tr w:rsidR="009164C8" w:rsidRPr="00CA4CF9" w:rsidTr="00EC2EAE">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EC2EAE">
        <w:trPr>
          <w:jc w:val="center"/>
        </w:trPr>
        <w:tc>
          <w:tcPr>
            <w:tcW w:w="4876" w:type="dxa"/>
          </w:tcPr>
          <w:p w:rsidR="0052409B" w:rsidRPr="00CA4CF9" w:rsidRDefault="0052409B" w:rsidP="00413B1F">
            <w:pPr>
              <w:pStyle w:val="Normal6"/>
            </w:pPr>
          </w:p>
        </w:tc>
        <w:tc>
          <w:tcPr>
            <w:tcW w:w="4876" w:type="dxa"/>
          </w:tcPr>
          <w:p w:rsidR="0052409B" w:rsidRPr="00CA4CF9" w:rsidRDefault="00772EA1" w:rsidP="00CA1930">
            <w:pPr>
              <w:pStyle w:val="Normal6"/>
              <w:rPr>
                <w:szCs w:val="24"/>
              </w:rPr>
            </w:pPr>
            <w:r w:rsidRPr="00CA4CF9">
              <w:rPr>
                <w:b/>
                <w:i/>
              </w:rPr>
              <w:t>(7a)</w:t>
            </w:r>
            <w:r w:rsidRPr="00CA4CF9">
              <w:rPr>
                <w:b/>
                <w:i/>
              </w:rPr>
              <w:tab/>
              <w:t xml:space="preserve">Udvalget for Risikovurdering under Det Europæiske </w:t>
            </w:r>
            <w:r w:rsidRPr="00CA4CF9">
              <w:rPr>
                <w:b/>
                <w:i/>
              </w:rPr>
              <w:t>Kemikalieagentur har anbefalet en erhvervsmæssig eksponeringsgrænse (OEL) på 4 μg Pb/m</w:t>
            </w:r>
            <w:r w:rsidRPr="00CA4CF9">
              <w:rPr>
                <w:b/>
                <w:i/>
                <w:vertAlign w:val="superscript"/>
              </w:rPr>
              <w:t>3</w:t>
            </w:r>
            <w:r w:rsidRPr="00CA4CF9">
              <w:rPr>
                <w:b/>
                <w:i/>
              </w:rPr>
              <w:t xml:space="preserve"> som et tidsvægtet gennemsnit over 8 timer (TWA)</w:t>
            </w:r>
            <w:r w:rsidRPr="00CA4CF9">
              <w:rPr>
                <w:b/>
                <w:i/>
                <w:vertAlign w:val="superscript"/>
              </w:rPr>
              <w:t>1a</w:t>
            </w:r>
            <w:r w:rsidRPr="00CA4CF9">
              <w:rPr>
                <w:b/>
                <w:i/>
              </w:rPr>
              <w:t xml:space="preserve">. Udvalget anbefalede også en bindende biologisk grænseværdi (BLV) på 15 µg Pb/100 ml (150 µg Pb/L), men konkluderede, </w:t>
            </w:r>
            <w:r w:rsidRPr="00CA4CF9">
              <w:rPr>
                <w:b/>
                <w:i/>
              </w:rPr>
              <w:t xml:space="preserve">at en sådan BLV for bly ikke beskytter ufødte børn af eksponerede kvindelige arbejdstagere i den fødedygtige alder. Udvalget anbefalede, at blyniveauet i blodet hos kvindelige arbejdstagere i den fødedygtige alder ikke bør overstige referenceværdierne for </w:t>
            </w:r>
            <w:r w:rsidRPr="00CA4CF9">
              <w:rPr>
                <w:b/>
                <w:i/>
              </w:rPr>
              <w:t>den generelle befolkning, der ikke er erhvervsmæssigt eksponeret for bly i den relevante medlemsstat. Hvor nationale referenceniveauer ikke er tilgængelige, bør blyniveauer i blodet hos kvinder i den fødedygtige alder ikke overstige den biologiske vejleden</w:t>
            </w:r>
            <w:r w:rsidRPr="00CA4CF9">
              <w:rPr>
                <w:b/>
                <w:i/>
              </w:rPr>
              <w:t>de værdi (BGV) på 4,5 μg/ml (45 μg/L), som er den maksimale europæiske referenceværdi. BGV vedrører baggrundseksponering af den generelle befolkning, der ikke er erhvervsmæssigt eksponeret for bly.</w:t>
            </w:r>
          </w:p>
        </w:tc>
      </w:tr>
      <w:tr w:rsidR="009164C8" w:rsidRPr="00CA4CF9" w:rsidTr="00EC2EAE">
        <w:trPr>
          <w:jc w:val="center"/>
        </w:trPr>
        <w:tc>
          <w:tcPr>
            <w:tcW w:w="4876" w:type="dxa"/>
          </w:tcPr>
          <w:p w:rsidR="00EC2EAE" w:rsidRPr="00CA4CF9" w:rsidRDefault="00EC2EAE" w:rsidP="00EC2EAE">
            <w:pPr>
              <w:pStyle w:val="Normal6"/>
            </w:pPr>
          </w:p>
        </w:tc>
        <w:tc>
          <w:tcPr>
            <w:tcW w:w="4876" w:type="dxa"/>
          </w:tcPr>
          <w:p w:rsidR="00EC2EAE" w:rsidRPr="00CA4CF9" w:rsidRDefault="00772EA1" w:rsidP="00EC2EAE">
            <w:pPr>
              <w:pStyle w:val="Normal6"/>
              <w:rPr>
                <w:b/>
                <w:i/>
              </w:rPr>
            </w:pPr>
            <w:r w:rsidRPr="00CA4CF9">
              <w:rPr>
                <w:b/>
                <w:i/>
              </w:rPr>
              <w:t>__________________</w:t>
            </w:r>
          </w:p>
        </w:tc>
      </w:tr>
      <w:tr w:rsidR="009164C8" w:rsidRPr="00CA4CF9" w:rsidTr="00EC2EAE">
        <w:trPr>
          <w:jc w:val="center"/>
        </w:trPr>
        <w:tc>
          <w:tcPr>
            <w:tcW w:w="4876" w:type="dxa"/>
          </w:tcPr>
          <w:p w:rsidR="00EC2EAE" w:rsidRPr="00CA4CF9" w:rsidRDefault="00EC2EAE" w:rsidP="00EC2EAE">
            <w:pPr>
              <w:pStyle w:val="Normal6"/>
            </w:pPr>
          </w:p>
        </w:tc>
        <w:tc>
          <w:tcPr>
            <w:tcW w:w="4876" w:type="dxa"/>
          </w:tcPr>
          <w:p w:rsidR="00EC2EAE" w:rsidRPr="00CA4CF9" w:rsidRDefault="00772EA1" w:rsidP="00EC2EAE">
            <w:pPr>
              <w:pStyle w:val="Normal6"/>
              <w:rPr>
                <w:b/>
                <w:i/>
              </w:rPr>
            </w:pPr>
            <w:r w:rsidRPr="00CA4CF9">
              <w:rPr>
                <w:b/>
                <w:i/>
                <w:vertAlign w:val="superscript"/>
              </w:rPr>
              <w:t>1a</w:t>
            </w:r>
            <w:r w:rsidRPr="00CA4CF9">
              <w:rPr>
                <w:b/>
                <w:i/>
              </w:rPr>
              <w:t xml:space="preserve"> https://echa.europa.eu/documents/10162/ed7a37e4-1641-b147-aaac-fce4c3014037.</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4</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Betragtning 7 b (ny)</w:t>
      </w:r>
      <w:r w:rsidRPr="00CA4CF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413B1F">
        <w:trPr>
          <w:jc w:val="center"/>
        </w:trPr>
        <w:tc>
          <w:tcPr>
            <w:tcW w:w="9752" w:type="dxa"/>
            <w:gridSpan w:val="2"/>
          </w:tcPr>
          <w:p w:rsidR="0052409B" w:rsidRPr="00CA4CF9" w:rsidRDefault="0052409B" w:rsidP="00413B1F">
            <w:pPr>
              <w:keepNext/>
            </w:pPr>
          </w:p>
        </w:tc>
      </w:tr>
      <w:tr w:rsidR="009164C8" w:rsidRPr="00CA4CF9" w:rsidTr="00413B1F">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413B1F">
        <w:trPr>
          <w:jc w:val="center"/>
        </w:trPr>
        <w:tc>
          <w:tcPr>
            <w:tcW w:w="4876" w:type="dxa"/>
          </w:tcPr>
          <w:p w:rsidR="0052409B" w:rsidRPr="00CA4CF9" w:rsidRDefault="0052409B" w:rsidP="00413B1F">
            <w:pPr>
              <w:pStyle w:val="Normal6"/>
            </w:pPr>
          </w:p>
        </w:tc>
        <w:tc>
          <w:tcPr>
            <w:tcW w:w="4876" w:type="dxa"/>
          </w:tcPr>
          <w:p w:rsidR="0052409B" w:rsidRPr="00CA4CF9" w:rsidRDefault="00772EA1" w:rsidP="007C2624">
            <w:pPr>
              <w:pStyle w:val="Normal6"/>
              <w:rPr>
                <w:szCs w:val="24"/>
              </w:rPr>
            </w:pPr>
            <w:r w:rsidRPr="00CA4CF9">
              <w:rPr>
                <w:b/>
                <w:i/>
              </w:rPr>
              <w:t>(7b)</w:t>
            </w:r>
            <w:r w:rsidRPr="00CA4CF9">
              <w:rPr>
                <w:b/>
                <w:i/>
              </w:rPr>
              <w:tab/>
              <w:t>I sin initiativrapport om en ny EU-strategiramme for sundhed og sikkerhed på arbejdspladsen efter 2020 (herunder en bedre beskyttelse af arbejdstagere mod eksponering for skadelige stoffer, stress på arbejdsplad</w:t>
            </w:r>
            <w:r w:rsidRPr="00CA4CF9">
              <w:rPr>
                <w:b/>
                <w:i/>
              </w:rPr>
              <w:t>sen og skader som følge af gentagne bevægelser) af 9. februar 2022 bemærkede Europa-Parlamentet, at en BLV på 15 µg Pb/100 ml (150 µg Pb/L) ikke beskytter kvinder tilstrækkeligt, særligt ikke gravide kvinder, og opfordrede til reviderede eksponeringsgrænse</w:t>
            </w:r>
            <w:r w:rsidRPr="00CA4CF9">
              <w:rPr>
                <w:b/>
                <w:i/>
              </w:rPr>
              <w:t>værdier for bly og blyforbindelser, samtidig med at der sikres lige beskyttelse for alle arbejdstagere uanset køn.</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pPr>
        <w:pStyle w:val="JustificationTitle"/>
        <w:rPr>
          <w:noProof w:val="0"/>
        </w:rPr>
      </w:pPr>
      <w:r w:rsidRPr="00CA4CF9">
        <w:rPr>
          <w:rStyle w:val="HideTWBExt"/>
          <w:i w:val="0"/>
          <w:noProof w:val="0"/>
        </w:rPr>
        <w:t>&lt;TitreJust&gt;</w:t>
      </w:r>
      <w:r w:rsidRPr="00CA4CF9">
        <w:rPr>
          <w:noProof w:val="0"/>
        </w:rPr>
        <w:t>Begrundelse</w:t>
      </w:r>
      <w:r w:rsidRPr="00CA4CF9">
        <w:rPr>
          <w:rStyle w:val="HideTWBExt"/>
          <w:i w:val="0"/>
          <w:noProof w:val="0"/>
        </w:rPr>
        <w:t>&lt;/TitreJust&gt;</w:t>
      </w:r>
    </w:p>
    <w:p w:rsidR="0052409B" w:rsidRPr="00CA4CF9" w:rsidRDefault="00772EA1" w:rsidP="0052409B">
      <w:pPr>
        <w:pStyle w:val="Normal12Italic"/>
        <w:rPr>
          <w:noProof w:val="0"/>
        </w:rPr>
      </w:pPr>
      <w:r w:rsidRPr="00CA4CF9">
        <w:rPr>
          <w:noProof w:val="0"/>
        </w:rPr>
        <w:t>Kilde: https://www.europarl.europa.eu/doceo/document/TA-9-2022-0068_DA.pd</w:t>
      </w:r>
      <w:r w:rsidRPr="00CA4CF9">
        <w:rPr>
          <w:noProof w:val="0"/>
        </w:rPr>
        <w:t>f</w:t>
      </w:r>
    </w:p>
    <w:p w:rsidR="0052409B" w:rsidRPr="00CA4CF9" w:rsidRDefault="00772EA1" w:rsidP="0052409B">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5</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Betragtning 7 c (ny)</w:t>
      </w:r>
      <w:r w:rsidRPr="00CA4CF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413B1F">
        <w:trPr>
          <w:jc w:val="center"/>
        </w:trPr>
        <w:tc>
          <w:tcPr>
            <w:tcW w:w="9752" w:type="dxa"/>
            <w:gridSpan w:val="2"/>
          </w:tcPr>
          <w:p w:rsidR="0052409B" w:rsidRPr="00CA4CF9" w:rsidRDefault="0052409B" w:rsidP="00413B1F">
            <w:pPr>
              <w:keepNext/>
            </w:pPr>
          </w:p>
        </w:tc>
      </w:tr>
      <w:tr w:rsidR="009164C8" w:rsidRPr="00CA4CF9" w:rsidTr="00413B1F">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413B1F">
        <w:trPr>
          <w:jc w:val="center"/>
        </w:trPr>
        <w:tc>
          <w:tcPr>
            <w:tcW w:w="4876" w:type="dxa"/>
          </w:tcPr>
          <w:p w:rsidR="0052409B" w:rsidRPr="00CA4CF9" w:rsidRDefault="0052409B" w:rsidP="00413B1F">
            <w:pPr>
              <w:pStyle w:val="Normal6"/>
            </w:pPr>
          </w:p>
        </w:tc>
        <w:tc>
          <w:tcPr>
            <w:tcW w:w="4876" w:type="dxa"/>
          </w:tcPr>
          <w:p w:rsidR="0052409B" w:rsidRPr="00CA4CF9" w:rsidRDefault="00772EA1" w:rsidP="007C2624">
            <w:pPr>
              <w:pStyle w:val="Normal6"/>
              <w:rPr>
                <w:szCs w:val="24"/>
              </w:rPr>
            </w:pPr>
            <w:r w:rsidRPr="00CA4CF9">
              <w:rPr>
                <w:b/>
                <w:i/>
              </w:rPr>
              <w:t>(7c)</w:t>
            </w:r>
            <w:r w:rsidRPr="00CA4CF9">
              <w:rPr>
                <w:b/>
                <w:i/>
              </w:rPr>
              <w:tab/>
              <w:t>Dette direktiv respekterer de grundlæggende rettigheder, der er anerkendt i</w:t>
            </w:r>
            <w:r w:rsidRPr="00CA4CF9">
              <w:rPr>
                <w:b/>
                <w:i/>
              </w:rPr>
              <w:t xml:space="preserve"> Den Europæiske Unions charter om grundlæggende rettigheder, især forbuddet mod forskelsbehandling på grund af køn og retten til retfærdige og rimelige arbejdsforhold, som er fastsat i henholdsvis artikel 21 og 31 heri. Desuden overholder det princip nr. 1</w:t>
            </w:r>
            <w:r w:rsidRPr="00CA4CF9">
              <w:rPr>
                <w:b/>
                <w:i/>
              </w:rPr>
              <w:t>0 i den europæiske søjle for sociale rettigheder, ifølge hvilket arbejdstagere har ret til et sundt, sikkert og veltilpasset arbejdsmiljø. Arbejdstagernes ret til beskyttelse af sundhed og sikkerhed på arbejdspladsen omfatter retten til beskyttelse mod vir</w:t>
            </w:r>
            <w:r w:rsidRPr="00CA4CF9">
              <w:rPr>
                <w:b/>
                <w:i/>
              </w:rPr>
              <w:t xml:space="preserve">kningerne af bly og dets uorganiske forbindelser på fremtidige generationer såsom de negative indvirkninger på mænds og kvinders forplantningsevne såvel som på fosterets udvikling. Derfor bør der etableres en revideret BLV svarende til 4,5 µg/100 ml blod, </w:t>
            </w:r>
            <w:r w:rsidRPr="00CA4CF9">
              <w:rPr>
                <w:b/>
                <w:i/>
              </w:rPr>
              <w:t>ledsaget af en revideret OEL svarende til 4 µg Pb/m</w:t>
            </w:r>
            <w:r w:rsidRPr="00CA4CF9">
              <w:rPr>
                <w:b/>
                <w:i/>
                <w:vertAlign w:val="superscript"/>
              </w:rPr>
              <w:t>3</w:t>
            </w:r>
            <w:r w:rsidRPr="00CA4CF9">
              <w:rPr>
                <w:b/>
                <w:i/>
              </w:rPr>
              <w:t xml:space="preserve"> TWA, for at sikre beskyttelsen af arbejdstagere, der er erhvervsmæssigt eksponeret for bly, uanset deres køn. Et sådant revideret BLV har også til formål at fremme fuld deltagelse af kvinder i den fødedy</w:t>
            </w:r>
            <w:r w:rsidRPr="00CA4CF9">
              <w:rPr>
                <w:b/>
                <w:i/>
              </w:rPr>
              <w:t>gtige alder i de økonomiske sektorer, der er omfattet af den europæiske grønne pagt, såsom produktion af bæredygtige og cirkulære batterier, til støtte for EU's energiomstilling.</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pPr>
        <w:pStyle w:val="JustificationTitle"/>
        <w:rPr>
          <w:noProof w:val="0"/>
        </w:rPr>
      </w:pPr>
      <w:r w:rsidRPr="00CA4CF9">
        <w:rPr>
          <w:rStyle w:val="HideTWBExt"/>
          <w:i w:val="0"/>
          <w:noProof w:val="0"/>
        </w:rPr>
        <w:t>&lt;TitreJust&gt;</w:t>
      </w:r>
      <w:r w:rsidRPr="00CA4CF9">
        <w:rPr>
          <w:noProof w:val="0"/>
        </w:rPr>
        <w:t>Begrundelse</w:t>
      </w:r>
      <w:r w:rsidRPr="00CA4CF9">
        <w:rPr>
          <w:rStyle w:val="HideTWBExt"/>
          <w:i w:val="0"/>
          <w:noProof w:val="0"/>
        </w:rPr>
        <w:t>&lt;/TitreJust&gt;</w:t>
      </w:r>
    </w:p>
    <w:p w:rsidR="0052409B" w:rsidRPr="00CA4CF9" w:rsidRDefault="00772EA1" w:rsidP="0052409B">
      <w:pPr>
        <w:pStyle w:val="Normal12Italic"/>
        <w:rPr>
          <w:noProof w:val="0"/>
        </w:rPr>
      </w:pPr>
      <w:r w:rsidRPr="00CA4CF9">
        <w:rPr>
          <w:noProof w:val="0"/>
        </w:rPr>
        <w:t>A non-bin</w:t>
      </w:r>
      <w:r w:rsidRPr="00CA4CF9">
        <w:rPr>
          <w:noProof w:val="0"/>
        </w:rPr>
        <w:t xml:space="preserve">ding guidance value is not suitable to ensure the protection of workers’ health and safety in conditions of equality and non-discrimination, with regard in particular to female lead-exposed workers. In order to attain the Directive’s stated objective of a </w:t>
      </w:r>
      <w:r w:rsidRPr="00CA4CF9">
        <w:rPr>
          <w:noProof w:val="0"/>
        </w:rPr>
        <w:t>high level of protection of worker’s health and safety, a binding BLV which offers sufficient protection for all workers irrespective of their sex, is necessary. It must be stressed that this Directive will apply to many economic sectors that possess a gre</w:t>
      </w:r>
      <w:r w:rsidRPr="00CA4CF9">
        <w:rPr>
          <w:noProof w:val="0"/>
        </w:rPr>
        <w:t>at potential for creating green jobs, but at the same time are currently male-dominated: applying the same protective measures to female and male lead-exposed workers will ensure that female workers enjoy equal treatment in matters of employment and occupa</w:t>
      </w:r>
      <w:r w:rsidRPr="00CA4CF9">
        <w:rPr>
          <w:noProof w:val="0"/>
        </w:rPr>
        <w:t>tion, and do not suffer from covert discrimination, for example with regard to access to employment.</w:t>
      </w:r>
    </w:p>
    <w:p w:rsidR="0052409B" w:rsidRPr="00CA4CF9" w:rsidRDefault="00772EA1" w:rsidP="0052409B">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6</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Betragtning 8</w:t>
      </w:r>
      <w:r w:rsidRPr="00CA4CF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413B1F">
        <w:trPr>
          <w:jc w:val="center"/>
        </w:trPr>
        <w:tc>
          <w:tcPr>
            <w:tcW w:w="9752" w:type="dxa"/>
            <w:gridSpan w:val="2"/>
          </w:tcPr>
          <w:p w:rsidR="0052409B" w:rsidRPr="00CA4CF9" w:rsidRDefault="0052409B" w:rsidP="00413B1F">
            <w:pPr>
              <w:keepNext/>
            </w:pPr>
          </w:p>
        </w:tc>
      </w:tr>
      <w:tr w:rsidR="009164C8" w:rsidRPr="00CA4CF9" w:rsidTr="00413B1F">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413B1F">
        <w:trPr>
          <w:jc w:val="center"/>
        </w:trPr>
        <w:tc>
          <w:tcPr>
            <w:tcW w:w="4876" w:type="dxa"/>
          </w:tcPr>
          <w:p w:rsidR="0052409B" w:rsidRPr="00CA4CF9" w:rsidRDefault="00772EA1" w:rsidP="00413B1F">
            <w:pPr>
              <w:pStyle w:val="Normal6"/>
            </w:pPr>
            <w:r w:rsidRPr="00CA4CF9">
              <w:t>(8)</w:t>
            </w:r>
            <w:r w:rsidRPr="00CA4CF9">
              <w:tab/>
              <w:t>For at styrke helbredskontrollen af arbejdstagere, der eksponeres for bly og uorganiske forbindelser heraf, og dermed bidrage til de forebyggelses- og beskyttelsesforanstaltninger, der skal træffes af arbejdsgiveren, er det desuden nød</w:t>
            </w:r>
            <w:r w:rsidRPr="00CA4CF9">
              <w:t>vendigt at ændre de eksisterende krav, der gælder, når arbejdstagere eksponeres for visse niveauer af bly og dets uorganiske forbindelser. Med henblik herpå bør der kræves detaljeret medicinsk overvågning, når eksponeringen for bly og uorganiske forbindels</w:t>
            </w:r>
            <w:r w:rsidRPr="00CA4CF9">
              <w:t xml:space="preserve">er heraf overstiger </w:t>
            </w:r>
            <w:r w:rsidRPr="00CA4CF9">
              <w:rPr>
                <w:b/>
                <w:i/>
              </w:rPr>
              <w:t>0,015 mg/m</w:t>
            </w:r>
            <w:r w:rsidRPr="00CA4CF9">
              <w:rPr>
                <w:b/>
                <w:i/>
                <w:vertAlign w:val="superscript"/>
              </w:rPr>
              <w:t>3</w:t>
            </w:r>
            <w:r w:rsidRPr="00CA4CF9">
              <w:t xml:space="preserve"> i luften (50 % af den nuværende OEL) eller </w:t>
            </w:r>
            <w:r w:rsidRPr="00CA4CF9">
              <w:rPr>
                <w:b/>
                <w:i/>
              </w:rPr>
              <w:t>9</w:t>
            </w:r>
            <w:r w:rsidRPr="00CA4CF9">
              <w:t xml:space="preserve"> µg/100 ml blod (ca. 60 % af den nuværende BLV).</w:t>
            </w:r>
          </w:p>
        </w:tc>
        <w:tc>
          <w:tcPr>
            <w:tcW w:w="4876" w:type="dxa"/>
          </w:tcPr>
          <w:p w:rsidR="0052409B" w:rsidRPr="00CA4CF9" w:rsidRDefault="00772EA1" w:rsidP="00413B1F">
            <w:pPr>
              <w:pStyle w:val="Normal6"/>
              <w:rPr>
                <w:szCs w:val="24"/>
              </w:rPr>
            </w:pPr>
            <w:r w:rsidRPr="00CA4CF9">
              <w:t>(8)</w:t>
            </w:r>
            <w:r w:rsidRPr="00CA4CF9">
              <w:tab/>
              <w:t>For at styrke helbredskontrollen af arbejdstagere, der eksponeres for bly og uorganiske forbindelser heraf, og dermed bidrage t</w:t>
            </w:r>
            <w:r w:rsidRPr="00CA4CF9">
              <w:t>il de forebyggelses- og beskyttelsesforanstaltninger, der skal træffes af arbejdsgiveren, er det desuden nødvendigt at ændre de eksisterende krav, der gælder, når arbejdstagere eksponeres for visse niveauer af bly og dets uorganiske forbindelser. Med henbl</w:t>
            </w:r>
            <w:r w:rsidRPr="00CA4CF9">
              <w:t xml:space="preserve">ik herpå bør der kræves detaljeret medicinsk overvågning, når eksponeringen for bly og uorganiske forbindelser heraf overstiger </w:t>
            </w:r>
            <w:r w:rsidRPr="00CA4CF9">
              <w:rPr>
                <w:b/>
                <w:i/>
              </w:rPr>
              <w:t>2 µg/m</w:t>
            </w:r>
            <w:r w:rsidRPr="00CA4CF9">
              <w:rPr>
                <w:b/>
                <w:i/>
                <w:vertAlign w:val="superscript"/>
              </w:rPr>
              <w:t>3</w:t>
            </w:r>
            <w:r w:rsidRPr="00CA4CF9">
              <w:t xml:space="preserve"> i luften (50 % af den nuværende OEL) eller </w:t>
            </w:r>
            <w:r w:rsidRPr="00CA4CF9">
              <w:rPr>
                <w:b/>
                <w:i/>
              </w:rPr>
              <w:t>2,7</w:t>
            </w:r>
            <w:r w:rsidRPr="00CA4CF9">
              <w:t xml:space="preserve"> µg/100 ml blod (ca. 60 % af den nuværende BLV).</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w:t>
      </w:r>
      <w:r w:rsidRPr="00CA4CF9">
        <w:rPr>
          <w:rStyle w:val="HideTWBExt"/>
          <w:noProof w:val="0"/>
        </w:rPr>
        <w:t>iginal&gt;</w:t>
      </w:r>
    </w:p>
    <w:p w:rsidR="0052409B" w:rsidRPr="00CA4CF9" w:rsidRDefault="00772EA1" w:rsidP="0052409B">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7</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Betragtning 8 a (ny)</w:t>
      </w:r>
      <w:r w:rsidRPr="00CA4CF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413B1F">
        <w:trPr>
          <w:jc w:val="center"/>
        </w:trPr>
        <w:tc>
          <w:tcPr>
            <w:tcW w:w="9752" w:type="dxa"/>
            <w:gridSpan w:val="2"/>
          </w:tcPr>
          <w:p w:rsidR="0052409B" w:rsidRPr="00CA4CF9" w:rsidRDefault="0052409B" w:rsidP="00413B1F">
            <w:pPr>
              <w:keepNext/>
            </w:pPr>
          </w:p>
        </w:tc>
      </w:tr>
      <w:tr w:rsidR="009164C8" w:rsidRPr="00CA4CF9" w:rsidTr="00413B1F">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413B1F">
        <w:trPr>
          <w:jc w:val="center"/>
        </w:trPr>
        <w:tc>
          <w:tcPr>
            <w:tcW w:w="4876" w:type="dxa"/>
          </w:tcPr>
          <w:p w:rsidR="0052409B" w:rsidRPr="00CA4CF9" w:rsidRDefault="0052409B" w:rsidP="00413B1F">
            <w:pPr>
              <w:pStyle w:val="Normal6"/>
            </w:pPr>
          </w:p>
        </w:tc>
        <w:tc>
          <w:tcPr>
            <w:tcW w:w="4876" w:type="dxa"/>
          </w:tcPr>
          <w:p w:rsidR="0052409B" w:rsidRPr="00CA4CF9" w:rsidRDefault="00772EA1" w:rsidP="00CA1930">
            <w:pPr>
              <w:pStyle w:val="Normal6"/>
              <w:rPr>
                <w:szCs w:val="24"/>
              </w:rPr>
            </w:pPr>
            <w:r w:rsidRPr="00CA4CF9">
              <w:rPr>
                <w:b/>
                <w:i/>
              </w:rPr>
              <w:t>(8a)</w:t>
            </w:r>
            <w:r w:rsidRPr="00CA4CF9">
              <w:rPr>
                <w:b/>
                <w:i/>
              </w:rPr>
              <w:tab/>
              <w:t xml:space="preserve">Arbejdstagere, der har været erhvervsmæssigt eksponeret for bly i </w:t>
            </w:r>
            <w:r w:rsidRPr="00CA4CF9">
              <w:rPr>
                <w:b/>
                <w:i/>
              </w:rPr>
              <w:t xml:space="preserve">flere år, kan have akkumuleret blyniveauer i blodet, der er langt over den reviderede BLV. Efter Udvalget for Risikovurderings opfattelse kan der allerede observeres sundhedsskadelige virkninger ved blyniveauer i blodet, der falder inden for den nuværende </w:t>
            </w:r>
            <w:r w:rsidRPr="00CA4CF9">
              <w:rPr>
                <w:b/>
                <w:i/>
              </w:rPr>
              <w:t>BLV på 70 µg Pb/100ml. Det er ikke acceptabelt, at sådanne arbejdstagere fortsat bliver udsat for bly på arbejdspladsen. I stedet bør arbejdsgivere flytte sådanne arbejdstagere til andre opgaver på arbejdspladsen for at sikre en så hurtig reduktion som mul</w:t>
            </w:r>
            <w:r w:rsidRPr="00CA4CF9">
              <w:rPr>
                <w:b/>
                <w:i/>
              </w:rPr>
              <w:t>igt af disse arbejdstageres blyniveauer i blodet.</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8</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Betragtning 9</w:t>
      </w:r>
      <w:r w:rsidRPr="00CA4CF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413B1F">
        <w:trPr>
          <w:jc w:val="center"/>
        </w:trPr>
        <w:tc>
          <w:tcPr>
            <w:tcW w:w="9752" w:type="dxa"/>
            <w:gridSpan w:val="2"/>
          </w:tcPr>
          <w:p w:rsidR="0052409B" w:rsidRPr="00CA4CF9" w:rsidRDefault="0052409B" w:rsidP="00413B1F">
            <w:pPr>
              <w:keepNext/>
            </w:pPr>
          </w:p>
        </w:tc>
      </w:tr>
      <w:tr w:rsidR="009164C8" w:rsidRPr="00CA4CF9" w:rsidTr="00413B1F">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413B1F">
        <w:trPr>
          <w:jc w:val="center"/>
        </w:trPr>
        <w:tc>
          <w:tcPr>
            <w:tcW w:w="4876" w:type="dxa"/>
          </w:tcPr>
          <w:p w:rsidR="0052409B" w:rsidRPr="00CA4CF9" w:rsidRDefault="00772EA1" w:rsidP="00DE2B36">
            <w:pPr>
              <w:pStyle w:val="Normal6"/>
            </w:pPr>
            <w:r w:rsidRPr="00CA4CF9">
              <w:t>(9)</w:t>
            </w:r>
            <w:r w:rsidRPr="00CA4CF9">
              <w:tab/>
              <w:t>Der</w:t>
            </w:r>
            <w:r w:rsidRPr="00CA4CF9">
              <w:t xml:space="preserve"> bør træffes særlige foranstaltninger med hensyn til risikostyring, herunder særlig helbredskontrol, der bør tage hensyn til de enkelte arbejdstageres forhold. I henhold til de generelle krav i direktiv 2004/37/EF er arbejdsgiverne forpligtet til at sikre,</w:t>
            </w:r>
            <w:r w:rsidRPr="00CA4CF9">
              <w:t xml:space="preserve"> at stoffet erstattes, når det er teknisk muligt, at der anvendes lukkede systemer, eller at eksponeringen reduceres til et så lavt niveau som teknisk muligt. </w:t>
            </w:r>
            <w:r w:rsidRPr="00CA4CF9">
              <w:rPr>
                <w:b/>
                <w:i/>
              </w:rPr>
              <w:t>Som foreslået i udtalelsen fra Det Rådgivende Udvalg for Sikkerhed og Sundhed på Arbejdspladsen</w:t>
            </w:r>
            <w:r w:rsidRPr="00CA4CF9">
              <w:rPr>
                <w:b/>
                <w:i/>
                <w:vertAlign w:val="superscript"/>
              </w:rPr>
              <w:t>90</w:t>
            </w:r>
            <w:r w:rsidRPr="00CA4CF9">
              <w:rPr>
                <w:b/>
                <w:i/>
              </w:rPr>
              <w:t xml:space="preserve"> bør indholdet af bly i blodet og dets uorganiske forbindelser hos kvinder i den fødedygtige alder desuden ikke overstige referenceværdierne for den almindelige befolkning, der ikke er udsat for bly og uorganiske forbindelser heraf i den pågældende medlems</w:t>
            </w:r>
            <w:r w:rsidRPr="00CA4CF9">
              <w:rPr>
                <w:b/>
                <w:i/>
              </w:rPr>
              <w:t>stat. Udvalget for Risikovurdering (RAC) under Det Europæiske Kemikalieagentur (ECHA), der er nedsat ved Europa-Parlamentets og Rådets forordning (EF) nr. 1907/2006</w:t>
            </w:r>
            <w:r w:rsidRPr="00CA4CF9">
              <w:rPr>
                <w:b/>
                <w:i/>
                <w:vertAlign w:val="superscript"/>
              </w:rPr>
              <w:t>91</w:t>
            </w:r>
            <w:r w:rsidRPr="00CA4CF9">
              <w:rPr>
                <w:b/>
                <w:i/>
              </w:rPr>
              <w:t>, anbefalede anvendelsen af en biologisk vejledende værdi (BGV), da der ikke var tilstrækk</w:t>
            </w:r>
            <w:r w:rsidRPr="00CA4CF9">
              <w:rPr>
                <w:b/>
                <w:i/>
              </w:rPr>
              <w:t>elig videnskabelig dokumentation til at fastsætte en BLV for kvinder i den fødedygtige alder. Når der ikke foreligger nationale referenceniveauer, bør indholdet af bly i blodet og dets uorganiske forbindelser hos kvinder i den fødedygtige alder ikke overst</w:t>
            </w:r>
            <w:r w:rsidRPr="00CA4CF9">
              <w:rPr>
                <w:b/>
                <w:i/>
              </w:rPr>
              <w:t>ige en BGV på 4,5 µg/100 ml som anbefalet i udtalelsen fra RAC</w:t>
            </w:r>
            <w:r w:rsidRPr="00CA4CF9">
              <w:rPr>
                <w:b/>
                <w:i/>
                <w:vertAlign w:val="superscript"/>
              </w:rPr>
              <w:t>92</w:t>
            </w:r>
            <w:r w:rsidRPr="00CA4CF9">
              <w:rPr>
                <w:b/>
                <w:i/>
              </w:rPr>
              <w:t xml:space="preserve">. BGV er en indikator for eksponering, men ikke for identificerbare sundhedsskadelige virkninger. Værdien fungerer derfor som kontrolmarkør for at advare arbejdsgiverne om behovet for at være </w:t>
            </w:r>
            <w:r w:rsidRPr="00CA4CF9">
              <w:rPr>
                <w:b/>
                <w:i/>
              </w:rPr>
              <w:t>særligt opmærksomme på denne specifikke potentielle risiko og for at indføre foranstaltninger til at sikre, at eksponering for bly og dets uorganiske forbindelser ikke medfører negative udviklingsmæssige virkninger for kvindelige arbejdstageres fostre elle</w:t>
            </w:r>
            <w:r w:rsidRPr="00CA4CF9">
              <w:rPr>
                <w:b/>
                <w:i/>
              </w:rPr>
              <w:t>r afkom.</w:t>
            </w:r>
          </w:p>
        </w:tc>
        <w:tc>
          <w:tcPr>
            <w:tcW w:w="4876" w:type="dxa"/>
          </w:tcPr>
          <w:p w:rsidR="0052409B" w:rsidRPr="00CA4CF9" w:rsidRDefault="00772EA1" w:rsidP="007C2624">
            <w:pPr>
              <w:pStyle w:val="Normal6"/>
              <w:rPr>
                <w:szCs w:val="24"/>
              </w:rPr>
            </w:pPr>
            <w:r w:rsidRPr="00CA4CF9">
              <w:t>(9)</w:t>
            </w:r>
            <w:r w:rsidRPr="00CA4CF9">
              <w:tab/>
              <w:t>Der bør træffes særlige foranstaltninger med hensyn til risikostyring, herunder særlig helbredskontrol, der bør tage hensyn til de enkelte arbejdstageres forhold.</w:t>
            </w:r>
            <w:r w:rsidRPr="00CA4CF9">
              <w:rPr>
                <w:b/>
                <w:i/>
              </w:rPr>
              <w:t xml:space="preserve"> Da bly er et reproduktionstoksisk stof uden tærskelværdi, bør forebyggende </w:t>
            </w:r>
            <w:r w:rsidRPr="00CA4CF9">
              <w:rPr>
                <w:b/>
                <w:i/>
              </w:rPr>
              <w:t>lægeovervågning være en af de vigtigste beskyttelsesforanstaltninger for blyeksponerede arbejdstagere, foruden tekniske forebyggende foranstaltninger, som skal træffes af arbejdsgiveren.</w:t>
            </w:r>
            <w:r w:rsidRPr="00CA4CF9">
              <w:t xml:space="preserve"> I henhold til de generelle krav i direktiv 2004/37/EF er arbejdsgiver</w:t>
            </w:r>
            <w:r w:rsidRPr="00CA4CF9">
              <w:t>ne forpligtet til at sikre, at stoffet erstattes, når det er teknisk muligt, at der anvendes lukkede systemer, eller at eksponeringen reduceres til et så lavt niveau som teknisk muligt.</w:t>
            </w:r>
          </w:p>
        </w:tc>
      </w:tr>
      <w:tr w:rsidR="009164C8" w:rsidRPr="00CA4CF9" w:rsidTr="00413B1F">
        <w:trPr>
          <w:jc w:val="center"/>
        </w:trPr>
        <w:tc>
          <w:tcPr>
            <w:tcW w:w="4876" w:type="dxa"/>
          </w:tcPr>
          <w:p w:rsidR="0052409B" w:rsidRPr="00CA4CF9" w:rsidRDefault="00772EA1" w:rsidP="00413B1F">
            <w:pPr>
              <w:pStyle w:val="Normal6"/>
            </w:pPr>
            <w:r w:rsidRPr="00CA4CF9">
              <w:t>__________________</w:t>
            </w:r>
          </w:p>
        </w:tc>
        <w:tc>
          <w:tcPr>
            <w:tcW w:w="4876" w:type="dxa"/>
          </w:tcPr>
          <w:p w:rsidR="0052409B" w:rsidRPr="00CA4CF9" w:rsidRDefault="0052409B" w:rsidP="00413B1F">
            <w:pPr>
              <w:pStyle w:val="Normal6"/>
              <w:rPr>
                <w:szCs w:val="24"/>
              </w:rPr>
            </w:pPr>
          </w:p>
        </w:tc>
      </w:tr>
      <w:tr w:rsidR="009164C8" w:rsidRPr="00CA4CF9" w:rsidTr="00413B1F">
        <w:trPr>
          <w:jc w:val="center"/>
        </w:trPr>
        <w:tc>
          <w:tcPr>
            <w:tcW w:w="4876" w:type="dxa"/>
          </w:tcPr>
          <w:p w:rsidR="0052409B" w:rsidRPr="00CA4CF9" w:rsidRDefault="00772EA1" w:rsidP="00413B1F">
            <w:pPr>
              <w:pStyle w:val="Normal6"/>
            </w:pPr>
            <w:r w:rsidRPr="00CA4CF9">
              <w:rPr>
                <w:b/>
                <w:i/>
                <w:vertAlign w:val="superscript"/>
              </w:rPr>
              <w:t>90</w:t>
            </w:r>
            <w:r w:rsidRPr="00CA4CF9">
              <w:rPr>
                <w:b/>
                <w:i/>
              </w:rPr>
              <w:t xml:space="preserve"> ACSH's udtalelse om bly (2021). https://circa</w:t>
            </w:r>
            <w:r w:rsidRPr="00CA4CF9">
              <w:rPr>
                <w:b/>
                <w:i/>
              </w:rPr>
              <w:t>bc.europa.eu/ui/group/cb9293be-4563-4f19-89cf-4c4588bd6541/library/60b206e1-ee10-40c2-9540-fb6510c11a0c/details</w:t>
            </w:r>
          </w:p>
        </w:tc>
        <w:tc>
          <w:tcPr>
            <w:tcW w:w="4876" w:type="dxa"/>
          </w:tcPr>
          <w:p w:rsidR="0052409B" w:rsidRPr="00CA4CF9" w:rsidRDefault="0052409B" w:rsidP="00413B1F">
            <w:pPr>
              <w:pStyle w:val="Normal6"/>
              <w:rPr>
                <w:szCs w:val="24"/>
              </w:rPr>
            </w:pPr>
          </w:p>
        </w:tc>
      </w:tr>
      <w:tr w:rsidR="009164C8" w:rsidRPr="00CA4CF9" w:rsidTr="00413B1F">
        <w:trPr>
          <w:jc w:val="center"/>
        </w:trPr>
        <w:tc>
          <w:tcPr>
            <w:tcW w:w="4876" w:type="dxa"/>
          </w:tcPr>
          <w:p w:rsidR="0052409B" w:rsidRPr="00CA4CF9" w:rsidRDefault="00772EA1" w:rsidP="00413B1F">
            <w:pPr>
              <w:pStyle w:val="Normal6"/>
            </w:pPr>
            <w:r w:rsidRPr="00CA4CF9">
              <w:rPr>
                <w:b/>
                <w:i/>
                <w:vertAlign w:val="superscript"/>
              </w:rPr>
              <w:t>91</w:t>
            </w:r>
            <w:r w:rsidRPr="00CA4CF9">
              <w:rPr>
                <w:b/>
                <w:i/>
              </w:rPr>
              <w:t xml:space="preserve"> Europa-Parlamentets og Rådets forordning (EF) nr. 1907/2006 af 18. december 2006 om registrering, vurdering og godkendelse af samt begrænsn</w:t>
            </w:r>
            <w:r w:rsidRPr="00CA4CF9">
              <w:rPr>
                <w:b/>
                <w:i/>
              </w:rPr>
              <w:t>inger for kemikalier (REACH), om oprettelse af et europæisk kemikalieagentur og om ændring af direktiv 1999/45/EF og ophævelse af Rådets forordning (EØF) nr. 793/93 og Kommissionens forordning (EF) nr. 1488/94 samt Rådets direktiv 76/769/EØF og Kommissione</w:t>
            </w:r>
            <w:r w:rsidRPr="00CA4CF9">
              <w:rPr>
                <w:b/>
                <w:i/>
              </w:rPr>
              <w:t>ns direktiv 91/155/EØF, 93/67/EØF, 93/105/EF og 2000/21/EF (EUT L 396 af 30.12.2006, s. 1).</w:t>
            </w:r>
          </w:p>
        </w:tc>
        <w:tc>
          <w:tcPr>
            <w:tcW w:w="4876" w:type="dxa"/>
          </w:tcPr>
          <w:p w:rsidR="0052409B" w:rsidRPr="00CA4CF9" w:rsidRDefault="0052409B" w:rsidP="00413B1F">
            <w:pPr>
              <w:pStyle w:val="Normal6"/>
              <w:rPr>
                <w:szCs w:val="24"/>
              </w:rPr>
            </w:pPr>
          </w:p>
        </w:tc>
      </w:tr>
      <w:tr w:rsidR="009164C8" w:rsidRPr="00CA4CF9" w:rsidTr="00413B1F">
        <w:trPr>
          <w:jc w:val="center"/>
        </w:trPr>
        <w:tc>
          <w:tcPr>
            <w:tcW w:w="4876" w:type="dxa"/>
          </w:tcPr>
          <w:p w:rsidR="0052409B" w:rsidRPr="00CA4CF9" w:rsidRDefault="00772EA1" w:rsidP="00413B1F">
            <w:pPr>
              <w:pStyle w:val="Normal6"/>
            </w:pPr>
            <w:r w:rsidRPr="00CA4CF9">
              <w:rPr>
                <w:b/>
                <w:i/>
                <w:vertAlign w:val="superscript"/>
              </w:rPr>
              <w:t xml:space="preserve">92 </w:t>
            </w:r>
            <w:r w:rsidRPr="00CA4CF9">
              <w:rPr>
                <w:b/>
                <w:i/>
              </w:rPr>
              <w:t>Om evaluering af grænseværdierne for erhvervsmæssig eksponering for bly og blyforbindelser, forelagt den 11. juni 2020. (Se afsnit 8.2.4 i bilaget til udtalels</w:t>
            </w:r>
            <w:r w:rsidRPr="00CA4CF9">
              <w:rPr>
                <w:b/>
                <w:i/>
              </w:rPr>
              <w:t>en). https://echa.europa.eu/documents/10162/ed7a37e4-1641-b147-aaac-fce4c3014037.</w:t>
            </w:r>
          </w:p>
        </w:tc>
        <w:tc>
          <w:tcPr>
            <w:tcW w:w="4876" w:type="dxa"/>
          </w:tcPr>
          <w:p w:rsidR="0052409B" w:rsidRPr="00CA4CF9" w:rsidRDefault="0052409B" w:rsidP="00413B1F">
            <w:pPr>
              <w:pStyle w:val="Normal6"/>
              <w:rPr>
                <w:szCs w:val="24"/>
              </w:rPr>
            </w:pP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9</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Betragtning 12</w:t>
      </w:r>
      <w:r w:rsidRPr="00CA4CF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413B1F">
        <w:trPr>
          <w:jc w:val="center"/>
        </w:trPr>
        <w:tc>
          <w:tcPr>
            <w:tcW w:w="9752" w:type="dxa"/>
            <w:gridSpan w:val="2"/>
          </w:tcPr>
          <w:p w:rsidR="0052409B" w:rsidRPr="00CA4CF9" w:rsidRDefault="0052409B" w:rsidP="00413B1F">
            <w:pPr>
              <w:keepNext/>
            </w:pPr>
          </w:p>
        </w:tc>
      </w:tr>
      <w:tr w:rsidR="009164C8" w:rsidRPr="00CA4CF9" w:rsidTr="00413B1F">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413B1F">
        <w:trPr>
          <w:jc w:val="center"/>
        </w:trPr>
        <w:tc>
          <w:tcPr>
            <w:tcW w:w="4876" w:type="dxa"/>
          </w:tcPr>
          <w:p w:rsidR="0052409B" w:rsidRPr="00CA4CF9" w:rsidRDefault="00772EA1" w:rsidP="00413B1F">
            <w:pPr>
              <w:pStyle w:val="Normal6"/>
            </w:pPr>
            <w:r w:rsidRPr="00CA4CF9">
              <w:t>(12)</w:t>
            </w:r>
            <w:r w:rsidRPr="00CA4CF9">
              <w:tab/>
              <w:t>Diisocyanater kan absorberes gennem huden, og eksponering for diisocyanater på arbejdspladsen kan også medføre hudsensibilisering og sensibilisering af luftvejene. Der bør derfor fastsættes en grænseværdi for erh</w:t>
            </w:r>
            <w:r w:rsidRPr="00CA4CF9">
              <w:t xml:space="preserve">vervsmæssig eksponering på 6 </w:t>
            </w:r>
            <w:r w:rsidRPr="00CA4CF9">
              <w:rPr>
                <w:b/>
                <w:i/>
              </w:rPr>
              <w:t>µg/m³</w:t>
            </w:r>
            <w:r w:rsidRPr="00CA4CF9">
              <w:t xml:space="preserve"> og en grænse for kortvarig eksponering på 12 </w:t>
            </w:r>
            <w:r w:rsidRPr="00CA4CF9">
              <w:rPr>
                <w:b/>
                <w:i/>
              </w:rPr>
              <w:t>µg/m³</w:t>
            </w:r>
            <w:r w:rsidRPr="00CA4CF9">
              <w:t xml:space="preserve"> for denne gruppe af kemiske agenser, og der bør tildeles en anmærkning for hud og for hudsensibilisering og sensibilisering ved indånding.</w:t>
            </w:r>
          </w:p>
        </w:tc>
        <w:tc>
          <w:tcPr>
            <w:tcW w:w="4876" w:type="dxa"/>
          </w:tcPr>
          <w:p w:rsidR="0052409B" w:rsidRPr="00CA4CF9" w:rsidRDefault="00772EA1" w:rsidP="00413B1F">
            <w:pPr>
              <w:pStyle w:val="Normal6"/>
              <w:rPr>
                <w:szCs w:val="24"/>
              </w:rPr>
            </w:pPr>
            <w:r w:rsidRPr="00CA4CF9">
              <w:t>(12)</w:t>
            </w:r>
            <w:r w:rsidRPr="00CA4CF9">
              <w:tab/>
              <w:t>Diisocyanater kan absorber</w:t>
            </w:r>
            <w:r w:rsidRPr="00CA4CF9">
              <w:t xml:space="preserve">es gennem huden, og eksponering for diisocyanater på arbejdspladsen kan også medføre hudsensibilisering og sensibilisering af luftvejene. Der bør derfor fastsættes en grænseværdi for erhvervsmæssig eksponering på 6 </w:t>
            </w:r>
            <w:r w:rsidRPr="00CA4CF9">
              <w:rPr>
                <w:b/>
                <w:i/>
              </w:rPr>
              <w:t>µg NCO/m³</w:t>
            </w:r>
            <w:r w:rsidRPr="00CA4CF9">
              <w:t xml:space="preserve"> og en grænse for kortvarig eksp</w:t>
            </w:r>
            <w:r w:rsidRPr="00CA4CF9">
              <w:t xml:space="preserve">onering på 12 </w:t>
            </w:r>
            <w:r w:rsidRPr="00CA4CF9">
              <w:rPr>
                <w:b/>
                <w:i/>
              </w:rPr>
              <w:t xml:space="preserve">µg NCO/m³ </w:t>
            </w:r>
            <w:r w:rsidRPr="00CA4CF9">
              <w:t>for denne gruppe af kemiske agenser, og der bør tildeles en anmærkning for hud og for hudsensibilisering og sensibilisering ved indånding.</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10</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w:t>
      </w:r>
      <w:r w:rsidRPr="00CA4CF9">
        <w:rPr>
          <w:rStyle w:val="HideTWBExt"/>
          <w:b w:val="0"/>
          <w:noProof w:val="0"/>
        </w:rPr>
        <w:t>&gt;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Betragtning 13</w:t>
      </w:r>
      <w:r w:rsidRPr="00CA4CF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413B1F">
        <w:trPr>
          <w:jc w:val="center"/>
        </w:trPr>
        <w:tc>
          <w:tcPr>
            <w:tcW w:w="9752" w:type="dxa"/>
            <w:gridSpan w:val="2"/>
          </w:tcPr>
          <w:p w:rsidR="0052409B" w:rsidRPr="00CA4CF9" w:rsidRDefault="0052409B" w:rsidP="00413B1F">
            <w:pPr>
              <w:keepNext/>
            </w:pPr>
          </w:p>
        </w:tc>
      </w:tr>
      <w:tr w:rsidR="009164C8" w:rsidRPr="00CA4CF9" w:rsidTr="00413B1F">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413B1F">
        <w:trPr>
          <w:jc w:val="center"/>
        </w:trPr>
        <w:tc>
          <w:tcPr>
            <w:tcW w:w="4876" w:type="dxa"/>
          </w:tcPr>
          <w:p w:rsidR="0052409B" w:rsidRPr="00CA4CF9" w:rsidRDefault="00772EA1" w:rsidP="00413B1F">
            <w:pPr>
              <w:pStyle w:val="Normal6"/>
            </w:pPr>
            <w:r w:rsidRPr="00CA4CF9">
              <w:t>(13)</w:t>
            </w:r>
            <w:r w:rsidRPr="00CA4CF9">
              <w:tab/>
              <w:t xml:space="preserve">Det kan være vanskeligt at overholde en grænseværdi for erhvervsmæssig eksponering på 6 </w:t>
            </w:r>
            <w:r w:rsidRPr="00CA4CF9">
              <w:rPr>
                <w:b/>
                <w:i/>
              </w:rPr>
              <w:t>µg/m³</w:t>
            </w:r>
            <w:r w:rsidRPr="00CA4CF9">
              <w:t xml:space="preserve"> for diisocyanater ledsaget af en grænseværdi for kortvarig eksponering på 12 </w:t>
            </w:r>
            <w:r w:rsidRPr="00CA4CF9">
              <w:rPr>
                <w:b/>
                <w:i/>
              </w:rPr>
              <w:t>µg/m³</w:t>
            </w:r>
            <w:r w:rsidRPr="00CA4CF9">
              <w:t>. Dette problem skyldes tekniske problemer med gennemførligheden af målinger og den tid, der er nødvendig for at gennemføre risikostyringsforanstaltninger, navnlig i downstr</w:t>
            </w:r>
            <w:r w:rsidRPr="00CA4CF9">
              <w:t xml:space="preserve">eam-sektorer, der omfatter aktiviteter såsom påføring af maling, arbejde med blymetal, nedrivning, reparation og håndtering af skrot, anden affaldshåndtering og rensning af jord. Derfor bør der gælde en overgangsværdi på 10 </w:t>
            </w:r>
            <w:r w:rsidRPr="00CA4CF9">
              <w:rPr>
                <w:b/>
                <w:i/>
              </w:rPr>
              <w:t xml:space="preserve">µg/m³ </w:t>
            </w:r>
            <w:r w:rsidRPr="00CA4CF9">
              <w:t>med en tilknyttet grænse f</w:t>
            </w:r>
            <w:r w:rsidRPr="00CA4CF9">
              <w:t xml:space="preserve">or kortvarig eksponering på 20 </w:t>
            </w:r>
            <w:r w:rsidRPr="00CA4CF9">
              <w:rPr>
                <w:b/>
                <w:i/>
              </w:rPr>
              <w:t>µg/m³</w:t>
            </w:r>
            <w:r w:rsidRPr="00CA4CF9">
              <w:t xml:space="preserve"> indtil den 31. december 2028.</w:t>
            </w:r>
          </w:p>
        </w:tc>
        <w:tc>
          <w:tcPr>
            <w:tcW w:w="4876" w:type="dxa"/>
          </w:tcPr>
          <w:p w:rsidR="0052409B" w:rsidRPr="00CA4CF9" w:rsidRDefault="00772EA1" w:rsidP="00413B1F">
            <w:pPr>
              <w:pStyle w:val="Normal6"/>
              <w:rPr>
                <w:szCs w:val="24"/>
              </w:rPr>
            </w:pPr>
            <w:r w:rsidRPr="00CA4CF9">
              <w:t>(13)</w:t>
            </w:r>
            <w:r w:rsidRPr="00CA4CF9">
              <w:tab/>
              <w:t xml:space="preserve">Det kan være vanskeligt at overholde en grænseværdi for erhvervsmæssig eksponering på 6 </w:t>
            </w:r>
            <w:r w:rsidRPr="00CA4CF9">
              <w:rPr>
                <w:b/>
                <w:i/>
              </w:rPr>
              <w:t>µg NCO/m³</w:t>
            </w:r>
            <w:r w:rsidRPr="00CA4CF9">
              <w:t xml:space="preserve"> for diisocyanater ledsaget af en grænseværdi for kortvarig eksponering på 12 </w:t>
            </w:r>
            <w:r w:rsidRPr="00CA4CF9">
              <w:rPr>
                <w:b/>
                <w:i/>
              </w:rPr>
              <w:t>µg NCO/m³</w:t>
            </w:r>
            <w:r w:rsidRPr="00CA4CF9">
              <w:t>. Dette problem skyldes tekniske problemer med gennemførligheden af målinger og den tid, der er nødvendig for at gennemføre risikostyringsforanstaltninger, navnlig i downstream-sektorer, der omfatter aktiviteter såsom påføring af maling, arbejde med blymet</w:t>
            </w:r>
            <w:r w:rsidRPr="00CA4CF9">
              <w:t xml:space="preserve">al, nedrivning, reparation og håndtering af skrot, anden affaldshåndtering og rensning af jord. Derfor bør der gælde en overgangsværdi på 10 </w:t>
            </w:r>
            <w:r w:rsidRPr="00CA4CF9">
              <w:rPr>
                <w:b/>
                <w:i/>
              </w:rPr>
              <w:t>µg/m³</w:t>
            </w:r>
            <w:r w:rsidRPr="00CA4CF9">
              <w:t xml:space="preserve"> med en tilknyttet grænse for kortvarig eksponering på 20 </w:t>
            </w:r>
            <w:r w:rsidRPr="00CA4CF9">
              <w:rPr>
                <w:b/>
                <w:i/>
              </w:rPr>
              <w:t>µg/m³</w:t>
            </w:r>
            <w:r w:rsidRPr="00CA4CF9">
              <w:t xml:space="preserve"> indtil den 31. december 2028.</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11</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Betragtning 15 a (ny)</w:t>
      </w:r>
      <w:r w:rsidRPr="00CA4CF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413B1F">
        <w:trPr>
          <w:jc w:val="center"/>
        </w:trPr>
        <w:tc>
          <w:tcPr>
            <w:tcW w:w="9752" w:type="dxa"/>
            <w:gridSpan w:val="2"/>
          </w:tcPr>
          <w:p w:rsidR="0052409B" w:rsidRPr="00CA4CF9" w:rsidRDefault="0052409B" w:rsidP="00413B1F">
            <w:pPr>
              <w:keepNext/>
            </w:pPr>
          </w:p>
        </w:tc>
      </w:tr>
      <w:tr w:rsidR="009164C8" w:rsidRPr="00CA4CF9" w:rsidTr="00413B1F">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413B1F">
        <w:trPr>
          <w:jc w:val="center"/>
        </w:trPr>
        <w:tc>
          <w:tcPr>
            <w:tcW w:w="4876" w:type="dxa"/>
          </w:tcPr>
          <w:p w:rsidR="0052409B" w:rsidRPr="00CA4CF9" w:rsidRDefault="0052409B" w:rsidP="00413B1F">
            <w:pPr>
              <w:pStyle w:val="Normal6"/>
            </w:pPr>
          </w:p>
        </w:tc>
        <w:tc>
          <w:tcPr>
            <w:tcW w:w="4876" w:type="dxa"/>
          </w:tcPr>
          <w:p w:rsidR="0052409B" w:rsidRPr="00CA4CF9" w:rsidRDefault="00772EA1" w:rsidP="00CA1930">
            <w:pPr>
              <w:pStyle w:val="Normal6"/>
              <w:rPr>
                <w:szCs w:val="24"/>
              </w:rPr>
            </w:pPr>
            <w:r w:rsidRPr="00CA4CF9">
              <w:rPr>
                <w:b/>
                <w:i/>
              </w:rPr>
              <w:t>(15a)</w:t>
            </w:r>
            <w:r w:rsidRPr="00CA4CF9">
              <w:rPr>
                <w:b/>
                <w:i/>
              </w:rPr>
              <w:tab/>
              <w:t xml:space="preserve">Efter vedtagelsen af Kommissionens delegerede forordning </w:t>
            </w:r>
            <w:r w:rsidRPr="00CA4CF9">
              <w:rPr>
                <w:b/>
                <w:i/>
              </w:rPr>
              <w:t>(EU) 2023/707</w:t>
            </w:r>
            <w:r w:rsidRPr="00CA4CF9">
              <w:rPr>
                <w:b/>
                <w:i/>
                <w:vertAlign w:val="superscript"/>
              </w:rPr>
              <w:t>1a</w:t>
            </w:r>
            <w:r w:rsidRPr="00CA4CF9">
              <w:rPr>
                <w:b/>
                <w:i/>
              </w:rPr>
              <w:t xml:space="preserve"> og indførelsen af en ny fareklasse for hormonforstyrrende stoffer bør sådanne stoffer være omfattet af EU's sundheds- og sikkerhedslovgivning. Det er derfor nødvendigt at overveje at udvide anvendelsesområdet for direktiv 2004/37/EF til ogs</w:t>
            </w:r>
            <w:r w:rsidRPr="00CA4CF9">
              <w:rPr>
                <w:b/>
                <w:i/>
              </w:rPr>
              <w:t>å at omfatte hormonforstyrrende stoffer, som har evnen til at interferere med hormonsystemet og derfor kan have sundhedsskadelige virkninger.</w:t>
            </w:r>
          </w:p>
        </w:tc>
      </w:tr>
      <w:tr w:rsidR="009164C8" w:rsidRPr="00CA4CF9" w:rsidTr="00413B1F">
        <w:trPr>
          <w:jc w:val="center"/>
        </w:trPr>
        <w:tc>
          <w:tcPr>
            <w:tcW w:w="4876" w:type="dxa"/>
          </w:tcPr>
          <w:p w:rsidR="0052409B" w:rsidRPr="00CA4CF9" w:rsidRDefault="0052409B" w:rsidP="00413B1F">
            <w:pPr>
              <w:pStyle w:val="Normal6"/>
            </w:pPr>
          </w:p>
        </w:tc>
        <w:tc>
          <w:tcPr>
            <w:tcW w:w="4876" w:type="dxa"/>
          </w:tcPr>
          <w:p w:rsidR="0052409B" w:rsidRPr="00CA4CF9" w:rsidRDefault="00772EA1" w:rsidP="00413B1F">
            <w:pPr>
              <w:pStyle w:val="Normal6"/>
              <w:rPr>
                <w:szCs w:val="24"/>
              </w:rPr>
            </w:pPr>
            <w:r w:rsidRPr="00CA4CF9">
              <w:rPr>
                <w:b/>
                <w:i/>
              </w:rPr>
              <w:t>__________________</w:t>
            </w:r>
          </w:p>
        </w:tc>
      </w:tr>
      <w:tr w:rsidR="009164C8" w:rsidRPr="00CA4CF9" w:rsidTr="00413B1F">
        <w:trPr>
          <w:jc w:val="center"/>
        </w:trPr>
        <w:tc>
          <w:tcPr>
            <w:tcW w:w="4876" w:type="dxa"/>
          </w:tcPr>
          <w:p w:rsidR="0052409B" w:rsidRPr="00CA4CF9" w:rsidRDefault="0052409B" w:rsidP="00413B1F">
            <w:pPr>
              <w:pStyle w:val="Normal6"/>
            </w:pPr>
          </w:p>
        </w:tc>
        <w:tc>
          <w:tcPr>
            <w:tcW w:w="4876" w:type="dxa"/>
          </w:tcPr>
          <w:p w:rsidR="0052409B" w:rsidRPr="00CA4CF9" w:rsidRDefault="00772EA1" w:rsidP="00413B1F">
            <w:pPr>
              <w:pStyle w:val="Normal6"/>
              <w:rPr>
                <w:szCs w:val="24"/>
              </w:rPr>
            </w:pPr>
            <w:r w:rsidRPr="00CA4CF9">
              <w:rPr>
                <w:b/>
                <w:i/>
                <w:vertAlign w:val="superscript"/>
              </w:rPr>
              <w:t>1a</w:t>
            </w:r>
            <w:r w:rsidRPr="00CA4CF9">
              <w:rPr>
                <w:b/>
                <w:i/>
              </w:rPr>
              <w:t xml:space="preserve"> Kommissionens delegerede forordning (EU) 2023/707 af 19. december 2022 om ændring af forordning (EF) nr. 1272/2008 om klassificering, mærkning og emballering af stoffer og blandinger (EUT L 93 af 31.3.2023, s. 7).</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pPr>
        <w:pStyle w:val="JustificationTitle"/>
        <w:rPr>
          <w:noProof w:val="0"/>
        </w:rPr>
      </w:pPr>
      <w:r w:rsidRPr="00CA4CF9">
        <w:rPr>
          <w:rStyle w:val="HideTWBExt"/>
          <w:i w:val="0"/>
          <w:noProof w:val="0"/>
        </w:rPr>
        <w:t>&lt;TitreJu</w:t>
      </w:r>
      <w:r w:rsidRPr="00CA4CF9">
        <w:rPr>
          <w:rStyle w:val="HideTWBExt"/>
          <w:i w:val="0"/>
          <w:noProof w:val="0"/>
        </w:rPr>
        <w:t>st&gt;</w:t>
      </w:r>
      <w:r w:rsidRPr="00CA4CF9">
        <w:rPr>
          <w:noProof w:val="0"/>
        </w:rPr>
        <w:t>Begrundelse</w:t>
      </w:r>
      <w:r w:rsidRPr="00CA4CF9">
        <w:rPr>
          <w:rStyle w:val="HideTWBExt"/>
          <w:i w:val="0"/>
          <w:noProof w:val="0"/>
        </w:rPr>
        <w:t>&lt;/TitreJust&gt;</w:t>
      </w:r>
    </w:p>
    <w:p w:rsidR="0052409B" w:rsidRPr="00CA4CF9" w:rsidRDefault="00772EA1" w:rsidP="0052409B">
      <w:pPr>
        <w:pStyle w:val="Normal12Italic"/>
        <w:rPr>
          <w:noProof w:val="0"/>
        </w:rPr>
      </w:pPr>
      <w:r w:rsidRPr="00CA4CF9">
        <w:rPr>
          <w:noProof w:val="0"/>
        </w:rPr>
        <w:t>I sin initiativbetænkning om en ny EU-strategiramme for sundhed og sikkerhed på arbejdspladsen efter 2020 (herunder en bedre beskyttelse af arbejdstagere mod eksponering for skadelige stoffer, stress på arbejdspladsen og skader s</w:t>
      </w:r>
      <w:r w:rsidRPr="00CA4CF9">
        <w:rPr>
          <w:noProof w:val="0"/>
        </w:rPr>
        <w:t>om følge af gentagne bevægelser) af 9. februar 2022 understreger Europa-Parlamentet, at EU-lovgivning bør beskytte arbejdstagerne mod eksponering for hormonforstyrrende stoffer. Kilde: https://www.europarl.europa.eu/doceo/document/TA-9-2022-0068_EN.pdf.</w:t>
      </w:r>
    </w:p>
    <w:p w:rsidR="0052409B" w:rsidRPr="00CA4CF9" w:rsidRDefault="00772EA1" w:rsidP="0052409B">
      <w:r w:rsidRPr="00CA4CF9">
        <w:rPr>
          <w:rStyle w:val="HideTWBExt"/>
          <w:noProof w:val="0"/>
        </w:rPr>
        <w:t>&lt;/</w:t>
      </w:r>
      <w:r w:rsidRPr="00CA4CF9">
        <w:rPr>
          <w:rStyle w:val="HideTWBExt"/>
          <w:noProof w:val="0"/>
        </w:rPr>
        <w: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12</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Betragtning 15 b (ny)</w:t>
      </w:r>
      <w:r w:rsidRPr="00CA4CF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413B1F">
        <w:trPr>
          <w:jc w:val="center"/>
        </w:trPr>
        <w:tc>
          <w:tcPr>
            <w:tcW w:w="9752" w:type="dxa"/>
            <w:gridSpan w:val="2"/>
          </w:tcPr>
          <w:p w:rsidR="0052409B" w:rsidRPr="00CA4CF9" w:rsidRDefault="0052409B" w:rsidP="00413B1F">
            <w:pPr>
              <w:keepNext/>
            </w:pPr>
          </w:p>
        </w:tc>
      </w:tr>
      <w:tr w:rsidR="009164C8" w:rsidRPr="00CA4CF9" w:rsidTr="00413B1F">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413B1F">
        <w:trPr>
          <w:jc w:val="center"/>
        </w:trPr>
        <w:tc>
          <w:tcPr>
            <w:tcW w:w="4876" w:type="dxa"/>
          </w:tcPr>
          <w:p w:rsidR="0052409B" w:rsidRPr="00CA4CF9" w:rsidRDefault="0052409B" w:rsidP="00413B1F">
            <w:pPr>
              <w:pStyle w:val="Normal6"/>
            </w:pPr>
          </w:p>
        </w:tc>
        <w:tc>
          <w:tcPr>
            <w:tcW w:w="4876" w:type="dxa"/>
          </w:tcPr>
          <w:p w:rsidR="0052409B" w:rsidRPr="00CA4CF9" w:rsidRDefault="00772EA1" w:rsidP="00413B1F">
            <w:pPr>
              <w:pStyle w:val="Normal6"/>
              <w:rPr>
                <w:szCs w:val="24"/>
              </w:rPr>
            </w:pPr>
            <w:r w:rsidRPr="00CA4CF9">
              <w:rPr>
                <w:b/>
                <w:i/>
              </w:rPr>
              <w:t>(15b)</w:t>
            </w:r>
            <w:r w:rsidRPr="00CA4CF9">
              <w:rPr>
                <w:b/>
                <w:i/>
              </w:rPr>
              <w:tab/>
              <w:t xml:space="preserve">For at sikre et omfattende beskyttelsesniveau er det nødvendigt at overveje </w:t>
            </w:r>
            <w:r w:rsidRPr="00CA4CF9">
              <w:rPr>
                <w:b/>
                <w:i/>
              </w:rPr>
              <w:t>virkningerne af kombineret eksponering for flere stoffer. På arbejdspladsen bliver arbejdstagere ofte udsat for en blanding af farlige stoffer, som kan øge risikoen for og forårsage sundhedsskader. Ved eksponering for en kombination af stoffer, der har sam</w:t>
            </w:r>
            <w:r w:rsidRPr="00CA4CF9">
              <w:rPr>
                <w:b/>
                <w:i/>
              </w:rPr>
              <w:t>me virkningsmekanisme eller angriber samme målcelle eller målvæv, er det nødvendigt at tilpasse gennemførelsen af deres mulige grænseværdier for at tage højde for deres kombinerede virkninger.</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pPr>
        <w:pStyle w:val="JustificationTitle"/>
        <w:rPr>
          <w:noProof w:val="0"/>
        </w:rPr>
      </w:pPr>
      <w:r w:rsidRPr="00CA4CF9">
        <w:rPr>
          <w:rStyle w:val="HideTWBExt"/>
          <w:i w:val="0"/>
          <w:noProof w:val="0"/>
        </w:rPr>
        <w:t>&lt;TitreJust&gt;</w:t>
      </w:r>
      <w:r w:rsidRPr="00CA4CF9">
        <w:rPr>
          <w:noProof w:val="0"/>
        </w:rPr>
        <w:t>Begrundelse</w:t>
      </w:r>
      <w:r w:rsidRPr="00CA4CF9">
        <w:rPr>
          <w:rStyle w:val="HideTWBExt"/>
          <w:i w:val="0"/>
          <w:noProof w:val="0"/>
        </w:rPr>
        <w:t>&lt;/TitreJust&gt;</w:t>
      </w:r>
    </w:p>
    <w:p w:rsidR="0052409B" w:rsidRPr="00CA4CF9" w:rsidRDefault="00772EA1" w:rsidP="0052409B">
      <w:pPr>
        <w:pStyle w:val="Normal12Italic"/>
        <w:rPr>
          <w:noProof w:val="0"/>
        </w:rPr>
      </w:pPr>
      <w:r w:rsidRPr="00CA4CF9">
        <w:rPr>
          <w:noProof w:val="0"/>
        </w:rPr>
        <w:t>Denne ændring blev fremsat i Europa-Parlamentets beslutning af 7. april 2021 om forslag til Europa-Parlamentets og Rådets direktiv om ændring af direktiv 2004/37/EF om beskyttelse af arbejdstagerne mod risici for under arbejdet at være udsat f</w:t>
      </w:r>
      <w:r w:rsidRPr="00CA4CF9">
        <w:rPr>
          <w:noProof w:val="0"/>
        </w:rPr>
        <w:t>or kræftfremkaldende stoffer og mutagener (CMD4). Kilde: https://www.europarl.europa.eu/doceo/document/A-9-2021-0114_DA.pdf.</w:t>
      </w:r>
    </w:p>
    <w:p w:rsidR="0052409B" w:rsidRPr="00CA4CF9" w:rsidRDefault="00772EA1" w:rsidP="0052409B">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13</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Betragtning 15 c (ny)</w:t>
      </w:r>
      <w:r w:rsidRPr="00CA4CF9">
        <w:rPr>
          <w:rStyle w:val="HideTWBExt"/>
          <w:b w:val="0"/>
          <w:noProof w:val="0"/>
        </w:rPr>
        <w:t>&lt;/Articl</w:t>
      </w:r>
      <w:r w:rsidRPr="00CA4CF9">
        <w:rPr>
          <w:rStyle w:val="HideTWBExt"/>
          <w:b w:val="0"/>
          <w:noProof w:val="0"/>
        </w:rPr>
        <w:t>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413B1F">
        <w:trPr>
          <w:jc w:val="center"/>
        </w:trPr>
        <w:tc>
          <w:tcPr>
            <w:tcW w:w="9752" w:type="dxa"/>
            <w:gridSpan w:val="2"/>
          </w:tcPr>
          <w:p w:rsidR="0052409B" w:rsidRPr="00CA4CF9" w:rsidRDefault="0052409B" w:rsidP="00413B1F">
            <w:pPr>
              <w:keepNext/>
            </w:pPr>
          </w:p>
        </w:tc>
      </w:tr>
      <w:tr w:rsidR="009164C8" w:rsidRPr="00CA4CF9" w:rsidTr="00413B1F">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413B1F">
        <w:trPr>
          <w:jc w:val="center"/>
        </w:trPr>
        <w:tc>
          <w:tcPr>
            <w:tcW w:w="4876" w:type="dxa"/>
          </w:tcPr>
          <w:p w:rsidR="0052409B" w:rsidRPr="00CA4CF9" w:rsidRDefault="0052409B" w:rsidP="00413B1F">
            <w:pPr>
              <w:pStyle w:val="Normal6"/>
            </w:pPr>
          </w:p>
        </w:tc>
        <w:tc>
          <w:tcPr>
            <w:tcW w:w="4876" w:type="dxa"/>
          </w:tcPr>
          <w:p w:rsidR="0052409B" w:rsidRPr="00CA4CF9" w:rsidRDefault="00772EA1" w:rsidP="00CA1930">
            <w:pPr>
              <w:pStyle w:val="Normal6"/>
              <w:rPr>
                <w:szCs w:val="24"/>
              </w:rPr>
            </w:pPr>
            <w:r w:rsidRPr="00CA4CF9">
              <w:rPr>
                <w:b/>
                <w:i/>
              </w:rPr>
              <w:t>(15c)</w:t>
            </w:r>
            <w:r w:rsidRPr="00CA4CF9">
              <w:rPr>
                <w:b/>
                <w:i/>
              </w:rPr>
              <w:tab/>
              <w:t xml:space="preserve">Verdenssundhedsorganisationen har klassificeret den erhvervsmæssige eksponering af brandfolk som kræftfremkaldende for mennesker (gruppe 1). Brandfolks erhvervsmæssige eksponering omfatter en række </w:t>
            </w:r>
            <w:r w:rsidRPr="00CA4CF9">
              <w:rPr>
                <w:b/>
                <w:i/>
              </w:rPr>
              <w:t>forskellige farer som følge af brande og ikkebrandhændelser. Brandfolk kan blive udsat for forbrændingsprodukter fra brande, byggematerialer, kemikalier i slukningsskum, flammehæmmere og dieseludstødning. Optagelse af brandspildevand eller andre kemikalier</w:t>
            </w:r>
            <w:r w:rsidRPr="00CA4CF9">
              <w:rPr>
                <w:b/>
                <w:i/>
              </w:rPr>
              <w:t xml:space="preserve"> kan ske via indånding og hudkontakt og muligvis via indtagelse. Disse arbejdstagere bør derfor beskyttes bedre mod denne eksponering.</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pPr>
        <w:pStyle w:val="JustificationTitle"/>
        <w:rPr>
          <w:noProof w:val="0"/>
        </w:rPr>
      </w:pPr>
      <w:r w:rsidRPr="00CA4CF9">
        <w:rPr>
          <w:rStyle w:val="HideTWBExt"/>
          <w:i w:val="0"/>
          <w:noProof w:val="0"/>
        </w:rPr>
        <w:t>&lt;TitreJust&gt;</w:t>
      </w:r>
      <w:r w:rsidRPr="00CA4CF9">
        <w:rPr>
          <w:noProof w:val="0"/>
        </w:rPr>
        <w:t>Begrundelse</w:t>
      </w:r>
      <w:r w:rsidRPr="00CA4CF9">
        <w:rPr>
          <w:rStyle w:val="HideTWBExt"/>
          <w:i w:val="0"/>
          <w:noProof w:val="0"/>
        </w:rPr>
        <w:t>&lt;/TitreJust&gt;</w:t>
      </w:r>
    </w:p>
    <w:p w:rsidR="0052409B" w:rsidRPr="00CA4CF9" w:rsidRDefault="00772EA1" w:rsidP="0052409B">
      <w:pPr>
        <w:pStyle w:val="Normal12Italic"/>
        <w:rPr>
          <w:noProof w:val="0"/>
        </w:rPr>
      </w:pPr>
      <w:r w:rsidRPr="00CA4CF9">
        <w:rPr>
          <w:noProof w:val="0"/>
        </w:rPr>
        <w:t>Kilde: https://monographs.iarc.who.int/list-of-classi</w:t>
      </w:r>
      <w:r w:rsidRPr="00CA4CF9">
        <w:rPr>
          <w:noProof w:val="0"/>
        </w:rPr>
        <w:t>fications.</w:t>
      </w:r>
    </w:p>
    <w:p w:rsidR="0052409B" w:rsidRPr="00CA4CF9" w:rsidRDefault="00772EA1" w:rsidP="0052409B">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14</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Betragtning 15 d (ny)</w:t>
      </w:r>
      <w:r w:rsidRPr="00CA4CF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413B1F">
        <w:trPr>
          <w:jc w:val="center"/>
        </w:trPr>
        <w:tc>
          <w:tcPr>
            <w:tcW w:w="9752" w:type="dxa"/>
            <w:gridSpan w:val="2"/>
          </w:tcPr>
          <w:p w:rsidR="0052409B" w:rsidRPr="00CA4CF9" w:rsidRDefault="0052409B" w:rsidP="00413B1F">
            <w:pPr>
              <w:keepNext/>
            </w:pPr>
          </w:p>
        </w:tc>
      </w:tr>
      <w:tr w:rsidR="009164C8" w:rsidRPr="00CA4CF9" w:rsidTr="00413B1F">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413B1F">
        <w:trPr>
          <w:jc w:val="center"/>
        </w:trPr>
        <w:tc>
          <w:tcPr>
            <w:tcW w:w="4876" w:type="dxa"/>
          </w:tcPr>
          <w:p w:rsidR="0052409B" w:rsidRPr="00CA4CF9" w:rsidRDefault="0052409B" w:rsidP="00413B1F">
            <w:pPr>
              <w:pStyle w:val="Normal6"/>
            </w:pPr>
          </w:p>
        </w:tc>
        <w:tc>
          <w:tcPr>
            <w:tcW w:w="4876" w:type="dxa"/>
          </w:tcPr>
          <w:p w:rsidR="0052409B" w:rsidRPr="00CA4CF9" w:rsidRDefault="00772EA1" w:rsidP="007C2624">
            <w:pPr>
              <w:pStyle w:val="Normal6"/>
              <w:rPr>
                <w:szCs w:val="24"/>
              </w:rPr>
            </w:pPr>
            <w:r w:rsidRPr="00CA4CF9">
              <w:rPr>
                <w:b/>
                <w:i/>
              </w:rPr>
              <w:t>(15d)</w:t>
            </w:r>
            <w:r w:rsidRPr="00CA4CF9">
              <w:rPr>
                <w:b/>
                <w:i/>
              </w:rPr>
              <w:tab/>
              <w:t xml:space="preserve">Unionens indsats, som den europæiske grønne pagt, der blev </w:t>
            </w:r>
            <w:r w:rsidRPr="00CA4CF9">
              <w:rPr>
                <w:b/>
                <w:i/>
              </w:rPr>
              <w:t>lanceret i Kommissionens meddelelse af 11. december 2019 og initiativet om kritiske råstoffer, der lanceredes med Kommissionens meddelelse den 16. marts 2023 om et sikkert og bæredygtigt udbud af kritiske råstoffer til støtte for den dobbelte omstilling, f</w:t>
            </w:r>
            <w:r w:rsidRPr="00CA4CF9">
              <w:rPr>
                <w:b/>
                <w:i/>
              </w:rPr>
              <w:t>remmer bæredygtig udvikling, som kræver en balance mellem miljømæssige, økonomiske og sociale hensyn. Ved at indføre bindende grænseværdier for erhvervsmæssig eksponering for kræftfremkaldende stoffer, mutagener og reproduktionstoksiske stoffer er arbejdst</w:t>
            </w:r>
            <w:r w:rsidRPr="00CA4CF9">
              <w:rPr>
                <w:b/>
                <w:i/>
              </w:rPr>
              <w:t>agere bedre beskyttet mod skader og kan fortsætte med at arbejde så sikkert som muligt i industrier, der producerer kritiske råstoffer eller bidrager til den grønne økonomi. Dette fremmer endvidere en retfærdig grøn og digital omstilling ved at sikre, at a</w:t>
            </w:r>
            <w:r w:rsidRPr="00CA4CF9">
              <w:rPr>
                <w:b/>
                <w:i/>
              </w:rPr>
              <w:t>rbejdstagernes sundhed ikke kompromitteres af hensyn til Unionens økonomiske og miljømæssige mål. Beskyttelse af arbejdstagere mod eksponering for farlige stoffer bidrager også til målene for den europæisk plan for bekæmpelse af kræft som fastsat i Kommiss</w:t>
            </w:r>
            <w:r w:rsidRPr="00CA4CF9">
              <w:rPr>
                <w:b/>
                <w:i/>
              </w:rPr>
              <w:t>ionens meddelelse af 3. februar 2021.</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r w:rsidRPr="00CA4CF9">
        <w:rPr>
          <w:rStyle w:val="HideTWBExt"/>
          <w:noProof w:val="0"/>
        </w:rPr>
        <w:t>&lt;/Amend&gt;</w:t>
      </w:r>
    </w:p>
    <w:p w:rsidR="00DF7819" w:rsidRPr="00CA4CF9" w:rsidRDefault="00772EA1" w:rsidP="00DF7819">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15</w:t>
      </w:r>
      <w:r w:rsidRPr="00CA4CF9">
        <w:rPr>
          <w:rStyle w:val="HideTWBExt"/>
          <w:b w:val="0"/>
          <w:noProof w:val="0"/>
        </w:rPr>
        <w:t>&lt;/NumAm&gt;</w:t>
      </w:r>
    </w:p>
    <w:p w:rsidR="00DF7819" w:rsidRPr="00CA4CF9" w:rsidRDefault="00772EA1" w:rsidP="00DF7819">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DF7819" w:rsidRPr="00CA4CF9" w:rsidRDefault="00772EA1" w:rsidP="00DF7819">
      <w:pPr>
        <w:pStyle w:val="NormalBold"/>
      </w:pPr>
      <w:r w:rsidRPr="00CA4CF9">
        <w:rPr>
          <w:rStyle w:val="HideTWBExt"/>
          <w:b w:val="0"/>
          <w:noProof w:val="0"/>
        </w:rPr>
        <w:t>&lt;Article&gt;</w:t>
      </w:r>
      <w:r w:rsidRPr="00CA4CF9">
        <w:t>Betragtning 15 e (ny)</w:t>
      </w:r>
      <w:r w:rsidRPr="00CA4CF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413B1F">
        <w:trPr>
          <w:jc w:val="center"/>
        </w:trPr>
        <w:tc>
          <w:tcPr>
            <w:tcW w:w="9752" w:type="dxa"/>
            <w:gridSpan w:val="2"/>
          </w:tcPr>
          <w:p w:rsidR="00DF7819" w:rsidRPr="00CA4CF9" w:rsidRDefault="00DF7819" w:rsidP="00413B1F">
            <w:pPr>
              <w:keepNext/>
            </w:pPr>
          </w:p>
        </w:tc>
      </w:tr>
      <w:tr w:rsidR="009164C8" w:rsidRPr="00CA4CF9" w:rsidTr="00413B1F">
        <w:trPr>
          <w:jc w:val="center"/>
        </w:trPr>
        <w:tc>
          <w:tcPr>
            <w:tcW w:w="4876" w:type="dxa"/>
          </w:tcPr>
          <w:p w:rsidR="00DF7819" w:rsidRPr="00CA4CF9" w:rsidRDefault="00772EA1" w:rsidP="00413B1F">
            <w:pPr>
              <w:pStyle w:val="ColumnHeading"/>
              <w:keepNext/>
            </w:pPr>
            <w:r w:rsidRPr="00CA4CF9">
              <w:t>Kommissionens forslag</w:t>
            </w:r>
          </w:p>
        </w:tc>
        <w:tc>
          <w:tcPr>
            <w:tcW w:w="4876" w:type="dxa"/>
          </w:tcPr>
          <w:p w:rsidR="00DF7819" w:rsidRPr="00CA4CF9" w:rsidRDefault="00772EA1" w:rsidP="00413B1F">
            <w:pPr>
              <w:pStyle w:val="ColumnHeading"/>
              <w:keepNext/>
            </w:pPr>
            <w:r w:rsidRPr="00CA4CF9">
              <w:t>Ændringsforslag</w:t>
            </w:r>
          </w:p>
        </w:tc>
      </w:tr>
      <w:tr w:rsidR="009164C8" w:rsidRPr="00CA4CF9" w:rsidTr="00413B1F">
        <w:trPr>
          <w:jc w:val="center"/>
        </w:trPr>
        <w:tc>
          <w:tcPr>
            <w:tcW w:w="4876" w:type="dxa"/>
          </w:tcPr>
          <w:p w:rsidR="00DF7819" w:rsidRPr="00CA4CF9" w:rsidRDefault="00DF7819" w:rsidP="00413B1F">
            <w:pPr>
              <w:pStyle w:val="Normal6"/>
            </w:pPr>
          </w:p>
        </w:tc>
        <w:tc>
          <w:tcPr>
            <w:tcW w:w="4876" w:type="dxa"/>
          </w:tcPr>
          <w:p w:rsidR="00DF7819" w:rsidRPr="00CA4CF9" w:rsidRDefault="00772EA1" w:rsidP="00CA1930">
            <w:pPr>
              <w:pStyle w:val="Normal6"/>
              <w:rPr>
                <w:szCs w:val="24"/>
              </w:rPr>
            </w:pPr>
            <w:r w:rsidRPr="00CA4CF9">
              <w:rPr>
                <w:b/>
                <w:i/>
              </w:rPr>
              <w:t>(15e)</w:t>
            </w:r>
            <w:r w:rsidRPr="00CA4CF9">
              <w:rPr>
                <w:b/>
                <w:i/>
              </w:rPr>
              <w:tab/>
              <w:t xml:space="preserve">På </w:t>
            </w:r>
            <w:r w:rsidRPr="00CA4CF9">
              <w:rPr>
                <w:b/>
                <w:i/>
              </w:rPr>
              <w:t xml:space="preserve">grund af uforudsigelig eksponering for visse stoffer, en blanding af stoffer eller begrænsninger i tilrettelæggelsen af arbejdet, bør nogle erhverv anses for at være kræftfremkaldende i sig selv. I nogle erhverv er det vanskeligt at forudsige og forberede </w:t>
            </w:r>
            <w:r w:rsidRPr="00CA4CF9">
              <w:rPr>
                <w:b/>
                <w:i/>
              </w:rPr>
              <w:t>sig på, i hvilket omfang arbejdstagere vil blive udsat for stoffer eller blandinger af stoffer. Det må forventes, at Verdenssundhedsorganisationens liste over kræftfremkaldende farer vil blive udvidet i overensstemmelse med den stigende mængde data og frem</w:t>
            </w:r>
            <w:r w:rsidRPr="00CA4CF9">
              <w:rPr>
                <w:b/>
                <w:i/>
              </w:rPr>
              <w:t>skridt inden for medicinsk og videnskabelig forskning, som belyser den kræftfremkaldende karakter af nogle erhverv. Derfor vil en ikkeudtømmende EU-liste over erhverv, der anses for at være kræftfremkaldende, hjælpe arbejdsgivere med at kortlægge anerkendt</w:t>
            </w:r>
            <w:r w:rsidRPr="00CA4CF9">
              <w:rPr>
                <w:b/>
                <w:i/>
              </w:rPr>
              <w:t>e erhverv med denne risiko og lette gennemførelsen af passende beskyttelsesforanstaltninger og uddannelse i henhold til direktiv 98/24/EF og 2004/37/EF. Selv om beskyttelsesforanstaltningerne i henhold til direktiv 98/24/EF og 2004/37/EF ikke kun bør omfat</w:t>
            </w:r>
            <w:r w:rsidRPr="00CA4CF9">
              <w:rPr>
                <w:b/>
                <w:i/>
              </w:rPr>
              <w:t>te erhverv på denne liste, vil listen kunne være en vejledning for arbejdsgiverne.</w:t>
            </w:r>
          </w:p>
        </w:tc>
      </w:tr>
    </w:tbl>
    <w:p w:rsidR="00DF7819" w:rsidRPr="00CA4CF9" w:rsidRDefault="00772EA1" w:rsidP="00DF7819">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DF7819" w:rsidRPr="00CA4CF9" w:rsidRDefault="00772EA1" w:rsidP="00DF7819">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16</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Betragtning 15 f (ny)</w:t>
      </w:r>
      <w:r w:rsidRPr="00CA4CF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413B1F">
        <w:trPr>
          <w:jc w:val="center"/>
        </w:trPr>
        <w:tc>
          <w:tcPr>
            <w:tcW w:w="9752" w:type="dxa"/>
            <w:gridSpan w:val="2"/>
          </w:tcPr>
          <w:p w:rsidR="0052409B" w:rsidRPr="00CA4CF9" w:rsidRDefault="0052409B" w:rsidP="00413B1F">
            <w:pPr>
              <w:keepNext/>
            </w:pPr>
          </w:p>
        </w:tc>
      </w:tr>
      <w:tr w:rsidR="009164C8" w:rsidRPr="00CA4CF9" w:rsidTr="00413B1F">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413B1F">
        <w:trPr>
          <w:jc w:val="center"/>
        </w:trPr>
        <w:tc>
          <w:tcPr>
            <w:tcW w:w="4876" w:type="dxa"/>
          </w:tcPr>
          <w:p w:rsidR="0052409B" w:rsidRPr="00CA4CF9" w:rsidRDefault="0052409B" w:rsidP="00413B1F">
            <w:pPr>
              <w:pStyle w:val="Normal6"/>
            </w:pPr>
          </w:p>
        </w:tc>
        <w:tc>
          <w:tcPr>
            <w:tcW w:w="4876" w:type="dxa"/>
          </w:tcPr>
          <w:p w:rsidR="0052409B" w:rsidRPr="00CA4CF9" w:rsidRDefault="00772EA1" w:rsidP="00CA1930">
            <w:pPr>
              <w:pStyle w:val="Normal6"/>
              <w:rPr>
                <w:szCs w:val="24"/>
              </w:rPr>
            </w:pPr>
            <w:r w:rsidRPr="00CA4CF9">
              <w:rPr>
                <w:b/>
                <w:i/>
              </w:rPr>
              <w:t>(15f)</w:t>
            </w:r>
            <w:r w:rsidRPr="00CA4CF9">
              <w:rPr>
                <w:b/>
                <w:i/>
              </w:rPr>
              <w:tab/>
              <w:t xml:space="preserve">Den cirkulære økonomi og affaldsindsamlings-, sorterings- og nyttiggørelsessektorerne vokser hurtigt for at opfylde målene for den europæiske grønne pagt, for at sikre den europæiske industris bæredygtighed og </w:t>
            </w:r>
            <w:r w:rsidRPr="00CA4CF9">
              <w:rPr>
                <w:b/>
                <w:i/>
              </w:rPr>
              <w:t>for at sikre større strategisk autonomi for Unionen. Denne positive udvikling rejser imidlertid mange problemer med sundhed og sikkerhed på arbejdspladsen for denne sektors arbejdstagere, som i kraft af deres erhvervsmæssige aktivitet må forventes at blive</w:t>
            </w:r>
            <w:r w:rsidRPr="00CA4CF9">
              <w:rPr>
                <w:b/>
                <w:i/>
              </w:rPr>
              <w:t xml:space="preserve"> uforholdsmæssigt udsat for skadelige stoffer. Eksponering for bly, kviksølv og andre farlige metaller i affaldsgenbrugsanlæg er f.eks. allerede en realitet for mange sådanne arbejdstagere. Ambitiøse beskyttelsesforanstaltninger, passende forebyggelsespoli</w:t>
            </w:r>
            <w:r w:rsidRPr="00CA4CF9">
              <w:rPr>
                <w:b/>
                <w:i/>
              </w:rPr>
              <w:t>tikker samt arbejdsforhold af god kvalitet er nødvendige for at reducere risikoen for eksponering for farlige stoffer og for at sikre et højt beskyttelsesniveau.</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17</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Betragtning 15 g (ny)</w:t>
      </w:r>
      <w:r w:rsidRPr="00CA4CF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413B1F">
        <w:trPr>
          <w:jc w:val="center"/>
        </w:trPr>
        <w:tc>
          <w:tcPr>
            <w:tcW w:w="9752" w:type="dxa"/>
            <w:gridSpan w:val="2"/>
          </w:tcPr>
          <w:p w:rsidR="0052409B" w:rsidRPr="00CA4CF9" w:rsidRDefault="0052409B" w:rsidP="00413B1F">
            <w:pPr>
              <w:keepNext/>
            </w:pPr>
          </w:p>
        </w:tc>
      </w:tr>
      <w:tr w:rsidR="009164C8" w:rsidRPr="00CA4CF9" w:rsidTr="00413B1F">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413B1F">
        <w:trPr>
          <w:jc w:val="center"/>
        </w:trPr>
        <w:tc>
          <w:tcPr>
            <w:tcW w:w="4876" w:type="dxa"/>
          </w:tcPr>
          <w:p w:rsidR="0052409B" w:rsidRPr="00CA4CF9" w:rsidRDefault="0052409B" w:rsidP="00413B1F">
            <w:pPr>
              <w:pStyle w:val="Normal6"/>
            </w:pPr>
          </w:p>
        </w:tc>
        <w:tc>
          <w:tcPr>
            <w:tcW w:w="4876" w:type="dxa"/>
          </w:tcPr>
          <w:p w:rsidR="0052409B" w:rsidRPr="00CA4CF9" w:rsidRDefault="00772EA1" w:rsidP="007C2624">
            <w:pPr>
              <w:pStyle w:val="Normal6"/>
              <w:rPr>
                <w:szCs w:val="24"/>
              </w:rPr>
            </w:pPr>
            <w:r w:rsidRPr="00CA4CF9">
              <w:rPr>
                <w:b/>
                <w:i/>
              </w:rPr>
              <w:t>(15g)</w:t>
            </w:r>
            <w:r w:rsidRPr="00CA4CF9">
              <w:rPr>
                <w:b/>
                <w:i/>
              </w:rPr>
              <w:tab/>
              <w:t xml:space="preserve">Den uformelle sektor er forholdsmæssigt overrepræsenteret i affaldsindsamlings-, sorterings- og nyttiggørelsessektoren. En høj </w:t>
            </w:r>
            <w:r w:rsidRPr="00CA4CF9">
              <w:rPr>
                <w:b/>
                <w:i/>
              </w:rPr>
              <w:t>eksponering for risici, herunder skadelige stoffer, kombineret med et lavt niveau af social beskyttelse placerer de fleste arbejdstagere i den uformelle økonomi i en meget sårbar situation. Forebyggende foranstaltninger i form af ledelsessystemer for sundh</w:t>
            </w:r>
            <w:r w:rsidRPr="00CA4CF9">
              <w:rPr>
                <w:b/>
                <w:i/>
              </w:rPr>
              <w:t>ed og sikkerhed på arbejdspladsen og en generel sikkerhedskultur for at reducere risici på arbejdspladsen når ofte ikke den uformelle økonomi. Der bør lægges særlig vægt på disse arbejdstagere med usikre ansættelsesforhold for at tilbyde sikre arbejdsforho</w:t>
            </w:r>
            <w:r w:rsidRPr="00CA4CF9">
              <w:rPr>
                <w:b/>
                <w:i/>
              </w:rPr>
              <w:t>ld og miljøer samt ligebehandling med arbejdstagere i samme sektor eller i sektorer, der er bedre reguleret.</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18</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 xml:space="preserve">Artikel 2 – </w:t>
      </w:r>
      <w:r w:rsidRPr="00CA4CF9">
        <w:t>stk. 1 – indledning (ny)</w:t>
      </w:r>
      <w:r w:rsidRPr="00CA4CF9">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DB62B6">
        <w:trPr>
          <w:jc w:val="center"/>
        </w:trPr>
        <w:tc>
          <w:tcPr>
            <w:tcW w:w="9752" w:type="dxa"/>
            <w:gridSpan w:val="2"/>
          </w:tcPr>
          <w:p w:rsidR="0052409B" w:rsidRPr="00CA4CF9" w:rsidRDefault="0052409B" w:rsidP="00413B1F">
            <w:pPr>
              <w:keepNext/>
            </w:pPr>
          </w:p>
        </w:tc>
      </w:tr>
      <w:tr w:rsidR="009164C8" w:rsidRPr="00CA4CF9" w:rsidTr="00DB62B6">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DB62B6">
        <w:trPr>
          <w:jc w:val="center"/>
        </w:trPr>
        <w:tc>
          <w:tcPr>
            <w:tcW w:w="4876" w:type="dxa"/>
          </w:tcPr>
          <w:p w:rsidR="0052409B" w:rsidRPr="00CA4CF9" w:rsidRDefault="0052409B" w:rsidP="00413B1F">
            <w:pPr>
              <w:pStyle w:val="Normal6"/>
            </w:pPr>
          </w:p>
        </w:tc>
        <w:tc>
          <w:tcPr>
            <w:tcW w:w="4876" w:type="dxa"/>
          </w:tcPr>
          <w:p w:rsidR="0052409B" w:rsidRPr="00CA4CF9" w:rsidRDefault="00772EA1" w:rsidP="00945BF3">
            <w:pPr>
              <w:pStyle w:val="Normal6"/>
              <w:rPr>
                <w:szCs w:val="24"/>
              </w:rPr>
            </w:pPr>
            <w:r w:rsidRPr="00CA4CF9">
              <w:rPr>
                <w:b/>
                <w:i/>
              </w:rPr>
              <w:t>Direktiv 2004/37/EF ændres som følger:</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19</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Artikel 2 – stk. -1 – nr. 1 (nyt)</w:t>
      </w:r>
      <w:r w:rsidRPr="00CA4CF9">
        <w:rPr>
          <w:rStyle w:val="HideTWBExt"/>
          <w:b w:val="0"/>
          <w:noProof w:val="0"/>
        </w:rPr>
        <w:t>&lt;/Article&gt;</w:t>
      </w:r>
    </w:p>
    <w:p w:rsidR="0052409B" w:rsidRPr="00CA4CF9" w:rsidRDefault="00772EA1" w:rsidP="0052409B">
      <w:pPr>
        <w:keepNext/>
      </w:pPr>
      <w:r w:rsidRPr="00CA4CF9">
        <w:rPr>
          <w:rStyle w:val="HideTWBExt"/>
          <w:noProof w:val="0"/>
        </w:rPr>
        <w:t>&lt;DocAmend2&gt;</w:t>
      </w:r>
      <w:r w:rsidRPr="00CA4CF9">
        <w:t>Direktiv 2004/37/EF</w:t>
      </w:r>
      <w:r w:rsidRPr="00CA4CF9">
        <w:rPr>
          <w:rStyle w:val="HideTWBExt"/>
          <w:noProof w:val="0"/>
        </w:rPr>
        <w:t>&lt;/DocAmend2&gt;</w:t>
      </w:r>
    </w:p>
    <w:p w:rsidR="0052409B" w:rsidRPr="00CA4CF9" w:rsidRDefault="00772EA1" w:rsidP="0052409B">
      <w:r w:rsidRPr="00CA4CF9">
        <w:rPr>
          <w:rStyle w:val="HideTWBExt"/>
          <w:noProof w:val="0"/>
        </w:rPr>
        <w:t>&lt;Article2&gt;</w:t>
      </w:r>
      <w:r w:rsidRPr="00CA4CF9">
        <w:t>Artikel 2 – litra b</w:t>
      </w:r>
      <w:r w:rsidRPr="00CA4CF9">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52409B">
        <w:trPr>
          <w:jc w:val="center"/>
        </w:trPr>
        <w:tc>
          <w:tcPr>
            <w:tcW w:w="9752" w:type="dxa"/>
            <w:gridSpan w:val="2"/>
          </w:tcPr>
          <w:p w:rsidR="0052409B" w:rsidRPr="00CA4CF9" w:rsidRDefault="0052409B" w:rsidP="00413B1F">
            <w:pPr>
              <w:keepNext/>
            </w:pPr>
          </w:p>
        </w:tc>
      </w:tr>
      <w:tr w:rsidR="009164C8" w:rsidRPr="00CA4CF9" w:rsidTr="0052409B">
        <w:trPr>
          <w:jc w:val="center"/>
        </w:trPr>
        <w:tc>
          <w:tcPr>
            <w:tcW w:w="4876" w:type="dxa"/>
          </w:tcPr>
          <w:p w:rsidR="0052409B" w:rsidRPr="00CA4CF9" w:rsidRDefault="00772EA1" w:rsidP="00413B1F">
            <w:pPr>
              <w:pStyle w:val="ColumnHeading"/>
              <w:keepNext/>
            </w:pPr>
            <w:r w:rsidRPr="00CA4CF9">
              <w:t>Gældende ordlyd</w:t>
            </w:r>
          </w:p>
        </w:tc>
        <w:tc>
          <w:tcPr>
            <w:tcW w:w="4876" w:type="dxa"/>
          </w:tcPr>
          <w:p w:rsidR="0052409B" w:rsidRPr="00CA4CF9" w:rsidRDefault="00772EA1" w:rsidP="00413B1F">
            <w:pPr>
              <w:pStyle w:val="ColumnHeading"/>
              <w:keepNext/>
            </w:pPr>
            <w:r w:rsidRPr="00CA4CF9">
              <w:t>Ændringsforslag</w:t>
            </w:r>
          </w:p>
        </w:tc>
      </w:tr>
      <w:tr w:rsidR="009164C8" w:rsidRPr="00CA4CF9" w:rsidTr="0052409B">
        <w:trPr>
          <w:jc w:val="center"/>
        </w:trPr>
        <w:tc>
          <w:tcPr>
            <w:tcW w:w="4876" w:type="dxa"/>
          </w:tcPr>
          <w:p w:rsidR="00DB62B6" w:rsidRPr="00CA4CF9" w:rsidRDefault="00DB62B6" w:rsidP="00413B1F">
            <w:pPr>
              <w:pStyle w:val="Normal6"/>
            </w:pPr>
          </w:p>
        </w:tc>
        <w:tc>
          <w:tcPr>
            <w:tcW w:w="4876" w:type="dxa"/>
          </w:tcPr>
          <w:p w:rsidR="00DB62B6" w:rsidRPr="00CA4CF9" w:rsidRDefault="00772EA1" w:rsidP="007C2624">
            <w:pPr>
              <w:pStyle w:val="Normal6"/>
              <w:rPr>
                <w:b/>
                <w:i/>
              </w:rPr>
            </w:pPr>
            <w:r w:rsidRPr="00CA4CF9">
              <w:rPr>
                <w:b/>
                <w:i/>
              </w:rPr>
              <w:t xml:space="preserve">1. </w:t>
            </w:r>
            <w:r w:rsidRPr="00CA4CF9">
              <w:rPr>
                <w:b/>
                <w:i/>
              </w:rPr>
              <w:tab/>
              <w:t>I artikel 2, stk. 1, ændres litra b) som følger:</w:t>
            </w:r>
          </w:p>
        </w:tc>
      </w:tr>
      <w:tr w:rsidR="009164C8" w:rsidRPr="00CA4CF9" w:rsidTr="0052409B">
        <w:trPr>
          <w:jc w:val="center"/>
        </w:trPr>
        <w:tc>
          <w:tcPr>
            <w:tcW w:w="4876" w:type="dxa"/>
          </w:tcPr>
          <w:p w:rsidR="0052409B" w:rsidRPr="00CA4CF9" w:rsidRDefault="00772EA1" w:rsidP="00413B1F">
            <w:pPr>
              <w:pStyle w:val="Normal6"/>
            </w:pPr>
            <w:r w:rsidRPr="00CA4CF9">
              <w:t xml:space="preserve">b) </w:t>
            </w:r>
            <w:r w:rsidRPr="00CA4CF9">
              <w:tab/>
              <w:t xml:space="preserve">"mutagen": et stof eller en </w:t>
            </w:r>
            <w:r w:rsidRPr="00CA4CF9">
              <w:t>blanding, der opfylder kriterierne for klassificering som kimcellemutagent i kategori 1A eller 1B som fastsat i bilag I til forordning (EF) nr. 1272/2008</w:t>
            </w:r>
          </w:p>
        </w:tc>
        <w:tc>
          <w:tcPr>
            <w:tcW w:w="4876" w:type="dxa"/>
          </w:tcPr>
          <w:p w:rsidR="0052409B" w:rsidRPr="00CA4CF9" w:rsidRDefault="00772EA1" w:rsidP="00DB62B6">
            <w:pPr>
              <w:pStyle w:val="Normal6"/>
              <w:rPr>
                <w:szCs w:val="24"/>
              </w:rPr>
            </w:pPr>
            <w:r w:rsidRPr="00CA4CF9">
              <w:t xml:space="preserve">b) </w:t>
            </w:r>
            <w:r w:rsidRPr="00CA4CF9">
              <w:tab/>
              <w:t xml:space="preserve">"mutagen": </w:t>
            </w:r>
          </w:p>
        </w:tc>
      </w:tr>
      <w:tr w:rsidR="009164C8" w:rsidRPr="00CA4CF9" w:rsidTr="0052409B">
        <w:trPr>
          <w:jc w:val="center"/>
        </w:trPr>
        <w:tc>
          <w:tcPr>
            <w:tcW w:w="4876" w:type="dxa"/>
          </w:tcPr>
          <w:p w:rsidR="00DB62B6" w:rsidRPr="00CA4CF9" w:rsidRDefault="00DB62B6" w:rsidP="00413B1F">
            <w:pPr>
              <w:pStyle w:val="Normal6"/>
            </w:pPr>
          </w:p>
        </w:tc>
        <w:tc>
          <w:tcPr>
            <w:tcW w:w="4876" w:type="dxa"/>
          </w:tcPr>
          <w:p w:rsidR="00DB62B6" w:rsidRPr="00CA4CF9" w:rsidRDefault="00772EA1" w:rsidP="00413B1F">
            <w:pPr>
              <w:pStyle w:val="Normal6"/>
            </w:pPr>
            <w:r w:rsidRPr="00CA4CF9">
              <w:rPr>
                <w:b/>
                <w:i/>
              </w:rPr>
              <w:t xml:space="preserve">i) </w:t>
            </w:r>
            <w:r w:rsidRPr="00CA4CF9">
              <w:rPr>
                <w:b/>
                <w:i/>
              </w:rPr>
              <w:tab/>
            </w:r>
            <w:r w:rsidRPr="00CA4CF9">
              <w:t xml:space="preserve">et stof eller en blanding, der opfylder kriterierne for klassificering som </w:t>
            </w:r>
            <w:r w:rsidRPr="00CA4CF9">
              <w:t>kimcellemutagent i kategori 1A eller 1B som fastsat i bilag I til forordning (EF) nr. 1272/2008</w:t>
            </w:r>
          </w:p>
        </w:tc>
      </w:tr>
      <w:tr w:rsidR="009164C8" w:rsidRPr="00CA4CF9" w:rsidTr="0052409B">
        <w:trPr>
          <w:jc w:val="center"/>
        </w:trPr>
        <w:tc>
          <w:tcPr>
            <w:tcW w:w="4876" w:type="dxa"/>
          </w:tcPr>
          <w:p w:rsidR="0052409B" w:rsidRPr="00CA4CF9" w:rsidRDefault="0052409B" w:rsidP="00413B1F">
            <w:pPr>
              <w:pStyle w:val="Normal6"/>
            </w:pPr>
          </w:p>
        </w:tc>
        <w:tc>
          <w:tcPr>
            <w:tcW w:w="4876" w:type="dxa"/>
          </w:tcPr>
          <w:p w:rsidR="0052409B" w:rsidRPr="00CA4CF9" w:rsidRDefault="00772EA1" w:rsidP="00413B1F">
            <w:pPr>
              <w:pStyle w:val="Normal6"/>
              <w:rPr>
                <w:szCs w:val="24"/>
              </w:rPr>
            </w:pPr>
            <w:r w:rsidRPr="00CA4CF9">
              <w:rPr>
                <w:b/>
                <w:i/>
              </w:rPr>
              <w:t xml:space="preserve">ii) </w:t>
            </w:r>
            <w:r w:rsidRPr="00CA4CF9">
              <w:rPr>
                <w:b/>
                <w:i/>
              </w:rPr>
              <w:tab/>
              <w:t xml:space="preserve">et stof, en blanding eller en proces, der er omhandlet i bilag I til dette direktiv, samt et stof eller en blanding, der frigives ved en proces, der er </w:t>
            </w:r>
            <w:r w:rsidRPr="00CA4CF9">
              <w:rPr>
                <w:b/>
                <w:i/>
              </w:rPr>
              <w:t>omhandlet i nævnte bilag</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pPr>
        <w:pStyle w:val="JustificationTitle"/>
        <w:rPr>
          <w:noProof w:val="0"/>
        </w:rPr>
      </w:pPr>
      <w:r w:rsidRPr="00CA4CF9">
        <w:rPr>
          <w:rStyle w:val="HideTWBExt"/>
          <w:i w:val="0"/>
          <w:noProof w:val="0"/>
        </w:rPr>
        <w:t>&lt;TitreJust&gt;</w:t>
      </w:r>
      <w:r w:rsidRPr="00CA4CF9">
        <w:rPr>
          <w:noProof w:val="0"/>
        </w:rPr>
        <w:t>Begrundelse</w:t>
      </w:r>
      <w:r w:rsidRPr="00CA4CF9">
        <w:rPr>
          <w:rStyle w:val="HideTWBExt"/>
          <w:i w:val="0"/>
          <w:noProof w:val="0"/>
        </w:rPr>
        <w:t>&lt;/TitreJust&gt;</w:t>
      </w:r>
    </w:p>
    <w:p w:rsidR="0052409B" w:rsidRPr="00CA4CF9" w:rsidRDefault="00772EA1" w:rsidP="0052409B">
      <w:pPr>
        <w:pStyle w:val="Normal12Italic"/>
        <w:rPr>
          <w:noProof w:val="0"/>
        </w:rPr>
      </w:pPr>
      <w:r w:rsidRPr="00CA4CF9">
        <w:rPr>
          <w:noProof w:val="0"/>
        </w:rPr>
        <w:t>Bilag I vedrører alle farlige stoffer, der er omfattet af dette direktiv, herunder "mutagener".</w:t>
      </w:r>
    </w:p>
    <w:p w:rsidR="0052409B" w:rsidRPr="00CA4CF9" w:rsidRDefault="00772EA1" w:rsidP="0052409B">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20</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w:t>
      </w:r>
      <w:r w:rsidRPr="00CA4CF9">
        <w:t>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Artikel 2 – stk. -1 – nr. 2 (nyt)</w:t>
      </w:r>
      <w:r w:rsidRPr="00CA4CF9">
        <w:rPr>
          <w:rStyle w:val="HideTWBExt"/>
          <w:b w:val="0"/>
          <w:noProof w:val="0"/>
        </w:rPr>
        <w:t>&lt;/Article&gt;</w:t>
      </w:r>
    </w:p>
    <w:p w:rsidR="0052409B" w:rsidRPr="00CA4CF9" w:rsidRDefault="00772EA1" w:rsidP="0052409B">
      <w:pPr>
        <w:keepNext/>
      </w:pPr>
      <w:r w:rsidRPr="00CA4CF9">
        <w:rPr>
          <w:rStyle w:val="HideTWBExt"/>
          <w:noProof w:val="0"/>
        </w:rPr>
        <w:t>&lt;DocAmend2&gt;</w:t>
      </w:r>
      <w:r w:rsidRPr="00CA4CF9">
        <w:t>Direktiv 2004/37/EF</w:t>
      </w:r>
      <w:r w:rsidRPr="00CA4CF9">
        <w:rPr>
          <w:rStyle w:val="HideTWBExt"/>
          <w:noProof w:val="0"/>
        </w:rPr>
        <w:t>&lt;/DocAmend2&gt;</w:t>
      </w:r>
    </w:p>
    <w:p w:rsidR="0052409B" w:rsidRPr="00CA4CF9" w:rsidRDefault="00772EA1" w:rsidP="0052409B">
      <w:r w:rsidRPr="00CA4CF9">
        <w:rPr>
          <w:rStyle w:val="HideTWBExt"/>
          <w:noProof w:val="0"/>
        </w:rPr>
        <w:t>&lt;Article2&gt;</w:t>
      </w:r>
      <w:r w:rsidRPr="00CA4CF9">
        <w:t>Artikel 2 – litra b a</w:t>
      </w:r>
      <w:r w:rsidRPr="00CA4CF9">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52409B">
        <w:trPr>
          <w:jc w:val="center"/>
        </w:trPr>
        <w:tc>
          <w:tcPr>
            <w:tcW w:w="9752" w:type="dxa"/>
            <w:gridSpan w:val="2"/>
          </w:tcPr>
          <w:p w:rsidR="0052409B" w:rsidRPr="00CA4CF9" w:rsidRDefault="0052409B" w:rsidP="00413B1F">
            <w:pPr>
              <w:keepNext/>
            </w:pPr>
          </w:p>
        </w:tc>
      </w:tr>
      <w:tr w:rsidR="009164C8" w:rsidRPr="00CA4CF9" w:rsidTr="0052409B">
        <w:trPr>
          <w:jc w:val="center"/>
        </w:trPr>
        <w:tc>
          <w:tcPr>
            <w:tcW w:w="4876" w:type="dxa"/>
          </w:tcPr>
          <w:p w:rsidR="0052409B" w:rsidRPr="00CA4CF9" w:rsidRDefault="00772EA1" w:rsidP="00413B1F">
            <w:pPr>
              <w:pStyle w:val="ColumnHeading"/>
              <w:keepNext/>
            </w:pPr>
            <w:r w:rsidRPr="00CA4CF9">
              <w:t>Gældende ordlyd</w:t>
            </w:r>
          </w:p>
        </w:tc>
        <w:tc>
          <w:tcPr>
            <w:tcW w:w="4876" w:type="dxa"/>
          </w:tcPr>
          <w:p w:rsidR="0052409B" w:rsidRPr="00CA4CF9" w:rsidRDefault="00772EA1" w:rsidP="00413B1F">
            <w:pPr>
              <w:pStyle w:val="ColumnHeading"/>
              <w:keepNext/>
            </w:pPr>
            <w:r w:rsidRPr="00CA4CF9">
              <w:t>Ændringsforslag</w:t>
            </w:r>
          </w:p>
        </w:tc>
      </w:tr>
      <w:tr w:rsidR="009164C8" w:rsidRPr="00CA4CF9" w:rsidTr="0052409B">
        <w:trPr>
          <w:jc w:val="center"/>
        </w:trPr>
        <w:tc>
          <w:tcPr>
            <w:tcW w:w="4876" w:type="dxa"/>
          </w:tcPr>
          <w:p w:rsidR="0052409B" w:rsidRPr="00CA4CF9" w:rsidRDefault="0052409B" w:rsidP="00413B1F">
            <w:pPr>
              <w:pStyle w:val="Normal6"/>
            </w:pPr>
          </w:p>
        </w:tc>
        <w:tc>
          <w:tcPr>
            <w:tcW w:w="4876" w:type="dxa"/>
          </w:tcPr>
          <w:p w:rsidR="0052409B" w:rsidRPr="00CA4CF9" w:rsidRDefault="00772EA1" w:rsidP="007C2624">
            <w:pPr>
              <w:pStyle w:val="Normal6"/>
              <w:rPr>
                <w:szCs w:val="24"/>
              </w:rPr>
            </w:pPr>
            <w:r w:rsidRPr="00CA4CF9">
              <w:rPr>
                <w:b/>
                <w:i/>
              </w:rPr>
              <w:t xml:space="preserve">2. </w:t>
            </w:r>
            <w:r w:rsidRPr="00CA4CF9">
              <w:rPr>
                <w:b/>
                <w:i/>
              </w:rPr>
              <w:tab/>
              <w:t>I artikel 2, stk. 1, ændres litra ba) som følger:</w:t>
            </w:r>
          </w:p>
        </w:tc>
      </w:tr>
      <w:tr w:rsidR="009164C8" w:rsidRPr="00CA4CF9" w:rsidTr="0052409B">
        <w:trPr>
          <w:jc w:val="center"/>
        </w:trPr>
        <w:tc>
          <w:tcPr>
            <w:tcW w:w="4876" w:type="dxa"/>
          </w:tcPr>
          <w:p w:rsidR="0052409B" w:rsidRPr="00CA4CF9" w:rsidRDefault="00772EA1" w:rsidP="00413B1F">
            <w:pPr>
              <w:pStyle w:val="Normal6"/>
            </w:pPr>
            <w:r w:rsidRPr="00CA4CF9">
              <w:t xml:space="preserve">ba) </w:t>
            </w:r>
            <w:r w:rsidRPr="00CA4CF9">
              <w:tab/>
              <w:t>"reproduktionstoksisk stof": et stof eller en blanding, der opfylder kriterierne for klassificering som reproduktionstoksisk i kategori 1A eller 1B som fastsat i bilag I til forordning (EF) nr. 1272/2008</w:t>
            </w:r>
          </w:p>
        </w:tc>
        <w:tc>
          <w:tcPr>
            <w:tcW w:w="4876" w:type="dxa"/>
          </w:tcPr>
          <w:p w:rsidR="0052409B" w:rsidRPr="00CA4CF9" w:rsidRDefault="00772EA1" w:rsidP="00A2274C">
            <w:pPr>
              <w:pStyle w:val="Normal6"/>
              <w:rPr>
                <w:szCs w:val="24"/>
              </w:rPr>
            </w:pPr>
            <w:r w:rsidRPr="00CA4CF9">
              <w:t xml:space="preserve">ba) </w:t>
            </w:r>
            <w:r w:rsidRPr="00CA4CF9">
              <w:tab/>
              <w:t xml:space="preserve">"reproduktionstoksisk stof": </w:t>
            </w:r>
          </w:p>
        </w:tc>
      </w:tr>
      <w:tr w:rsidR="009164C8" w:rsidRPr="00CA4CF9" w:rsidTr="0052409B">
        <w:trPr>
          <w:jc w:val="center"/>
        </w:trPr>
        <w:tc>
          <w:tcPr>
            <w:tcW w:w="4876" w:type="dxa"/>
          </w:tcPr>
          <w:p w:rsidR="00A2274C" w:rsidRPr="00CA4CF9" w:rsidRDefault="00A2274C" w:rsidP="00413B1F">
            <w:pPr>
              <w:pStyle w:val="Normal6"/>
            </w:pPr>
          </w:p>
        </w:tc>
        <w:tc>
          <w:tcPr>
            <w:tcW w:w="4876" w:type="dxa"/>
          </w:tcPr>
          <w:p w:rsidR="00A2274C" w:rsidRPr="00CA4CF9" w:rsidRDefault="00772EA1" w:rsidP="00413B1F">
            <w:pPr>
              <w:pStyle w:val="Normal6"/>
            </w:pPr>
            <w:r w:rsidRPr="00CA4CF9">
              <w:rPr>
                <w:b/>
                <w:i/>
              </w:rPr>
              <w:t xml:space="preserve">i) </w:t>
            </w:r>
            <w:r w:rsidRPr="00CA4CF9">
              <w:rPr>
                <w:b/>
                <w:i/>
              </w:rPr>
              <w:tab/>
            </w:r>
            <w:r w:rsidRPr="00CA4CF9">
              <w:t>et sto</w:t>
            </w:r>
            <w:r w:rsidRPr="00CA4CF9">
              <w:t>f eller en blanding, der opfylder kriterierne for klassificering som reproduktionstoksisk i kategori 1A eller 1B som fastsat i bilag I til forordning (EF) nr. 1272/2008</w:t>
            </w:r>
          </w:p>
        </w:tc>
      </w:tr>
      <w:tr w:rsidR="009164C8" w:rsidRPr="00CA4CF9" w:rsidTr="0052409B">
        <w:trPr>
          <w:jc w:val="center"/>
        </w:trPr>
        <w:tc>
          <w:tcPr>
            <w:tcW w:w="4876" w:type="dxa"/>
          </w:tcPr>
          <w:p w:rsidR="0052409B" w:rsidRPr="00CA4CF9" w:rsidRDefault="0052409B" w:rsidP="00413B1F">
            <w:pPr>
              <w:pStyle w:val="Normal6"/>
            </w:pPr>
          </w:p>
        </w:tc>
        <w:tc>
          <w:tcPr>
            <w:tcW w:w="4876" w:type="dxa"/>
          </w:tcPr>
          <w:p w:rsidR="0052409B" w:rsidRPr="00CA4CF9" w:rsidRDefault="00772EA1" w:rsidP="00413B1F">
            <w:pPr>
              <w:pStyle w:val="Normal6"/>
              <w:rPr>
                <w:szCs w:val="24"/>
              </w:rPr>
            </w:pPr>
            <w:r w:rsidRPr="00CA4CF9">
              <w:rPr>
                <w:b/>
                <w:i/>
              </w:rPr>
              <w:t xml:space="preserve">ii) </w:t>
            </w:r>
            <w:r w:rsidRPr="00CA4CF9">
              <w:rPr>
                <w:b/>
                <w:i/>
              </w:rPr>
              <w:tab/>
              <w:t xml:space="preserve">et stof, en blanding eller en proces, der er omhandlet i bilag I til dette </w:t>
            </w:r>
            <w:r w:rsidRPr="00CA4CF9">
              <w:rPr>
                <w:b/>
                <w:i/>
              </w:rPr>
              <w:t>direktiv, samt et stof eller en blanding, der frigives ved en proces, der er omhandlet i nævnte bilag</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pPr>
        <w:pStyle w:val="JustificationTitle"/>
        <w:rPr>
          <w:noProof w:val="0"/>
        </w:rPr>
      </w:pPr>
      <w:r w:rsidRPr="00CA4CF9">
        <w:rPr>
          <w:rStyle w:val="HideTWBExt"/>
          <w:i w:val="0"/>
          <w:noProof w:val="0"/>
        </w:rPr>
        <w:t>&lt;TitreJust&gt;</w:t>
      </w:r>
      <w:r w:rsidRPr="00CA4CF9">
        <w:rPr>
          <w:noProof w:val="0"/>
        </w:rPr>
        <w:t>Begrundelse</w:t>
      </w:r>
      <w:r w:rsidRPr="00CA4CF9">
        <w:rPr>
          <w:rStyle w:val="HideTWBExt"/>
          <w:i w:val="0"/>
          <w:noProof w:val="0"/>
        </w:rPr>
        <w:t>&lt;/TitreJust&gt;</w:t>
      </w:r>
    </w:p>
    <w:p w:rsidR="0052409B" w:rsidRPr="00CA4CF9" w:rsidRDefault="00772EA1" w:rsidP="0052409B">
      <w:pPr>
        <w:pStyle w:val="Normal12Italic"/>
        <w:rPr>
          <w:noProof w:val="0"/>
        </w:rPr>
      </w:pPr>
      <w:r w:rsidRPr="00CA4CF9">
        <w:rPr>
          <w:noProof w:val="0"/>
        </w:rPr>
        <w:t>Bilag I vedrører alle farlige stoffer, der er omfattet af dette direktiv, herunder "re</w:t>
      </w:r>
      <w:r w:rsidRPr="00CA4CF9">
        <w:rPr>
          <w:noProof w:val="0"/>
        </w:rPr>
        <w:t>produktionstoksiske stoffer".</w:t>
      </w:r>
    </w:p>
    <w:p w:rsidR="0052409B" w:rsidRPr="00CA4CF9" w:rsidRDefault="00772EA1" w:rsidP="0052409B">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21</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Artikel 2 – stk. -1 – nr. 3 (nyt)</w:t>
      </w:r>
      <w:r w:rsidRPr="00CA4CF9">
        <w:rPr>
          <w:rStyle w:val="HideTWBExt"/>
          <w:b w:val="0"/>
          <w:noProof w:val="0"/>
        </w:rPr>
        <w:t>&lt;/Article&gt;</w:t>
      </w:r>
    </w:p>
    <w:p w:rsidR="0052409B" w:rsidRPr="00CA4CF9" w:rsidRDefault="00772EA1" w:rsidP="0052409B">
      <w:pPr>
        <w:keepNext/>
      </w:pPr>
      <w:r w:rsidRPr="00CA4CF9">
        <w:rPr>
          <w:rStyle w:val="HideTWBExt"/>
          <w:noProof w:val="0"/>
        </w:rPr>
        <w:t>&lt;DocAmend2&gt;</w:t>
      </w:r>
      <w:r w:rsidRPr="00CA4CF9">
        <w:t>Direktiv 2004/37/EF</w:t>
      </w:r>
      <w:r w:rsidRPr="00CA4CF9">
        <w:rPr>
          <w:rStyle w:val="HideTWBExt"/>
          <w:noProof w:val="0"/>
        </w:rPr>
        <w:t>&lt;/DocAmend2&gt;</w:t>
      </w:r>
    </w:p>
    <w:p w:rsidR="0052409B" w:rsidRPr="00CA4CF9" w:rsidRDefault="00772EA1" w:rsidP="0052409B">
      <w:r w:rsidRPr="00CA4CF9">
        <w:rPr>
          <w:rStyle w:val="HideTWBExt"/>
          <w:noProof w:val="0"/>
        </w:rPr>
        <w:t>&lt;Article2&gt;</w:t>
      </w:r>
      <w:r w:rsidRPr="00CA4CF9">
        <w:t>Artikel 2 – litra e a (nyt)</w:t>
      </w:r>
      <w:r w:rsidRPr="00CA4CF9">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A2274C">
        <w:trPr>
          <w:jc w:val="center"/>
        </w:trPr>
        <w:tc>
          <w:tcPr>
            <w:tcW w:w="9752" w:type="dxa"/>
            <w:gridSpan w:val="2"/>
          </w:tcPr>
          <w:p w:rsidR="0052409B" w:rsidRPr="00CA4CF9" w:rsidRDefault="0052409B" w:rsidP="00413B1F">
            <w:pPr>
              <w:keepNext/>
            </w:pPr>
          </w:p>
        </w:tc>
      </w:tr>
      <w:tr w:rsidR="009164C8" w:rsidRPr="00CA4CF9" w:rsidTr="00A2274C">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A2274C">
        <w:trPr>
          <w:jc w:val="center"/>
        </w:trPr>
        <w:tc>
          <w:tcPr>
            <w:tcW w:w="4876" w:type="dxa"/>
          </w:tcPr>
          <w:p w:rsidR="0052409B" w:rsidRPr="00CA4CF9" w:rsidRDefault="0052409B" w:rsidP="00413B1F">
            <w:pPr>
              <w:pStyle w:val="Normal6"/>
            </w:pPr>
          </w:p>
        </w:tc>
        <w:tc>
          <w:tcPr>
            <w:tcW w:w="4876" w:type="dxa"/>
          </w:tcPr>
          <w:p w:rsidR="0052409B" w:rsidRPr="00CA4CF9" w:rsidRDefault="00772EA1" w:rsidP="007C2624">
            <w:pPr>
              <w:pStyle w:val="Normal6"/>
              <w:rPr>
                <w:szCs w:val="24"/>
              </w:rPr>
            </w:pPr>
            <w:r w:rsidRPr="00CA4CF9">
              <w:rPr>
                <w:b/>
                <w:i/>
              </w:rPr>
              <w:t xml:space="preserve">3. </w:t>
            </w:r>
            <w:r w:rsidRPr="00CA4CF9">
              <w:rPr>
                <w:b/>
                <w:i/>
              </w:rPr>
              <w:tab/>
              <w:t>Følgende litra føjes til artikel 2, stk. 1:</w:t>
            </w:r>
          </w:p>
        </w:tc>
      </w:tr>
      <w:tr w:rsidR="009164C8" w:rsidRPr="00CA4CF9" w:rsidTr="00A2274C">
        <w:trPr>
          <w:jc w:val="center"/>
        </w:trPr>
        <w:tc>
          <w:tcPr>
            <w:tcW w:w="4876" w:type="dxa"/>
          </w:tcPr>
          <w:p w:rsidR="0052409B" w:rsidRPr="00CA4CF9" w:rsidRDefault="0052409B" w:rsidP="00413B1F">
            <w:pPr>
              <w:pStyle w:val="Normal6"/>
            </w:pPr>
          </w:p>
        </w:tc>
        <w:tc>
          <w:tcPr>
            <w:tcW w:w="4876" w:type="dxa"/>
          </w:tcPr>
          <w:p w:rsidR="0052409B" w:rsidRPr="00CA4CF9" w:rsidRDefault="00772EA1" w:rsidP="007C2624">
            <w:pPr>
              <w:pStyle w:val="Normal6"/>
              <w:rPr>
                <w:szCs w:val="24"/>
              </w:rPr>
            </w:pPr>
            <w:r w:rsidRPr="00CA4CF9">
              <w:rPr>
                <w:b/>
                <w:i/>
              </w:rPr>
              <w:t xml:space="preserve">"ea) </w:t>
            </w:r>
            <w:r w:rsidRPr="00CA4CF9">
              <w:rPr>
                <w:b/>
                <w:i/>
              </w:rPr>
              <w:tab/>
              <w:t xml:space="preserve">"farlige lægemidler" eller HMP'er: lægemidler, der indeholder et eller flere stoffer, der opfylder kriterierne for klassificering som </w:t>
            </w:r>
            <w:r w:rsidRPr="00CA4CF9">
              <w:rPr>
                <w:b/>
                <w:i/>
              </w:rPr>
              <w:t>kræftfremkaldende stoffer (kategori 1A eller 1B), mutagener (kategori 1A eller 1B) eller reproduktionstoksiske stoffer (kategori 1A eller 1B) i overensstemmelse med forordning (EF) nr. 1272/2008"</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pPr>
        <w:pStyle w:val="JustificationTitle"/>
        <w:rPr>
          <w:noProof w:val="0"/>
        </w:rPr>
      </w:pPr>
      <w:r w:rsidRPr="00CA4CF9">
        <w:rPr>
          <w:rStyle w:val="HideTWBExt"/>
          <w:i w:val="0"/>
          <w:noProof w:val="0"/>
        </w:rPr>
        <w:t>&lt;TitreJust&gt;</w:t>
      </w:r>
      <w:r w:rsidRPr="00CA4CF9">
        <w:rPr>
          <w:noProof w:val="0"/>
        </w:rPr>
        <w:t>Begrundelse</w:t>
      </w:r>
      <w:r w:rsidRPr="00CA4CF9">
        <w:rPr>
          <w:rStyle w:val="HideTWBExt"/>
          <w:i w:val="0"/>
          <w:noProof w:val="0"/>
        </w:rPr>
        <w:t>&lt;/Tit</w:t>
      </w:r>
      <w:r w:rsidRPr="00CA4CF9">
        <w:rPr>
          <w:rStyle w:val="HideTWBExt"/>
          <w:i w:val="0"/>
          <w:noProof w:val="0"/>
        </w:rPr>
        <w:t>reJust&gt;</w:t>
      </w:r>
    </w:p>
    <w:p w:rsidR="002F3C9D" w:rsidRPr="00CA4CF9" w:rsidRDefault="00772EA1" w:rsidP="002F3C9D">
      <w:pPr>
        <w:pStyle w:val="Normal12Italic"/>
        <w:rPr>
          <w:noProof w:val="0"/>
        </w:rPr>
      </w:pPr>
      <w:r w:rsidRPr="00CA4CF9">
        <w:rPr>
          <w:noProof w:val="0"/>
        </w:rPr>
        <w:t xml:space="preserve">Denne definition er brugt i Kommissionens "Guidance for the safe management of hazardous medicines at work". Kilde: </w:t>
      </w:r>
      <w:hyperlink r:id="rId9" w:history="1">
        <w:r w:rsidRPr="00CA4CF9">
          <w:rPr>
            <w:rStyle w:val="Hyperlink"/>
            <w:noProof w:val="0"/>
          </w:rPr>
          <w:t>https://ec.europa.eu/social/main.jsp?langId=en&amp;catId=89&amp;furtherNews=yes&amp;newsId=10564&amp;pk</w:t>
        </w:r>
        <w:r w:rsidRPr="00CA4CF9">
          <w:rPr>
            <w:rStyle w:val="Hyperlink"/>
            <w:noProof w:val="0"/>
          </w:rPr>
          <w:t>_source=newsletter&amp;pk_medium=email&amp;pk_campaign=eu_social_newsletter</w:t>
        </w:r>
      </w:hyperlink>
      <w:r w:rsidRPr="00CA4CF9">
        <w:rPr>
          <w:noProof w:val="0"/>
        </w:rPr>
        <w:t>.</w:t>
      </w:r>
    </w:p>
    <w:p w:rsidR="0052409B" w:rsidRPr="00CA4CF9" w:rsidRDefault="00772EA1" w:rsidP="002F3C9D">
      <w:pPr>
        <w:pStyle w:val="Normal12Italic"/>
        <w:rPr>
          <w:noProof w:val="0"/>
        </w:rPr>
      </w:pPr>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22</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Artikel 2 – stk. -1 – nr. 4 (nyt)</w:t>
      </w:r>
      <w:r w:rsidRPr="00CA4CF9">
        <w:rPr>
          <w:rStyle w:val="HideTWBExt"/>
          <w:b w:val="0"/>
          <w:noProof w:val="0"/>
        </w:rPr>
        <w:t>&lt;/Article&gt;</w:t>
      </w:r>
    </w:p>
    <w:p w:rsidR="0052409B" w:rsidRPr="00CA4CF9" w:rsidRDefault="00772EA1" w:rsidP="0052409B">
      <w:pPr>
        <w:keepNext/>
      </w:pPr>
      <w:r w:rsidRPr="00CA4CF9">
        <w:rPr>
          <w:rStyle w:val="HideTWBExt"/>
          <w:noProof w:val="0"/>
        </w:rPr>
        <w:t>&lt;DocAmend2&gt;</w:t>
      </w:r>
      <w:r w:rsidRPr="00CA4CF9">
        <w:t>Direktiv 2004/37/EF</w:t>
      </w:r>
      <w:r w:rsidRPr="00CA4CF9">
        <w:rPr>
          <w:rStyle w:val="HideTWBExt"/>
          <w:noProof w:val="0"/>
        </w:rPr>
        <w:t>&lt;/DocAmend2&gt;</w:t>
      </w:r>
    </w:p>
    <w:p w:rsidR="0052409B" w:rsidRPr="00CA4CF9" w:rsidRDefault="00772EA1" w:rsidP="0052409B">
      <w:r w:rsidRPr="00CA4CF9">
        <w:rPr>
          <w:rStyle w:val="HideTWBExt"/>
          <w:noProof w:val="0"/>
        </w:rPr>
        <w:t>&lt;Article2&gt;</w:t>
      </w:r>
      <w:r w:rsidRPr="00CA4CF9">
        <w:t>Artikel 5 – stk. 4 a (nyt)</w:t>
      </w:r>
      <w:r w:rsidRPr="00CA4CF9">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936AAC">
        <w:trPr>
          <w:jc w:val="center"/>
        </w:trPr>
        <w:tc>
          <w:tcPr>
            <w:tcW w:w="9752" w:type="dxa"/>
            <w:gridSpan w:val="2"/>
          </w:tcPr>
          <w:p w:rsidR="0052409B" w:rsidRPr="00CA4CF9" w:rsidRDefault="0052409B" w:rsidP="00413B1F">
            <w:pPr>
              <w:keepNext/>
            </w:pPr>
          </w:p>
        </w:tc>
      </w:tr>
      <w:tr w:rsidR="009164C8" w:rsidRPr="00CA4CF9" w:rsidTr="00936AAC">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936AAC">
        <w:trPr>
          <w:jc w:val="center"/>
        </w:trPr>
        <w:tc>
          <w:tcPr>
            <w:tcW w:w="4876" w:type="dxa"/>
          </w:tcPr>
          <w:p w:rsidR="0052409B" w:rsidRPr="00CA4CF9" w:rsidRDefault="0052409B" w:rsidP="00413B1F">
            <w:pPr>
              <w:pStyle w:val="Normal6"/>
            </w:pPr>
          </w:p>
        </w:tc>
        <w:tc>
          <w:tcPr>
            <w:tcW w:w="4876" w:type="dxa"/>
          </w:tcPr>
          <w:p w:rsidR="0052409B" w:rsidRPr="00CA4CF9" w:rsidRDefault="00772EA1" w:rsidP="007C2624">
            <w:pPr>
              <w:pStyle w:val="Normal6"/>
              <w:rPr>
                <w:szCs w:val="24"/>
              </w:rPr>
            </w:pPr>
            <w:r w:rsidRPr="00CA4CF9">
              <w:rPr>
                <w:b/>
                <w:i/>
              </w:rPr>
              <w:t xml:space="preserve">4. </w:t>
            </w:r>
            <w:r w:rsidRPr="00CA4CF9">
              <w:rPr>
                <w:b/>
                <w:i/>
              </w:rPr>
              <w:tab/>
              <w:t>I artikel 5 indsættes følgende stk. 4a:</w:t>
            </w:r>
          </w:p>
        </w:tc>
      </w:tr>
      <w:tr w:rsidR="009164C8" w:rsidRPr="00CA4CF9" w:rsidTr="00936AAC">
        <w:trPr>
          <w:jc w:val="center"/>
        </w:trPr>
        <w:tc>
          <w:tcPr>
            <w:tcW w:w="4876" w:type="dxa"/>
          </w:tcPr>
          <w:p w:rsidR="0052409B" w:rsidRPr="00CA4CF9" w:rsidRDefault="0052409B" w:rsidP="00413B1F">
            <w:pPr>
              <w:pStyle w:val="Normal6"/>
            </w:pPr>
          </w:p>
        </w:tc>
        <w:tc>
          <w:tcPr>
            <w:tcW w:w="4876" w:type="dxa"/>
          </w:tcPr>
          <w:p w:rsidR="0052409B" w:rsidRPr="00CA4CF9" w:rsidRDefault="00772EA1" w:rsidP="007C2624">
            <w:pPr>
              <w:pStyle w:val="Normal6"/>
              <w:rPr>
                <w:szCs w:val="24"/>
              </w:rPr>
            </w:pPr>
            <w:r w:rsidRPr="00CA4CF9">
              <w:rPr>
                <w:b/>
                <w:i/>
              </w:rPr>
              <w:t xml:space="preserve">"4a. </w:t>
            </w:r>
            <w:r w:rsidRPr="00CA4CF9">
              <w:rPr>
                <w:b/>
                <w:i/>
              </w:rPr>
              <w:tab/>
            </w:r>
            <w:r w:rsidRPr="00CA4CF9">
              <w:rPr>
                <w:b/>
                <w:i/>
              </w:rPr>
              <w:t xml:space="preserve"> I tilfælde af udsættelse for en kombination af stoffer med samme virkningsmåde eller stoffer, som angriber den samme celle eller det samme væv, skal indførelsen af disse stoffers mulige grænseværdier tilpasses for at tage højde for de kombinerede virkning</w:t>
            </w:r>
            <w:r w:rsidRPr="00CA4CF9">
              <w:rPr>
                <w:b/>
                <w:i/>
              </w:rPr>
              <w:t>er i henhold til EU-retningslinjer, der skal udarbejdes i overensstemmelse med artikel 18a."</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pPr>
        <w:pStyle w:val="JustificationTitle"/>
        <w:rPr>
          <w:noProof w:val="0"/>
        </w:rPr>
      </w:pPr>
      <w:r w:rsidRPr="00CA4CF9">
        <w:rPr>
          <w:rStyle w:val="HideTWBExt"/>
          <w:i w:val="0"/>
          <w:noProof w:val="0"/>
        </w:rPr>
        <w:t>&lt;TitreJust&gt;</w:t>
      </w:r>
      <w:r w:rsidRPr="00CA4CF9">
        <w:rPr>
          <w:noProof w:val="0"/>
        </w:rPr>
        <w:t>Begrundelse</w:t>
      </w:r>
      <w:r w:rsidRPr="00CA4CF9">
        <w:rPr>
          <w:rStyle w:val="HideTWBExt"/>
          <w:i w:val="0"/>
          <w:noProof w:val="0"/>
        </w:rPr>
        <w:t>&lt;/TitreJust&gt;</w:t>
      </w:r>
    </w:p>
    <w:p w:rsidR="0052409B" w:rsidRPr="00CA4CF9" w:rsidRDefault="00772EA1" w:rsidP="0052409B">
      <w:pPr>
        <w:pStyle w:val="Normal12Italic"/>
        <w:rPr>
          <w:noProof w:val="0"/>
        </w:rPr>
      </w:pPr>
      <w:r w:rsidRPr="00CA4CF9">
        <w:rPr>
          <w:noProof w:val="0"/>
        </w:rPr>
        <w:t xml:space="preserve">Denne ændring blev fremsat i Europa-Parlamentets beslutning af 7. april 2021 om forslag til </w:t>
      </w:r>
      <w:r w:rsidRPr="00CA4CF9">
        <w:rPr>
          <w:noProof w:val="0"/>
        </w:rPr>
        <w:t>Europa-Parlamentets og Rådets direktiv om ændring af direktiv 2004/37/EF om beskyttelse af arbejdstagerne mod risici for under arbejdet at være udsat for kræftfremkaldende stoffer og mutagener (CMD4). Kilde: https://www.europarl.europa.eu/doceo/document/A-</w:t>
      </w:r>
      <w:r w:rsidRPr="00CA4CF9">
        <w:rPr>
          <w:noProof w:val="0"/>
        </w:rPr>
        <w:t>9-2021-0114_DA.pdf.</w:t>
      </w:r>
    </w:p>
    <w:p w:rsidR="0052409B" w:rsidRPr="00CA4CF9" w:rsidRDefault="00772EA1" w:rsidP="0052409B">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23</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Artikel 2 – stk. -1 – nr. 5 (nyt)</w:t>
      </w:r>
      <w:r w:rsidRPr="00CA4CF9">
        <w:rPr>
          <w:rStyle w:val="HideTWBExt"/>
          <w:b w:val="0"/>
          <w:noProof w:val="0"/>
        </w:rPr>
        <w:t>&lt;/Article&gt;</w:t>
      </w:r>
    </w:p>
    <w:p w:rsidR="0052409B" w:rsidRPr="00CA4CF9" w:rsidRDefault="00772EA1" w:rsidP="0052409B">
      <w:pPr>
        <w:keepNext/>
      </w:pPr>
      <w:r w:rsidRPr="00CA4CF9">
        <w:rPr>
          <w:rStyle w:val="HideTWBExt"/>
          <w:noProof w:val="0"/>
        </w:rPr>
        <w:t>&lt;DocAmend2&gt;</w:t>
      </w:r>
      <w:r w:rsidRPr="00CA4CF9">
        <w:t>Direktiv 2004/37/EF</w:t>
      </w:r>
      <w:r w:rsidRPr="00CA4CF9">
        <w:rPr>
          <w:rStyle w:val="HideTWBExt"/>
          <w:noProof w:val="0"/>
        </w:rPr>
        <w:t>&lt;/DocAmend2&gt;</w:t>
      </w:r>
    </w:p>
    <w:p w:rsidR="0052409B" w:rsidRPr="00CA4CF9" w:rsidRDefault="00772EA1" w:rsidP="0052409B">
      <w:r w:rsidRPr="00CA4CF9">
        <w:rPr>
          <w:rStyle w:val="HideTWBExt"/>
          <w:noProof w:val="0"/>
        </w:rPr>
        <w:t>&lt;Article2&gt;</w:t>
      </w:r>
      <w:r w:rsidRPr="00CA4CF9">
        <w:t>Artikel 5 – stk. 5 a (nyt)</w:t>
      </w:r>
      <w:r w:rsidRPr="00CA4CF9">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936AAC">
        <w:trPr>
          <w:jc w:val="center"/>
        </w:trPr>
        <w:tc>
          <w:tcPr>
            <w:tcW w:w="9752" w:type="dxa"/>
            <w:gridSpan w:val="2"/>
          </w:tcPr>
          <w:p w:rsidR="0052409B" w:rsidRPr="00CA4CF9" w:rsidRDefault="0052409B" w:rsidP="00413B1F">
            <w:pPr>
              <w:keepNext/>
            </w:pPr>
          </w:p>
        </w:tc>
      </w:tr>
      <w:tr w:rsidR="009164C8" w:rsidRPr="00CA4CF9" w:rsidTr="00936AAC">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936AAC">
        <w:trPr>
          <w:jc w:val="center"/>
        </w:trPr>
        <w:tc>
          <w:tcPr>
            <w:tcW w:w="4876" w:type="dxa"/>
          </w:tcPr>
          <w:p w:rsidR="00936AAC" w:rsidRPr="00CA4CF9" w:rsidRDefault="00936AAC" w:rsidP="00936AAC">
            <w:pPr>
              <w:pStyle w:val="Normal6"/>
            </w:pPr>
          </w:p>
        </w:tc>
        <w:tc>
          <w:tcPr>
            <w:tcW w:w="4876" w:type="dxa"/>
          </w:tcPr>
          <w:p w:rsidR="00936AAC" w:rsidRPr="00CA4CF9" w:rsidRDefault="00772EA1" w:rsidP="00947DEB">
            <w:pPr>
              <w:pStyle w:val="Normal6"/>
              <w:rPr>
                <w:szCs w:val="24"/>
              </w:rPr>
            </w:pPr>
            <w:r w:rsidRPr="00CA4CF9">
              <w:rPr>
                <w:b/>
                <w:i/>
              </w:rPr>
              <w:t xml:space="preserve">5. </w:t>
            </w:r>
            <w:r w:rsidRPr="00CA4CF9">
              <w:rPr>
                <w:b/>
                <w:i/>
              </w:rPr>
              <w:tab/>
              <w:t>I artikel 5 indsættes følgende stk. 5a:</w:t>
            </w:r>
          </w:p>
        </w:tc>
      </w:tr>
      <w:tr w:rsidR="009164C8" w:rsidRPr="00CA4CF9" w:rsidTr="00936AAC">
        <w:trPr>
          <w:jc w:val="center"/>
        </w:trPr>
        <w:tc>
          <w:tcPr>
            <w:tcW w:w="4876" w:type="dxa"/>
          </w:tcPr>
          <w:p w:rsidR="00936AAC" w:rsidRPr="00CA4CF9" w:rsidRDefault="00936AAC" w:rsidP="00936AAC">
            <w:pPr>
              <w:pStyle w:val="Normal6"/>
            </w:pPr>
          </w:p>
        </w:tc>
        <w:tc>
          <w:tcPr>
            <w:tcW w:w="4876" w:type="dxa"/>
          </w:tcPr>
          <w:p w:rsidR="00936AAC" w:rsidRPr="00CA4CF9" w:rsidRDefault="00772EA1" w:rsidP="007C2624">
            <w:pPr>
              <w:pStyle w:val="Normal6"/>
              <w:rPr>
                <w:szCs w:val="24"/>
              </w:rPr>
            </w:pPr>
            <w:r w:rsidRPr="00CA4CF9">
              <w:rPr>
                <w:b/>
                <w:i/>
              </w:rPr>
              <w:t xml:space="preserve">"5a. </w:t>
            </w:r>
            <w:r w:rsidRPr="00CA4CF9">
              <w:rPr>
                <w:b/>
                <w:i/>
              </w:rPr>
              <w:tab/>
              <w:t>Biologiske niveauer må ikke overstige den biologiske grænseværdi for et kræftfremkaldende, mutagent eller reproduktionstoksisk stof, der er anført i bilag IIIa."</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24</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Artikel 2 – stk. -1 – nr. 6 (nyt)</w:t>
      </w:r>
      <w:r w:rsidRPr="00CA4CF9">
        <w:rPr>
          <w:rStyle w:val="HideTWBExt"/>
          <w:b w:val="0"/>
          <w:noProof w:val="0"/>
        </w:rPr>
        <w:t>&lt;/Article&gt;</w:t>
      </w:r>
    </w:p>
    <w:p w:rsidR="0052409B" w:rsidRPr="00CA4CF9" w:rsidRDefault="00772EA1" w:rsidP="0052409B">
      <w:pPr>
        <w:keepNext/>
      </w:pPr>
      <w:r w:rsidRPr="00CA4CF9">
        <w:rPr>
          <w:rStyle w:val="HideTWBExt"/>
          <w:noProof w:val="0"/>
        </w:rPr>
        <w:t>&lt;DocAmend2&gt;</w:t>
      </w:r>
      <w:r w:rsidRPr="00CA4CF9">
        <w:t>Direktiv 2004/37/EF</w:t>
      </w:r>
      <w:r w:rsidRPr="00CA4CF9">
        <w:rPr>
          <w:rStyle w:val="HideTWBExt"/>
          <w:noProof w:val="0"/>
        </w:rPr>
        <w:t>&lt;/DocAmend2&gt;</w:t>
      </w:r>
    </w:p>
    <w:p w:rsidR="0052409B" w:rsidRPr="00CA4CF9" w:rsidRDefault="00772EA1" w:rsidP="0052409B">
      <w:r w:rsidRPr="00CA4CF9">
        <w:rPr>
          <w:rStyle w:val="HideTWBExt"/>
          <w:noProof w:val="0"/>
        </w:rPr>
        <w:t>&lt;Article2&gt;</w:t>
      </w:r>
      <w:r w:rsidRPr="00CA4CF9">
        <w:t xml:space="preserve">Artikel 18a – stk. 7 a </w:t>
      </w:r>
      <w:r w:rsidRPr="00CA4CF9">
        <w:t>(nyt)</w:t>
      </w:r>
      <w:r w:rsidRPr="00CA4CF9">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7F6F4F">
        <w:trPr>
          <w:jc w:val="center"/>
        </w:trPr>
        <w:tc>
          <w:tcPr>
            <w:tcW w:w="9752" w:type="dxa"/>
            <w:gridSpan w:val="2"/>
          </w:tcPr>
          <w:p w:rsidR="0052409B" w:rsidRPr="00CA4CF9" w:rsidRDefault="0052409B" w:rsidP="00413B1F">
            <w:pPr>
              <w:keepNext/>
            </w:pPr>
          </w:p>
        </w:tc>
      </w:tr>
      <w:tr w:rsidR="009164C8" w:rsidRPr="00CA4CF9" w:rsidTr="007F6F4F">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7F6F4F">
        <w:trPr>
          <w:jc w:val="center"/>
        </w:trPr>
        <w:tc>
          <w:tcPr>
            <w:tcW w:w="4876" w:type="dxa"/>
          </w:tcPr>
          <w:p w:rsidR="007F6F4F" w:rsidRPr="00CA4CF9" w:rsidRDefault="007F6F4F" w:rsidP="007F6F4F">
            <w:pPr>
              <w:pStyle w:val="Normal6"/>
            </w:pPr>
          </w:p>
        </w:tc>
        <w:tc>
          <w:tcPr>
            <w:tcW w:w="4876" w:type="dxa"/>
          </w:tcPr>
          <w:p w:rsidR="007F6F4F" w:rsidRPr="00CA4CF9" w:rsidRDefault="00772EA1" w:rsidP="007F6F4F">
            <w:pPr>
              <w:pStyle w:val="Normal6"/>
              <w:rPr>
                <w:szCs w:val="24"/>
              </w:rPr>
            </w:pPr>
            <w:r w:rsidRPr="00CA4CF9">
              <w:rPr>
                <w:b/>
                <w:i/>
              </w:rPr>
              <w:t xml:space="preserve">6. </w:t>
            </w:r>
            <w:r w:rsidRPr="00CA4CF9">
              <w:rPr>
                <w:b/>
                <w:i/>
              </w:rPr>
              <w:tab/>
              <w:t>I artikel 18a indsættes følgende stykke:</w:t>
            </w:r>
          </w:p>
        </w:tc>
      </w:tr>
      <w:tr w:rsidR="009164C8" w:rsidRPr="00CA4CF9" w:rsidTr="007F6F4F">
        <w:trPr>
          <w:jc w:val="center"/>
        </w:trPr>
        <w:tc>
          <w:tcPr>
            <w:tcW w:w="4876" w:type="dxa"/>
          </w:tcPr>
          <w:p w:rsidR="007F6F4F" w:rsidRPr="00CA4CF9" w:rsidRDefault="007F6F4F" w:rsidP="007F6F4F">
            <w:pPr>
              <w:pStyle w:val="Normal6"/>
            </w:pPr>
          </w:p>
        </w:tc>
        <w:tc>
          <w:tcPr>
            <w:tcW w:w="4876" w:type="dxa"/>
          </w:tcPr>
          <w:p w:rsidR="007F6F4F" w:rsidRPr="00CA4CF9" w:rsidRDefault="00772EA1" w:rsidP="007C2624">
            <w:pPr>
              <w:pStyle w:val="Normal6"/>
              <w:rPr>
                <w:szCs w:val="24"/>
              </w:rPr>
            </w:pPr>
            <w:r w:rsidRPr="00CA4CF9">
              <w:rPr>
                <w:b/>
                <w:i/>
              </w:rPr>
              <w:t>"Senest ... [et år efter datoen for dette ændringsdirektivs ikrafttrædelse] udarbejder Kommissionen under hensyntagen til de seneste udviklinger i den</w:t>
            </w:r>
            <w:r w:rsidRPr="00CA4CF9">
              <w:rPr>
                <w:b/>
                <w:i/>
              </w:rPr>
              <w:t xml:space="preserve"> videnskabelige viden, udtalelse fra Udvalget for Risikovurdering under Det Europæiske Kemikalieagentur, der oprettedes med forordning (EF) nr. 1907/2006, og efter behørig høring af de relevante interessenter EU-retningslinjer for, hvordan gennemførelsen a</w:t>
            </w:r>
            <w:r w:rsidRPr="00CA4CF9">
              <w:rPr>
                <w:b/>
                <w:i/>
              </w:rPr>
              <w:t>f de grænseværdier, der er omhandlet i artikel 5, stk. 4 og stk. 4b, skal tilpasses i tilfælde af udsættelse for en kombination af stoffer. Disse retningslinjer offentliggøres på EU-OSHA's websted og formidles i alle medlemsstater af de relevante kompetent</w:t>
            </w:r>
            <w:r w:rsidRPr="00CA4CF9">
              <w:rPr>
                <w:b/>
                <w:i/>
              </w:rPr>
              <w:t>e myndigheder."</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pPr>
        <w:pStyle w:val="JustificationTitle"/>
        <w:rPr>
          <w:noProof w:val="0"/>
        </w:rPr>
      </w:pPr>
      <w:r w:rsidRPr="00CA4CF9">
        <w:rPr>
          <w:rStyle w:val="HideTWBExt"/>
          <w:i w:val="0"/>
          <w:noProof w:val="0"/>
        </w:rPr>
        <w:t>&lt;TitreJust&gt;</w:t>
      </w:r>
      <w:r w:rsidRPr="00CA4CF9">
        <w:rPr>
          <w:noProof w:val="0"/>
        </w:rPr>
        <w:t>Begrundelse</w:t>
      </w:r>
      <w:r w:rsidRPr="00CA4CF9">
        <w:rPr>
          <w:rStyle w:val="HideTWBExt"/>
          <w:i w:val="0"/>
          <w:noProof w:val="0"/>
        </w:rPr>
        <w:t>&lt;/TitreJust&gt;</w:t>
      </w:r>
    </w:p>
    <w:p w:rsidR="0052409B" w:rsidRPr="00CA4CF9" w:rsidRDefault="00772EA1" w:rsidP="0052409B">
      <w:pPr>
        <w:pStyle w:val="Normal12Italic"/>
        <w:rPr>
          <w:noProof w:val="0"/>
        </w:rPr>
      </w:pPr>
      <w:r w:rsidRPr="00CA4CF9">
        <w:rPr>
          <w:noProof w:val="0"/>
        </w:rPr>
        <w:t xml:space="preserve">Denne ændring blev fremsat i Europa-Parlamentets beslutning af 7. april 2021 om forslag til Europa-Parlamentets og Rådets direktiv om ændring af direktiv 2004/37/EF om </w:t>
      </w:r>
      <w:r w:rsidRPr="00CA4CF9">
        <w:rPr>
          <w:noProof w:val="0"/>
        </w:rPr>
        <w:t>beskyttelse af arbejdstagerne mod risici for under arbejdet at være udsat for kræftfremkaldende stoffer og mutagener (CMD4). Kilde: https://www.europarl.europa.eu/doceo/document/A-9-2021-0114_EN.pdf</w:t>
      </w:r>
    </w:p>
    <w:p w:rsidR="0052409B" w:rsidRPr="00CA4CF9" w:rsidRDefault="00772EA1" w:rsidP="0052409B">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25</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w:t>
      </w:r>
      <w:r w:rsidRPr="00CA4CF9">
        <w:rPr>
          <w:rStyle w:val="HideTWBExt"/>
          <w:b w:val="0"/>
          <w:noProof w:val="0"/>
        </w:rPr>
        <w:t>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Artikel 2 – stk. -1 – nr. 7 (nyt)</w:t>
      </w:r>
      <w:r w:rsidRPr="00CA4CF9">
        <w:rPr>
          <w:rStyle w:val="HideTWBExt"/>
          <w:b w:val="0"/>
          <w:noProof w:val="0"/>
        </w:rPr>
        <w:t>&lt;/Article&gt;</w:t>
      </w:r>
    </w:p>
    <w:p w:rsidR="0052409B" w:rsidRPr="00CA4CF9" w:rsidRDefault="00772EA1" w:rsidP="0052409B">
      <w:pPr>
        <w:keepNext/>
      </w:pPr>
      <w:r w:rsidRPr="00CA4CF9">
        <w:rPr>
          <w:rStyle w:val="HideTWBExt"/>
          <w:noProof w:val="0"/>
        </w:rPr>
        <w:t>&lt;DocAmend2&gt;</w:t>
      </w:r>
      <w:r w:rsidRPr="00CA4CF9">
        <w:t>Direktiv 2004/37/EF</w:t>
      </w:r>
      <w:r w:rsidRPr="00CA4CF9">
        <w:rPr>
          <w:rStyle w:val="HideTWBExt"/>
          <w:noProof w:val="0"/>
        </w:rPr>
        <w:t>&lt;/DocAmend2&gt;</w:t>
      </w:r>
    </w:p>
    <w:p w:rsidR="0052409B" w:rsidRPr="00CA4CF9" w:rsidRDefault="00772EA1" w:rsidP="0052409B">
      <w:r w:rsidRPr="00CA4CF9">
        <w:rPr>
          <w:rStyle w:val="HideTWBExt"/>
          <w:noProof w:val="0"/>
        </w:rPr>
        <w:t>&lt;Article2&gt;</w:t>
      </w:r>
      <w:r w:rsidRPr="00CA4CF9">
        <w:t>Artikel 18a – stk. 7 b (nyt)</w:t>
      </w:r>
      <w:r w:rsidRPr="00CA4CF9">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2732A8">
        <w:trPr>
          <w:jc w:val="center"/>
        </w:trPr>
        <w:tc>
          <w:tcPr>
            <w:tcW w:w="9752" w:type="dxa"/>
            <w:gridSpan w:val="2"/>
          </w:tcPr>
          <w:p w:rsidR="0052409B" w:rsidRPr="00CA4CF9" w:rsidRDefault="0052409B" w:rsidP="00413B1F">
            <w:pPr>
              <w:keepNext/>
            </w:pPr>
          </w:p>
        </w:tc>
      </w:tr>
      <w:tr w:rsidR="009164C8" w:rsidRPr="00CA4CF9" w:rsidTr="002732A8">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2732A8">
        <w:trPr>
          <w:jc w:val="center"/>
        </w:trPr>
        <w:tc>
          <w:tcPr>
            <w:tcW w:w="4876" w:type="dxa"/>
          </w:tcPr>
          <w:p w:rsidR="002732A8" w:rsidRPr="00CA4CF9" w:rsidRDefault="002732A8" w:rsidP="002732A8">
            <w:pPr>
              <w:pStyle w:val="Normal6"/>
            </w:pPr>
          </w:p>
        </w:tc>
        <w:tc>
          <w:tcPr>
            <w:tcW w:w="4876" w:type="dxa"/>
          </w:tcPr>
          <w:p w:rsidR="002732A8" w:rsidRPr="00CA4CF9" w:rsidRDefault="00772EA1" w:rsidP="002732A8">
            <w:pPr>
              <w:pStyle w:val="Normal6"/>
              <w:rPr>
                <w:szCs w:val="24"/>
              </w:rPr>
            </w:pPr>
            <w:r w:rsidRPr="00CA4CF9">
              <w:rPr>
                <w:b/>
                <w:i/>
              </w:rPr>
              <w:t xml:space="preserve">7. </w:t>
            </w:r>
            <w:r w:rsidRPr="00CA4CF9">
              <w:rPr>
                <w:b/>
                <w:i/>
              </w:rPr>
              <w:tab/>
              <w:t xml:space="preserve">I artikel 18a indsættes </w:t>
            </w:r>
            <w:r w:rsidRPr="00CA4CF9">
              <w:rPr>
                <w:b/>
                <w:i/>
              </w:rPr>
              <w:t>følgende stykke:</w:t>
            </w:r>
          </w:p>
        </w:tc>
      </w:tr>
      <w:tr w:rsidR="009164C8" w:rsidRPr="00CA4CF9" w:rsidTr="002732A8">
        <w:trPr>
          <w:jc w:val="center"/>
        </w:trPr>
        <w:tc>
          <w:tcPr>
            <w:tcW w:w="4876" w:type="dxa"/>
          </w:tcPr>
          <w:p w:rsidR="002732A8" w:rsidRPr="00CA4CF9" w:rsidRDefault="002732A8" w:rsidP="002732A8">
            <w:pPr>
              <w:pStyle w:val="Normal6"/>
            </w:pPr>
          </w:p>
        </w:tc>
        <w:tc>
          <w:tcPr>
            <w:tcW w:w="4876" w:type="dxa"/>
          </w:tcPr>
          <w:p w:rsidR="002732A8" w:rsidRPr="00CA4CF9" w:rsidRDefault="00772EA1" w:rsidP="00CA1930">
            <w:pPr>
              <w:pStyle w:val="Normal6"/>
              <w:rPr>
                <w:szCs w:val="24"/>
              </w:rPr>
            </w:pPr>
            <w:r w:rsidRPr="00CA4CF9">
              <w:rPr>
                <w:b/>
                <w:i/>
              </w:rPr>
              <w:t>"Senest ... [x måneder efter datoen for dette ændringsdirektivs ikrafttrædelse] gennemgår Kommissionen gennemførelsen af dette direktiv. I forbindelse med denne gennemgang skal den overveje, om yderligere ændringer af dette direktiv er p</w:t>
            </w:r>
            <w:r w:rsidRPr="00CA4CF9">
              <w:rPr>
                <w:b/>
                <w:i/>
              </w:rPr>
              <w:t>assende, vurdere gennemførligheden af at medtage hormonforstyrrende stoffer inden for dette direktivs anvendelsesområde og, hvis det er relevant, fremsætte et lovforslag herom."</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26</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Artikel 2 – stk. -1 – nr. 8 (nyt)</w:t>
      </w:r>
      <w:r w:rsidRPr="00CA4CF9">
        <w:rPr>
          <w:rStyle w:val="HideTWBExt"/>
          <w:b w:val="0"/>
          <w:noProof w:val="0"/>
        </w:rPr>
        <w:t>&lt;/Article&gt;</w:t>
      </w:r>
    </w:p>
    <w:p w:rsidR="0052409B" w:rsidRPr="00CA4CF9" w:rsidRDefault="00772EA1" w:rsidP="0052409B">
      <w:pPr>
        <w:keepNext/>
      </w:pPr>
      <w:r w:rsidRPr="00CA4CF9">
        <w:rPr>
          <w:rStyle w:val="HideTWBExt"/>
          <w:noProof w:val="0"/>
        </w:rPr>
        <w:t>&lt;DocAmend2&gt;</w:t>
      </w:r>
      <w:r w:rsidRPr="00CA4CF9">
        <w:t>Direktiv 2004/37/EF</w:t>
      </w:r>
      <w:r w:rsidRPr="00CA4CF9">
        <w:rPr>
          <w:rStyle w:val="HideTWBExt"/>
          <w:noProof w:val="0"/>
        </w:rPr>
        <w:t>&lt;/DocAmend2&gt;</w:t>
      </w:r>
    </w:p>
    <w:p w:rsidR="0052409B" w:rsidRPr="00CA4CF9" w:rsidRDefault="00772EA1" w:rsidP="0052409B">
      <w:r w:rsidRPr="00CA4CF9">
        <w:rPr>
          <w:rStyle w:val="HideTWBExt"/>
          <w:noProof w:val="0"/>
        </w:rPr>
        <w:t>&lt;Article2&gt;</w:t>
      </w:r>
      <w:r w:rsidRPr="00CA4CF9">
        <w:t>Artikel 18a – stk. 7 c (nyt)</w:t>
      </w:r>
      <w:r w:rsidRPr="00CA4CF9">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873F1C">
        <w:trPr>
          <w:jc w:val="center"/>
        </w:trPr>
        <w:tc>
          <w:tcPr>
            <w:tcW w:w="9752" w:type="dxa"/>
            <w:gridSpan w:val="2"/>
          </w:tcPr>
          <w:p w:rsidR="0052409B" w:rsidRPr="00CA4CF9" w:rsidRDefault="0052409B" w:rsidP="00413B1F">
            <w:pPr>
              <w:keepNext/>
            </w:pPr>
          </w:p>
        </w:tc>
      </w:tr>
      <w:tr w:rsidR="009164C8" w:rsidRPr="00CA4CF9" w:rsidTr="00873F1C">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873F1C">
        <w:trPr>
          <w:jc w:val="center"/>
        </w:trPr>
        <w:tc>
          <w:tcPr>
            <w:tcW w:w="4876" w:type="dxa"/>
          </w:tcPr>
          <w:p w:rsidR="002732A8" w:rsidRPr="00CA4CF9" w:rsidRDefault="002732A8" w:rsidP="002732A8">
            <w:pPr>
              <w:pStyle w:val="Normal6"/>
            </w:pPr>
          </w:p>
        </w:tc>
        <w:tc>
          <w:tcPr>
            <w:tcW w:w="4876" w:type="dxa"/>
          </w:tcPr>
          <w:p w:rsidR="002732A8" w:rsidRPr="00CA4CF9" w:rsidRDefault="00772EA1" w:rsidP="002732A8">
            <w:pPr>
              <w:pStyle w:val="Normal6"/>
              <w:rPr>
                <w:szCs w:val="24"/>
              </w:rPr>
            </w:pPr>
            <w:r w:rsidRPr="00CA4CF9">
              <w:rPr>
                <w:b/>
                <w:i/>
              </w:rPr>
              <w:t xml:space="preserve">8. </w:t>
            </w:r>
            <w:r w:rsidRPr="00CA4CF9">
              <w:rPr>
                <w:b/>
                <w:i/>
              </w:rPr>
              <w:tab/>
              <w:t>I artikel 18a</w:t>
            </w:r>
            <w:r w:rsidRPr="00CA4CF9">
              <w:rPr>
                <w:b/>
                <w:i/>
              </w:rPr>
              <w:t xml:space="preserve"> indsættes følgende stykke:</w:t>
            </w:r>
          </w:p>
        </w:tc>
      </w:tr>
      <w:tr w:rsidR="009164C8" w:rsidRPr="00CA4CF9" w:rsidTr="00873F1C">
        <w:trPr>
          <w:jc w:val="center"/>
        </w:trPr>
        <w:tc>
          <w:tcPr>
            <w:tcW w:w="4876" w:type="dxa"/>
          </w:tcPr>
          <w:p w:rsidR="002732A8" w:rsidRPr="00CA4CF9" w:rsidRDefault="002732A8" w:rsidP="002732A8">
            <w:pPr>
              <w:pStyle w:val="Normal6"/>
            </w:pPr>
          </w:p>
        </w:tc>
        <w:tc>
          <w:tcPr>
            <w:tcW w:w="4876" w:type="dxa"/>
          </w:tcPr>
          <w:p w:rsidR="002732A8" w:rsidRPr="00CA4CF9" w:rsidRDefault="00772EA1" w:rsidP="00225D5A">
            <w:pPr>
              <w:pStyle w:val="Normal6"/>
              <w:rPr>
                <w:b/>
                <w:i/>
              </w:rPr>
            </w:pPr>
            <w:r w:rsidRPr="00CA4CF9">
              <w:rPr>
                <w:b/>
                <w:i/>
              </w:rPr>
              <w:t xml:space="preserve">"Senest ... [12 måneder efter datoen for dette ændringsdirektivs ikrafttrædelse] udvikler Kommissionen efter høring af Det Rådgivende Udvalg for Sikkerhed og Sundhed på Arbejdspladsen en definition af "kræftfremkaldende </w:t>
            </w:r>
            <w:r w:rsidRPr="00CA4CF9">
              <w:rPr>
                <w:b/>
                <w:i/>
              </w:rPr>
              <w:t>erhverv". En ikkeudtømmende liste over sådanne erhverv føjes til dette direktiv som bilag."</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52409B" w:rsidRPr="00CA4CF9" w:rsidRDefault="00772EA1" w:rsidP="0052409B">
      <w:r w:rsidRPr="00CA4CF9">
        <w:rPr>
          <w:rStyle w:val="HideTWBExt"/>
          <w:noProof w:val="0"/>
        </w:rPr>
        <w:t>&lt;/Amend&gt;</w:t>
      </w:r>
    </w:p>
    <w:p w:rsidR="0052409B" w:rsidRPr="00CA4CF9" w:rsidRDefault="00772EA1" w:rsidP="0052409B">
      <w:pPr>
        <w:pStyle w:val="AMNumberTabs0"/>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27</w:t>
      </w:r>
      <w:r w:rsidRPr="00CA4CF9">
        <w:rPr>
          <w:rStyle w:val="HideTWBExt"/>
          <w:b w:val="0"/>
          <w:noProof w:val="0"/>
        </w:rPr>
        <w:t>&lt;/NumAm&gt;</w:t>
      </w:r>
    </w:p>
    <w:p w:rsidR="0052409B" w:rsidRPr="00CA4CF9" w:rsidRDefault="00772EA1" w:rsidP="0052409B">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52409B" w:rsidRPr="00CA4CF9" w:rsidRDefault="00772EA1" w:rsidP="0052409B">
      <w:pPr>
        <w:pStyle w:val="NormalBold"/>
      </w:pPr>
      <w:r w:rsidRPr="00CA4CF9">
        <w:rPr>
          <w:rStyle w:val="HideTWBExt"/>
          <w:b w:val="0"/>
          <w:noProof w:val="0"/>
        </w:rPr>
        <w:t>&lt;Article&gt;</w:t>
      </w:r>
      <w:r w:rsidRPr="00CA4CF9">
        <w:t xml:space="preserve">Artikel 2 – stk. -1 – nr. 9 </w:t>
      </w:r>
      <w:r w:rsidRPr="00CA4CF9">
        <w:t>(nyt)</w:t>
      </w:r>
      <w:r w:rsidRPr="00CA4CF9">
        <w:rPr>
          <w:rStyle w:val="HideTWBExt"/>
          <w:b w:val="0"/>
          <w:noProof w:val="0"/>
        </w:rPr>
        <w:t>&lt;/Article&gt;</w:t>
      </w:r>
    </w:p>
    <w:p w:rsidR="0052409B" w:rsidRPr="00CA4CF9" w:rsidRDefault="00772EA1" w:rsidP="0052409B">
      <w:pPr>
        <w:keepNext/>
      </w:pPr>
      <w:r w:rsidRPr="00CA4CF9">
        <w:rPr>
          <w:rStyle w:val="HideTWBExt"/>
          <w:noProof w:val="0"/>
        </w:rPr>
        <w:t>&lt;DocAmend2&gt;</w:t>
      </w:r>
      <w:r w:rsidRPr="00CA4CF9">
        <w:t>Direktiv 2004/37/EF</w:t>
      </w:r>
      <w:r w:rsidRPr="00CA4CF9">
        <w:rPr>
          <w:rStyle w:val="HideTWBExt"/>
          <w:noProof w:val="0"/>
        </w:rPr>
        <w:t>&lt;/DocAmend2&gt;</w:t>
      </w:r>
    </w:p>
    <w:p w:rsidR="0052409B" w:rsidRPr="00CA4CF9" w:rsidRDefault="00772EA1" w:rsidP="0052409B">
      <w:r w:rsidRPr="00CA4CF9">
        <w:rPr>
          <w:rStyle w:val="HideTWBExt"/>
          <w:noProof w:val="0"/>
        </w:rPr>
        <w:t>&lt;Article2&gt;</w:t>
      </w:r>
      <w:r w:rsidRPr="00CA4CF9">
        <w:t>Artikel 18a – stk. 7 d (nyt)</w:t>
      </w:r>
      <w:r w:rsidRPr="00CA4CF9">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2732A8">
        <w:trPr>
          <w:jc w:val="center"/>
        </w:trPr>
        <w:tc>
          <w:tcPr>
            <w:tcW w:w="9752" w:type="dxa"/>
            <w:gridSpan w:val="2"/>
          </w:tcPr>
          <w:p w:rsidR="0052409B" w:rsidRPr="00CA4CF9" w:rsidRDefault="0052409B" w:rsidP="00413B1F">
            <w:pPr>
              <w:keepNext/>
            </w:pPr>
          </w:p>
        </w:tc>
      </w:tr>
      <w:tr w:rsidR="009164C8" w:rsidRPr="00CA4CF9" w:rsidTr="002732A8">
        <w:trPr>
          <w:jc w:val="center"/>
        </w:trPr>
        <w:tc>
          <w:tcPr>
            <w:tcW w:w="4876" w:type="dxa"/>
          </w:tcPr>
          <w:p w:rsidR="0052409B" w:rsidRPr="00CA4CF9" w:rsidRDefault="00772EA1" w:rsidP="00413B1F">
            <w:pPr>
              <w:pStyle w:val="ColumnHeading"/>
              <w:keepNext/>
            </w:pPr>
            <w:r w:rsidRPr="00CA4CF9">
              <w:t>Kommissionens forslag</w:t>
            </w:r>
          </w:p>
        </w:tc>
        <w:tc>
          <w:tcPr>
            <w:tcW w:w="4876" w:type="dxa"/>
          </w:tcPr>
          <w:p w:rsidR="0052409B" w:rsidRPr="00CA4CF9" w:rsidRDefault="00772EA1" w:rsidP="00413B1F">
            <w:pPr>
              <w:pStyle w:val="ColumnHeading"/>
              <w:keepNext/>
            </w:pPr>
            <w:r w:rsidRPr="00CA4CF9">
              <w:t>Ændringsforslag</w:t>
            </w:r>
          </w:p>
        </w:tc>
      </w:tr>
      <w:tr w:rsidR="009164C8" w:rsidRPr="00CA4CF9" w:rsidTr="002732A8">
        <w:trPr>
          <w:jc w:val="center"/>
        </w:trPr>
        <w:tc>
          <w:tcPr>
            <w:tcW w:w="4876" w:type="dxa"/>
          </w:tcPr>
          <w:p w:rsidR="002732A8" w:rsidRPr="00CA4CF9" w:rsidRDefault="002732A8" w:rsidP="002732A8">
            <w:pPr>
              <w:pStyle w:val="Normal6"/>
            </w:pPr>
          </w:p>
        </w:tc>
        <w:tc>
          <w:tcPr>
            <w:tcW w:w="4876" w:type="dxa"/>
          </w:tcPr>
          <w:p w:rsidR="002732A8" w:rsidRPr="00CA4CF9" w:rsidRDefault="00772EA1" w:rsidP="002732A8">
            <w:pPr>
              <w:pStyle w:val="Normal6"/>
              <w:rPr>
                <w:szCs w:val="24"/>
              </w:rPr>
            </w:pPr>
            <w:r w:rsidRPr="00CA4CF9">
              <w:rPr>
                <w:b/>
                <w:i/>
              </w:rPr>
              <w:t xml:space="preserve">9. </w:t>
            </w:r>
            <w:r w:rsidRPr="00CA4CF9">
              <w:rPr>
                <w:b/>
                <w:i/>
              </w:rPr>
              <w:tab/>
              <w:t>I artikel 18a indsættes følgende stykke:</w:t>
            </w:r>
          </w:p>
        </w:tc>
      </w:tr>
      <w:tr w:rsidR="009164C8" w:rsidRPr="00CA4CF9" w:rsidTr="002732A8">
        <w:trPr>
          <w:jc w:val="center"/>
        </w:trPr>
        <w:tc>
          <w:tcPr>
            <w:tcW w:w="4876" w:type="dxa"/>
          </w:tcPr>
          <w:p w:rsidR="002732A8" w:rsidRPr="00CA4CF9" w:rsidRDefault="002732A8" w:rsidP="002732A8">
            <w:pPr>
              <w:pStyle w:val="Normal6"/>
            </w:pPr>
          </w:p>
        </w:tc>
        <w:tc>
          <w:tcPr>
            <w:tcW w:w="4876" w:type="dxa"/>
          </w:tcPr>
          <w:p w:rsidR="002732A8" w:rsidRPr="00CA4CF9" w:rsidRDefault="00772EA1" w:rsidP="00CA1930">
            <w:pPr>
              <w:pStyle w:val="Normal6"/>
              <w:rPr>
                <w:szCs w:val="24"/>
              </w:rPr>
            </w:pPr>
            <w:r w:rsidRPr="00CA4CF9">
              <w:rPr>
                <w:b/>
                <w:i/>
              </w:rPr>
              <w:t xml:space="preserve">"Senest ... [12 måneder efter datoen for dette </w:t>
            </w:r>
            <w:r w:rsidRPr="00CA4CF9">
              <w:rPr>
                <w:b/>
                <w:i/>
              </w:rPr>
              <w:t>ændringsdirektivs ikrafttrædelse] udarbejder Kommissionen efter høring af Det Rådgivende Udvalg for Sikkerhed og Sundhed på Arbejdspladsen retningslinjer med hensyn til historisk erhvervsmæssig eksponering for bly, især beskyttelse og reduktion af eksponer</w:t>
            </w:r>
            <w:r w:rsidRPr="00CA4CF9">
              <w:rPr>
                <w:b/>
                <w:i/>
              </w:rPr>
              <w:t>ing for arbejdstagere, hvis blodniveauer ligger over den biologiske grænseværdi. Disse retningslinjer offentliggøres på EU-OSHA's websted og formidles i alle medlemsstater af de relevante kompetente myndigheder."</w:t>
            </w:r>
          </w:p>
        </w:tc>
      </w:tr>
    </w:tbl>
    <w:p w:rsidR="0052409B" w:rsidRPr="00CA4CF9" w:rsidRDefault="00772EA1" w:rsidP="0052409B">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A15B92" w:rsidRPr="00CA4CF9" w:rsidRDefault="00772EA1" w:rsidP="00A15B92">
      <w:r w:rsidRPr="00CA4CF9">
        <w:rPr>
          <w:rStyle w:val="HideTWBExt"/>
          <w:noProof w:val="0"/>
        </w:rPr>
        <w:t>&lt;/Amend&gt;</w:t>
      </w:r>
    </w:p>
    <w:bookmarkEnd w:id="1"/>
    <w:p w:rsidR="00D9167F" w:rsidRPr="00CA4CF9" w:rsidRDefault="00772EA1" w:rsidP="00D9167F">
      <w:pPr>
        <w:pStyle w:val="AMNumberTabs0"/>
        <w:keepNext/>
      </w:pPr>
      <w:r w:rsidRPr="00CA4CF9">
        <w:rPr>
          <w:rStyle w:val="HideTWBExt"/>
          <w:b w:val="0"/>
          <w:noProof w:val="0"/>
        </w:rPr>
        <w:t>&lt;</w:t>
      </w:r>
      <w:r w:rsidRPr="00CA4CF9">
        <w:rPr>
          <w:rStyle w:val="HideTWBExt"/>
          <w:b w:val="0"/>
          <w:noProof w:val="0"/>
        </w:rPr>
        <w:t>Amend&gt;</w:t>
      </w:r>
      <w:r w:rsidRPr="00CA4CF9">
        <w:t>Ændringsforslag</w:t>
      </w:r>
      <w:r w:rsidRPr="00CA4CF9">
        <w:tab/>
      </w:r>
      <w:r w:rsidRPr="00CA4CF9">
        <w:tab/>
      </w:r>
      <w:r w:rsidRPr="00CA4CF9">
        <w:rPr>
          <w:rStyle w:val="HideTWBExt"/>
          <w:b w:val="0"/>
          <w:noProof w:val="0"/>
        </w:rPr>
        <w:t>&lt;NumAm&gt;</w:t>
      </w:r>
      <w:r w:rsidRPr="00CA4CF9">
        <w:t>28</w:t>
      </w:r>
      <w:r w:rsidRPr="00CA4CF9">
        <w:rPr>
          <w:rStyle w:val="HideTWBExt"/>
          <w:b w:val="0"/>
          <w:noProof w:val="0"/>
        </w:rPr>
        <w:t>&lt;/NumAm&gt;</w:t>
      </w:r>
    </w:p>
    <w:p w:rsidR="00D9167F" w:rsidRPr="00CA4CF9" w:rsidRDefault="00772EA1" w:rsidP="00D9167F">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D9167F" w:rsidRPr="00CA4CF9" w:rsidRDefault="00772EA1" w:rsidP="00D9167F">
      <w:pPr>
        <w:pStyle w:val="NormalBold"/>
      </w:pPr>
      <w:r w:rsidRPr="00CA4CF9">
        <w:rPr>
          <w:rStyle w:val="HideTWBExt"/>
          <w:b w:val="0"/>
          <w:noProof w:val="0"/>
        </w:rPr>
        <w:t>&lt;Article&gt;</w:t>
      </w:r>
      <w:r w:rsidRPr="00CA4CF9">
        <w:t>Artikel 2 – stk. 1</w:t>
      </w:r>
      <w:r w:rsidRPr="00CA4CF9">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792141">
        <w:trPr>
          <w:jc w:val="center"/>
        </w:trPr>
        <w:tc>
          <w:tcPr>
            <w:tcW w:w="9752" w:type="dxa"/>
            <w:gridSpan w:val="2"/>
          </w:tcPr>
          <w:p w:rsidR="00D9167F" w:rsidRPr="00CA4CF9" w:rsidRDefault="00D9167F" w:rsidP="00792141">
            <w:pPr>
              <w:keepNext/>
            </w:pPr>
          </w:p>
        </w:tc>
      </w:tr>
      <w:tr w:rsidR="009164C8" w:rsidRPr="00CA4CF9" w:rsidTr="00792141">
        <w:trPr>
          <w:jc w:val="center"/>
        </w:trPr>
        <w:tc>
          <w:tcPr>
            <w:tcW w:w="4876" w:type="dxa"/>
          </w:tcPr>
          <w:p w:rsidR="00D9167F" w:rsidRPr="00CA4CF9" w:rsidRDefault="00772EA1" w:rsidP="00792141">
            <w:pPr>
              <w:pStyle w:val="ColumnHeading"/>
              <w:keepNext/>
            </w:pPr>
            <w:r w:rsidRPr="00CA4CF9">
              <w:t>Kommissionens forslag</w:t>
            </w:r>
          </w:p>
        </w:tc>
        <w:tc>
          <w:tcPr>
            <w:tcW w:w="4876" w:type="dxa"/>
          </w:tcPr>
          <w:p w:rsidR="00D9167F" w:rsidRPr="00CA4CF9" w:rsidRDefault="00772EA1" w:rsidP="00792141">
            <w:pPr>
              <w:pStyle w:val="ColumnHeading"/>
              <w:keepNext/>
            </w:pPr>
            <w:r w:rsidRPr="00CA4CF9">
              <w:t>Ændringsforslag</w:t>
            </w:r>
          </w:p>
        </w:tc>
      </w:tr>
      <w:tr w:rsidR="009164C8" w:rsidRPr="00CA4CF9" w:rsidTr="00792141">
        <w:trPr>
          <w:jc w:val="center"/>
        </w:trPr>
        <w:tc>
          <w:tcPr>
            <w:tcW w:w="4876" w:type="dxa"/>
          </w:tcPr>
          <w:p w:rsidR="00D9167F" w:rsidRPr="00CA4CF9" w:rsidRDefault="00772EA1" w:rsidP="00792141">
            <w:pPr>
              <w:pStyle w:val="Normal6"/>
            </w:pPr>
            <w:r w:rsidRPr="00CA4CF9">
              <w:t xml:space="preserve">Bilag III og IIIa til direktiv 2004/37/EF ændres som angivet i bilag II til nærværende </w:t>
            </w:r>
            <w:r w:rsidRPr="00CA4CF9">
              <w:t>direktiv.</w:t>
            </w:r>
          </w:p>
        </w:tc>
        <w:tc>
          <w:tcPr>
            <w:tcW w:w="4876" w:type="dxa"/>
          </w:tcPr>
          <w:p w:rsidR="00D9167F" w:rsidRPr="00CA4CF9" w:rsidRDefault="00772EA1" w:rsidP="00792141">
            <w:pPr>
              <w:pStyle w:val="Normal6"/>
              <w:rPr>
                <w:szCs w:val="24"/>
              </w:rPr>
            </w:pPr>
            <w:r w:rsidRPr="00CA4CF9">
              <w:t xml:space="preserve">Bilag </w:t>
            </w:r>
            <w:r w:rsidRPr="00CA4CF9">
              <w:rPr>
                <w:b/>
                <w:i/>
              </w:rPr>
              <w:t>I,</w:t>
            </w:r>
            <w:r w:rsidRPr="00CA4CF9">
              <w:t xml:space="preserve"> III og IIIa til direktiv 2004/37/EF ændres som angivet i bilag II til nærværende direktiv</w:t>
            </w:r>
          </w:p>
        </w:tc>
      </w:tr>
    </w:tbl>
    <w:p w:rsidR="00D9167F" w:rsidRPr="00CA4CF9" w:rsidRDefault="00772EA1" w:rsidP="00D9167F">
      <w:pPr>
        <w:pStyle w:val="Olang"/>
        <w:rPr>
          <w:sz w:val="24"/>
          <w:szCs w:val="24"/>
        </w:rPr>
      </w:pPr>
      <w:r w:rsidRPr="00CA4CF9">
        <w:rPr>
          <w:sz w:val="24"/>
          <w:szCs w:val="24"/>
        </w:rPr>
        <w:t xml:space="preserve">Or. </w:t>
      </w:r>
      <w:r w:rsidRPr="00CA4CF9">
        <w:rPr>
          <w:rStyle w:val="HideTWBExt"/>
          <w:noProof w:val="0"/>
        </w:rPr>
        <w:t>&lt;Original&gt;</w:t>
      </w:r>
      <w:r w:rsidRPr="00CA4CF9">
        <w:rPr>
          <w:rStyle w:val="HideTWBInt"/>
          <w:sz w:val="24"/>
          <w:szCs w:val="24"/>
        </w:rPr>
        <w:t>{EN}</w:t>
      </w:r>
      <w:r w:rsidRPr="00CA4CF9">
        <w:rPr>
          <w:sz w:val="24"/>
          <w:szCs w:val="24"/>
        </w:rPr>
        <w:t>en</w:t>
      </w:r>
      <w:r w:rsidRPr="00CA4CF9">
        <w:rPr>
          <w:rStyle w:val="HideTWBExt"/>
          <w:noProof w:val="0"/>
        </w:rPr>
        <w:t>&lt;/Original&gt;</w:t>
      </w:r>
    </w:p>
    <w:p w:rsidR="00D9167F" w:rsidRPr="00CA4CF9" w:rsidRDefault="00772EA1" w:rsidP="00D9167F">
      <w:r w:rsidRPr="00CA4CF9">
        <w:rPr>
          <w:rStyle w:val="HideTWBExt"/>
          <w:noProof w:val="0"/>
        </w:rPr>
        <w:t>&lt;/Amend&gt;</w:t>
      </w:r>
    </w:p>
    <w:p w:rsidR="00037CB9" w:rsidRPr="00CA4CF9" w:rsidRDefault="00772EA1" w:rsidP="00037CB9">
      <w:pPr>
        <w:pStyle w:val="AmNumberTabs"/>
        <w:keepNext/>
      </w:pPr>
      <w:r w:rsidRPr="00CA4CF9">
        <w:rPr>
          <w:rStyle w:val="HideTWBExt"/>
          <w:b w:val="0"/>
          <w:noProof w:val="0"/>
          <w:color w:val="auto"/>
        </w:rPr>
        <w:t>&lt;Amend&gt;</w:t>
      </w:r>
      <w:r w:rsidRPr="00CA4CF9">
        <w:t>Ændringsforslag</w:t>
      </w:r>
      <w:r w:rsidRPr="00CA4CF9">
        <w:tab/>
      </w:r>
      <w:r w:rsidRPr="00CA4CF9">
        <w:tab/>
      </w:r>
      <w:r w:rsidRPr="00CA4CF9">
        <w:rPr>
          <w:rStyle w:val="HideTWBExt"/>
          <w:b w:val="0"/>
          <w:noProof w:val="0"/>
          <w:color w:val="auto"/>
        </w:rPr>
        <w:t>&lt;NumAm&gt;</w:t>
      </w:r>
      <w:r w:rsidRPr="00CA4CF9">
        <w:t>29</w:t>
      </w:r>
      <w:r w:rsidRPr="00CA4CF9">
        <w:rPr>
          <w:rStyle w:val="HideTWBExt"/>
          <w:b w:val="0"/>
          <w:noProof w:val="0"/>
          <w:color w:val="auto"/>
        </w:rPr>
        <w:t>&lt;/NumAm&gt;</w:t>
      </w:r>
    </w:p>
    <w:p w:rsidR="00037CB9" w:rsidRPr="00CA4CF9" w:rsidRDefault="00772EA1" w:rsidP="00037CB9">
      <w:pPr>
        <w:pStyle w:val="NormalBold12b"/>
        <w:keepNext/>
      </w:pPr>
      <w:r w:rsidRPr="00CA4CF9">
        <w:rPr>
          <w:rStyle w:val="HideTWBExt"/>
          <w:b w:val="0"/>
          <w:noProof w:val="0"/>
          <w:color w:val="auto"/>
        </w:rPr>
        <w:t>&lt;DocAmend&gt;</w:t>
      </w:r>
      <w:r w:rsidRPr="00CA4CF9">
        <w:t>Forslag til direktiv</w:t>
      </w:r>
      <w:r w:rsidRPr="00CA4CF9">
        <w:rPr>
          <w:rStyle w:val="HideTWBExt"/>
          <w:b w:val="0"/>
          <w:noProof w:val="0"/>
          <w:color w:val="auto"/>
        </w:rPr>
        <w:t>&lt;/DocAmend&gt;</w:t>
      </w:r>
    </w:p>
    <w:p w:rsidR="00037CB9" w:rsidRPr="00CA4CF9" w:rsidRDefault="00772EA1" w:rsidP="00037CB9">
      <w:pPr>
        <w:pStyle w:val="NormalBold"/>
        <w:keepNext/>
      </w:pPr>
      <w:r w:rsidRPr="00CA4CF9">
        <w:rPr>
          <w:rStyle w:val="HideTWBExt"/>
          <w:b w:val="0"/>
          <w:noProof w:val="0"/>
          <w:color w:val="auto"/>
        </w:rPr>
        <w:t>&lt;Article&gt;</w:t>
      </w:r>
      <w:r w:rsidRPr="00CA4CF9">
        <w:t>Bilag I</w:t>
      </w:r>
      <w:r w:rsidRPr="00CA4CF9">
        <w:rPr>
          <w:rStyle w:val="HideTWBExt"/>
          <w:b w:val="0"/>
          <w:noProof w:val="0"/>
          <w:color w:val="auto"/>
        </w:rPr>
        <w:t>&lt;/Art</w:t>
      </w:r>
      <w:r w:rsidRPr="00CA4CF9">
        <w:rPr>
          <w:rStyle w:val="HideTWBExt"/>
          <w:b w:val="0"/>
          <w:noProof w:val="0"/>
          <w:color w:val="auto"/>
        </w:rPr>
        <w:t>icle&gt;</w:t>
      </w:r>
    </w:p>
    <w:p w:rsidR="00037CB9" w:rsidRPr="00CA4CF9" w:rsidRDefault="00772EA1" w:rsidP="00037CB9">
      <w:pPr>
        <w:keepNext/>
      </w:pPr>
      <w:r w:rsidRPr="00CA4CF9">
        <w:rPr>
          <w:rStyle w:val="HideTWBExt"/>
          <w:noProof w:val="0"/>
          <w:color w:val="auto"/>
        </w:rPr>
        <w:t>&lt;DocAmend2&gt;</w:t>
      </w:r>
      <w:r w:rsidRPr="00CA4CF9">
        <w:t>Direktiv 98/24/EF</w:t>
      </w:r>
      <w:r w:rsidRPr="00CA4CF9">
        <w:rPr>
          <w:rStyle w:val="HideTWBExt"/>
          <w:noProof w:val="0"/>
          <w:color w:val="auto"/>
        </w:rPr>
        <w:t>&lt;/DocAmend2&gt;</w:t>
      </w:r>
    </w:p>
    <w:p w:rsidR="00037CB9" w:rsidRPr="00CA4CF9" w:rsidRDefault="00772EA1" w:rsidP="00037CB9">
      <w:r w:rsidRPr="00CA4CF9">
        <w:rPr>
          <w:rStyle w:val="HideTWBExt"/>
          <w:noProof w:val="0"/>
          <w:color w:val="auto"/>
        </w:rPr>
        <w:t>&lt;Article2&gt;</w:t>
      </w:r>
      <w:r w:rsidRPr="00CA4CF9">
        <w:t>Bilag I</w:t>
      </w:r>
      <w:r w:rsidRPr="00CA4CF9">
        <w:rPr>
          <w:rStyle w:val="HideTWBExt"/>
          <w:noProof w:val="0"/>
          <w:color w:val="auto"/>
        </w:rPr>
        <w:t>&lt;/Article2&gt;</w:t>
      </w:r>
    </w:p>
    <w:tbl>
      <w:tblPr>
        <w:tblW w:w="9781" w:type="dxa"/>
        <w:jc w:val="center"/>
        <w:tblLayout w:type="fixed"/>
        <w:tblCellMar>
          <w:left w:w="340" w:type="dxa"/>
          <w:right w:w="340" w:type="dxa"/>
        </w:tblCellMar>
        <w:tblLook w:val="0000" w:firstRow="0" w:lastRow="0" w:firstColumn="0" w:lastColumn="0" w:noHBand="0" w:noVBand="0"/>
      </w:tblPr>
      <w:tblGrid>
        <w:gridCol w:w="8"/>
        <w:gridCol w:w="1601"/>
        <w:gridCol w:w="52"/>
        <w:gridCol w:w="650"/>
        <w:gridCol w:w="75"/>
        <w:gridCol w:w="628"/>
        <w:gridCol w:w="98"/>
        <w:gridCol w:w="605"/>
        <w:gridCol w:w="120"/>
        <w:gridCol w:w="112"/>
        <w:gridCol w:w="331"/>
        <w:gridCol w:w="137"/>
        <w:gridCol w:w="426"/>
        <w:gridCol w:w="154"/>
        <w:gridCol w:w="549"/>
        <w:gridCol w:w="176"/>
        <w:gridCol w:w="526"/>
        <w:gridCol w:w="198"/>
        <w:gridCol w:w="1207"/>
        <w:gridCol w:w="244"/>
        <w:gridCol w:w="1829"/>
        <w:gridCol w:w="26"/>
        <w:gridCol w:w="29"/>
      </w:tblGrid>
      <w:tr w:rsidR="009164C8" w:rsidRPr="00CA4CF9" w:rsidTr="00504A84">
        <w:trPr>
          <w:gridAfter w:val="1"/>
          <w:wAfter w:w="29" w:type="dxa"/>
          <w:jc w:val="center"/>
        </w:trPr>
        <w:tc>
          <w:tcPr>
            <w:tcW w:w="9752" w:type="dxa"/>
            <w:gridSpan w:val="22"/>
          </w:tcPr>
          <w:p w:rsidR="00037CB9" w:rsidRPr="00CA4CF9" w:rsidRDefault="00037CB9" w:rsidP="005F4C08">
            <w:pPr>
              <w:keepNext/>
            </w:pPr>
          </w:p>
        </w:tc>
      </w:tr>
      <w:tr w:rsidR="009164C8" w:rsidRPr="00CA4CF9" w:rsidTr="00504A84">
        <w:trPr>
          <w:gridAfter w:val="1"/>
          <w:wAfter w:w="29" w:type="dxa"/>
          <w:jc w:val="center"/>
        </w:trPr>
        <w:tc>
          <w:tcPr>
            <w:tcW w:w="9752" w:type="dxa"/>
            <w:gridSpan w:val="22"/>
          </w:tcPr>
          <w:p w:rsidR="00037CB9" w:rsidRPr="00CA4CF9" w:rsidRDefault="00772EA1" w:rsidP="00037CB9">
            <w:pPr>
              <w:pStyle w:val="AmColumnHeading"/>
              <w:keepNext/>
              <w:jc w:val="left"/>
            </w:pPr>
            <w:r w:rsidRPr="00CA4CF9">
              <w:t>Kommissionens forslag</w:t>
            </w:r>
          </w:p>
        </w:tc>
      </w:tr>
      <w:tr w:rsidR="009164C8" w:rsidRPr="00CA4CF9" w:rsidTr="00504A84">
        <w:trPr>
          <w:gridAfter w:val="1"/>
          <w:wAfter w:w="29" w:type="dxa"/>
          <w:jc w:val="center"/>
        </w:trPr>
        <w:tc>
          <w:tcPr>
            <w:tcW w:w="9752" w:type="dxa"/>
            <w:gridSpan w:val="22"/>
          </w:tcPr>
          <w:p w:rsidR="00E941BF" w:rsidRPr="00CA4CF9" w:rsidRDefault="00772EA1" w:rsidP="00E941BF">
            <w:pPr>
              <w:spacing w:line="240" w:lineRule="atLeast"/>
            </w:pPr>
            <w:r w:rsidRPr="00CA4CF9">
              <w:t>Bilag I til direktiv 98/24/EF affattes således:</w:t>
            </w:r>
          </w:p>
        </w:tc>
      </w:tr>
      <w:tr w:rsidR="009164C8" w:rsidRPr="00CA4CF9" w:rsidTr="0004271C">
        <w:trPr>
          <w:gridAfter w:val="1"/>
          <w:wAfter w:w="29" w:type="dxa"/>
          <w:jc w:val="center"/>
        </w:trPr>
        <w:tc>
          <w:tcPr>
            <w:tcW w:w="9752" w:type="dxa"/>
            <w:gridSpan w:val="22"/>
          </w:tcPr>
          <w:p w:rsidR="00E941BF" w:rsidRPr="00CA4CF9" w:rsidRDefault="00772EA1" w:rsidP="00E941BF">
            <w:pPr>
              <w:spacing w:line="240" w:lineRule="atLeast"/>
              <w:jc w:val="center"/>
              <w:rPr>
                <w:rFonts w:eastAsia="Arial Unicode MS"/>
                <w:szCs w:val="24"/>
              </w:rPr>
            </w:pPr>
            <w:r w:rsidRPr="00CA4CF9">
              <w:t>BILAG I</w:t>
            </w:r>
          </w:p>
        </w:tc>
      </w:tr>
      <w:tr w:rsidR="009164C8" w:rsidRPr="00CA4CF9" w:rsidTr="0004271C">
        <w:trPr>
          <w:gridAfter w:val="1"/>
          <w:wAfter w:w="29" w:type="dxa"/>
          <w:jc w:val="center"/>
        </w:trPr>
        <w:tc>
          <w:tcPr>
            <w:tcW w:w="9752" w:type="dxa"/>
            <w:gridSpan w:val="22"/>
          </w:tcPr>
          <w:p w:rsidR="00037CB9" w:rsidRPr="00CA4CF9" w:rsidRDefault="00772EA1" w:rsidP="00037CB9">
            <w:pPr>
              <w:pStyle w:val="AmColumnHeading"/>
              <w:keepNext/>
              <w:jc w:val="left"/>
              <w:rPr>
                <w:i w:val="0"/>
              </w:rPr>
            </w:pPr>
            <w:r w:rsidRPr="00CA4CF9">
              <w:rPr>
                <w:i w:val="0"/>
              </w:rPr>
              <w:t>FORTEGNELSE OVER BINDENDE GRÆNSEVÆRDIER FOR ERHVERVSMÆSSIG EKSPONERING</w:t>
            </w:r>
          </w:p>
        </w:tc>
      </w:tr>
      <w:tr w:rsidR="009164C8" w:rsidRPr="00CA4CF9"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037CB9" w:rsidRPr="00CA4CF9" w:rsidRDefault="00772EA1">
            <w:pPr>
              <w:spacing w:before="60" w:after="60" w:line="276" w:lineRule="auto"/>
              <w:ind w:right="195"/>
              <w:jc w:val="center"/>
              <w:rPr>
                <w:bCs/>
                <w:szCs w:val="24"/>
              </w:rPr>
            </w:pPr>
            <w:r w:rsidRPr="00CA4CF9">
              <w:t>Agensens navn</w:t>
            </w:r>
          </w:p>
        </w:tc>
        <w:tc>
          <w:tcPr>
            <w:tcW w:w="72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CA4CF9" w:rsidRDefault="00772EA1">
            <w:pPr>
              <w:spacing w:after="60" w:line="276" w:lineRule="auto"/>
              <w:jc w:val="center"/>
              <w:rPr>
                <w:bCs/>
                <w:szCs w:val="24"/>
              </w:rPr>
            </w:pPr>
            <w:r w:rsidRPr="00CA4CF9">
              <w:t>EF-nr. (</w:t>
            </w:r>
            <w:r w:rsidRPr="00CA4CF9">
              <w:rPr>
                <w:vertAlign w:val="superscript"/>
              </w:rPr>
              <w:t>1</w:t>
            </w:r>
            <w:r w:rsidRPr="00CA4CF9">
              <w:t>)</w:t>
            </w:r>
          </w:p>
        </w:tc>
        <w:tc>
          <w:tcPr>
            <w:tcW w:w="726"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CA4CF9" w:rsidRDefault="00772EA1">
            <w:pPr>
              <w:spacing w:after="60" w:line="276" w:lineRule="auto"/>
              <w:jc w:val="center"/>
              <w:rPr>
                <w:bCs/>
                <w:szCs w:val="24"/>
              </w:rPr>
            </w:pPr>
            <w:r w:rsidRPr="00CA4CF9">
              <w:t>CAS-nr. (</w:t>
            </w:r>
            <w:r w:rsidRPr="00CA4CF9">
              <w:rPr>
                <w:vertAlign w:val="superscript"/>
              </w:rPr>
              <w:t>2</w:t>
            </w:r>
            <w:r w:rsidRPr="00CA4CF9">
              <w:t xml:space="preserve">) </w:t>
            </w:r>
          </w:p>
        </w:tc>
        <w:tc>
          <w:tcPr>
            <w:tcW w:w="3334" w:type="dxa"/>
            <w:gridSpan w:val="11"/>
            <w:tcBorders>
              <w:top w:val="single" w:sz="4" w:space="0" w:color="auto"/>
              <w:left w:val="single" w:sz="4" w:space="0" w:color="auto"/>
              <w:bottom w:val="single" w:sz="4" w:space="0" w:color="auto"/>
              <w:right w:val="single" w:sz="4" w:space="0" w:color="auto"/>
            </w:tcBorders>
            <w:vAlign w:val="center"/>
            <w:hideMark/>
          </w:tcPr>
          <w:p w:rsidR="00037CB9" w:rsidRPr="00CA4CF9" w:rsidRDefault="00772EA1">
            <w:pPr>
              <w:spacing w:before="60" w:after="60" w:line="276" w:lineRule="auto"/>
              <w:ind w:right="195"/>
              <w:jc w:val="center"/>
              <w:rPr>
                <w:bCs/>
                <w:szCs w:val="24"/>
              </w:rPr>
            </w:pPr>
            <w:r w:rsidRPr="00CA4CF9">
              <w:t>Grænseværdier</w:t>
            </w:r>
          </w:p>
        </w:tc>
        <w:tc>
          <w:tcPr>
            <w:tcW w:w="145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CA4CF9" w:rsidRDefault="00772EA1">
            <w:pPr>
              <w:spacing w:before="60" w:after="60" w:line="276" w:lineRule="auto"/>
              <w:ind w:right="195"/>
              <w:jc w:val="center"/>
              <w:rPr>
                <w:bCs/>
                <w:szCs w:val="24"/>
              </w:rPr>
            </w:pPr>
            <w:r w:rsidRPr="00CA4CF9">
              <w:t xml:space="preserve"> Anmærkning</w:t>
            </w:r>
          </w:p>
        </w:tc>
        <w:tc>
          <w:tcPr>
            <w:tcW w:w="1829" w:type="dxa"/>
            <w:vMerge w:val="restart"/>
            <w:tcBorders>
              <w:top w:val="single" w:sz="4" w:space="0" w:color="auto"/>
              <w:left w:val="single" w:sz="4" w:space="0" w:color="auto"/>
              <w:bottom w:val="single" w:sz="4" w:space="0" w:color="auto"/>
              <w:right w:val="single" w:sz="4" w:space="0" w:color="auto"/>
            </w:tcBorders>
            <w:vAlign w:val="center"/>
            <w:hideMark/>
          </w:tcPr>
          <w:p w:rsidR="00037CB9" w:rsidRPr="00CA4CF9" w:rsidRDefault="00772EA1">
            <w:pPr>
              <w:spacing w:before="60" w:after="60" w:line="276" w:lineRule="auto"/>
              <w:ind w:right="104"/>
              <w:jc w:val="center"/>
              <w:rPr>
                <w:bCs/>
                <w:szCs w:val="24"/>
              </w:rPr>
            </w:pPr>
            <w:r w:rsidRPr="00CA4CF9">
              <w:t>Overgangsforanstaltninger</w:t>
            </w:r>
          </w:p>
        </w:tc>
      </w:tr>
      <w:tr w:rsidR="009164C8" w:rsidRPr="00CA4CF9"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CA4CF9" w:rsidRDefault="00037CB9">
            <w:pPr>
              <w:spacing w:line="276" w:lineRule="auto"/>
              <w:rPr>
                <w:bCs/>
                <w:szCs w:val="24"/>
              </w:rPr>
            </w:pPr>
          </w:p>
        </w:tc>
        <w:tc>
          <w:tcPr>
            <w:tcW w:w="725"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CA4CF9" w:rsidRDefault="00037CB9">
            <w:pPr>
              <w:spacing w:line="276" w:lineRule="auto"/>
              <w:rPr>
                <w:bCs/>
                <w:szCs w:val="24"/>
              </w:rPr>
            </w:pPr>
          </w:p>
        </w:tc>
        <w:tc>
          <w:tcPr>
            <w:tcW w:w="726"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CA4CF9" w:rsidRDefault="00037CB9">
            <w:pPr>
              <w:spacing w:line="276" w:lineRule="auto"/>
              <w:rPr>
                <w:bCs/>
                <w:szCs w:val="24"/>
              </w:rPr>
            </w:pPr>
          </w:p>
        </w:tc>
        <w:tc>
          <w:tcPr>
            <w:tcW w:w="1885" w:type="dxa"/>
            <w:gridSpan w:val="7"/>
            <w:tcBorders>
              <w:top w:val="single" w:sz="4" w:space="0" w:color="auto"/>
              <w:left w:val="single" w:sz="4" w:space="0" w:color="auto"/>
              <w:bottom w:val="single" w:sz="4" w:space="0" w:color="auto"/>
              <w:right w:val="single" w:sz="4" w:space="0" w:color="auto"/>
            </w:tcBorders>
            <w:hideMark/>
          </w:tcPr>
          <w:p w:rsidR="00037CB9" w:rsidRPr="00CA4CF9" w:rsidRDefault="00772EA1">
            <w:pPr>
              <w:spacing w:before="60" w:after="60" w:line="276" w:lineRule="auto"/>
              <w:ind w:right="195"/>
              <w:jc w:val="center"/>
              <w:rPr>
                <w:bCs/>
                <w:szCs w:val="24"/>
              </w:rPr>
            </w:pPr>
            <w:r w:rsidRPr="00CA4CF9">
              <w:t>8 timer (</w:t>
            </w:r>
            <w:r w:rsidRPr="00CA4CF9">
              <w:rPr>
                <w:vertAlign w:val="superscript"/>
              </w:rPr>
              <w:t>3</w:t>
            </w:r>
            <w:r w:rsidRPr="00CA4CF9">
              <w:t>)</w:t>
            </w:r>
          </w:p>
        </w:tc>
        <w:tc>
          <w:tcPr>
            <w:tcW w:w="1449" w:type="dxa"/>
            <w:gridSpan w:val="4"/>
            <w:tcBorders>
              <w:top w:val="single" w:sz="4" w:space="0" w:color="auto"/>
              <w:left w:val="single" w:sz="4" w:space="0" w:color="auto"/>
              <w:bottom w:val="single" w:sz="4" w:space="0" w:color="auto"/>
              <w:right w:val="single" w:sz="4" w:space="0" w:color="auto"/>
            </w:tcBorders>
            <w:hideMark/>
          </w:tcPr>
          <w:p w:rsidR="00037CB9" w:rsidRPr="00CA4CF9" w:rsidRDefault="00772EA1">
            <w:pPr>
              <w:spacing w:before="60" w:after="60" w:line="276" w:lineRule="auto"/>
              <w:ind w:right="195"/>
              <w:jc w:val="center"/>
              <w:rPr>
                <w:bCs/>
                <w:szCs w:val="24"/>
              </w:rPr>
            </w:pPr>
            <w:r w:rsidRPr="00CA4CF9">
              <w:t>Kortvarigt (</w:t>
            </w:r>
            <w:r w:rsidRPr="00CA4CF9">
              <w:rPr>
                <w:vertAlign w:val="superscript"/>
              </w:rPr>
              <w:t>4</w:t>
            </w:r>
            <w:r w:rsidRPr="00CA4CF9">
              <w:t>)</w:t>
            </w:r>
            <w:r w:rsidRPr="00CA4CF9">
              <w:rPr>
                <w:b/>
              </w:rPr>
              <w:t xml:space="preserve"> </w:t>
            </w:r>
          </w:p>
        </w:tc>
        <w:tc>
          <w:tcPr>
            <w:tcW w:w="1451"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CA4CF9" w:rsidRDefault="00037CB9">
            <w:pPr>
              <w:spacing w:line="276" w:lineRule="auto"/>
              <w:rPr>
                <w:bCs/>
                <w:szCs w:val="24"/>
              </w:rPr>
            </w:pPr>
          </w:p>
        </w:tc>
        <w:tc>
          <w:tcPr>
            <w:tcW w:w="1829" w:type="dxa"/>
            <w:vMerge/>
            <w:tcBorders>
              <w:top w:val="single" w:sz="4" w:space="0" w:color="auto"/>
              <w:left w:val="single" w:sz="4" w:space="0" w:color="auto"/>
              <w:bottom w:val="single" w:sz="4" w:space="0" w:color="auto"/>
              <w:right w:val="single" w:sz="4" w:space="0" w:color="auto"/>
            </w:tcBorders>
            <w:vAlign w:val="center"/>
            <w:hideMark/>
          </w:tcPr>
          <w:p w:rsidR="00037CB9" w:rsidRPr="00CA4CF9" w:rsidRDefault="00037CB9">
            <w:pPr>
              <w:spacing w:line="276" w:lineRule="auto"/>
              <w:rPr>
                <w:bCs/>
                <w:szCs w:val="24"/>
              </w:rPr>
            </w:pPr>
          </w:p>
        </w:tc>
      </w:tr>
      <w:tr w:rsidR="009164C8" w:rsidRPr="00CA4CF9"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CA4CF9" w:rsidRDefault="00037CB9">
            <w:pPr>
              <w:spacing w:line="276" w:lineRule="auto"/>
              <w:rPr>
                <w:bCs/>
                <w:szCs w:val="24"/>
              </w:rPr>
            </w:pPr>
          </w:p>
        </w:tc>
        <w:tc>
          <w:tcPr>
            <w:tcW w:w="725"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CA4CF9" w:rsidRDefault="00037CB9">
            <w:pPr>
              <w:spacing w:line="276" w:lineRule="auto"/>
              <w:rPr>
                <w:bCs/>
                <w:szCs w:val="24"/>
              </w:rPr>
            </w:pPr>
          </w:p>
        </w:tc>
        <w:tc>
          <w:tcPr>
            <w:tcW w:w="726"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CA4CF9" w:rsidRDefault="00037CB9">
            <w:pPr>
              <w:spacing w:line="276" w:lineRule="auto"/>
              <w:rPr>
                <w:bCs/>
                <w:szCs w:val="24"/>
              </w:rPr>
            </w:pPr>
          </w:p>
        </w:tc>
        <w:tc>
          <w:tcPr>
            <w:tcW w:w="725" w:type="dxa"/>
            <w:gridSpan w:val="2"/>
            <w:tcBorders>
              <w:top w:val="single" w:sz="4" w:space="0" w:color="auto"/>
              <w:left w:val="single" w:sz="4" w:space="0" w:color="auto"/>
              <w:bottom w:val="single" w:sz="4" w:space="0" w:color="auto"/>
              <w:right w:val="single" w:sz="4" w:space="0" w:color="auto"/>
            </w:tcBorders>
            <w:hideMark/>
          </w:tcPr>
          <w:p w:rsidR="00037CB9" w:rsidRPr="00CA4CF9" w:rsidRDefault="00772EA1">
            <w:pPr>
              <w:spacing w:before="60" w:after="60" w:line="276" w:lineRule="auto"/>
              <w:jc w:val="center"/>
              <w:rPr>
                <w:bCs/>
                <w:szCs w:val="24"/>
                <w:vertAlign w:val="superscript"/>
              </w:rPr>
            </w:pPr>
            <w:r w:rsidRPr="00CA4CF9">
              <w:t>µg/m</w:t>
            </w:r>
            <w:r w:rsidRPr="00CA4CF9">
              <w:rPr>
                <w:vertAlign w:val="superscript"/>
              </w:rPr>
              <w:t>3</w:t>
            </w:r>
          </w:p>
          <w:p w:rsidR="00037CB9" w:rsidRPr="00CA4CF9" w:rsidRDefault="00772EA1">
            <w:pPr>
              <w:spacing w:before="60" w:after="60" w:line="276" w:lineRule="auto"/>
              <w:jc w:val="center"/>
              <w:rPr>
                <w:bCs/>
                <w:szCs w:val="24"/>
                <w:vertAlign w:val="superscript"/>
              </w:rPr>
            </w:pPr>
            <w:r w:rsidRPr="00CA4CF9">
              <w:t>(</w:t>
            </w:r>
            <w:r w:rsidRPr="00CA4CF9">
              <w:rPr>
                <w:vertAlign w:val="superscript"/>
              </w:rPr>
              <w:t>5</w:t>
            </w:r>
            <w:r w:rsidRPr="00CA4CF9">
              <w:t>)</w:t>
            </w:r>
            <w:r w:rsidR="00CA4CF9" w:rsidRPr="00CA4CF9">
              <w:rPr>
                <w:vertAlign w:val="superscript"/>
              </w:rPr>
              <w:t xml:space="preserve"> </w:t>
            </w:r>
          </w:p>
        </w:tc>
        <w:tc>
          <w:tcPr>
            <w:tcW w:w="580" w:type="dxa"/>
            <w:gridSpan w:val="3"/>
            <w:tcBorders>
              <w:top w:val="single" w:sz="4" w:space="0" w:color="auto"/>
              <w:left w:val="single" w:sz="4" w:space="0" w:color="auto"/>
              <w:bottom w:val="single" w:sz="4" w:space="0" w:color="auto"/>
              <w:right w:val="single" w:sz="4" w:space="0" w:color="auto"/>
            </w:tcBorders>
            <w:hideMark/>
          </w:tcPr>
          <w:p w:rsidR="00037CB9" w:rsidRPr="00CA4CF9" w:rsidRDefault="00772EA1">
            <w:pPr>
              <w:spacing w:before="60" w:after="60" w:line="276" w:lineRule="auto"/>
              <w:jc w:val="center"/>
              <w:rPr>
                <w:bCs/>
                <w:szCs w:val="24"/>
              </w:rPr>
            </w:pPr>
            <w:r w:rsidRPr="00CA4CF9">
              <w:t>ppm (</w:t>
            </w:r>
            <w:r w:rsidRPr="00CA4CF9">
              <w:rPr>
                <w:vertAlign w:val="superscript"/>
              </w:rPr>
              <w:t>6</w:t>
            </w:r>
            <w:r w:rsidRPr="00CA4CF9">
              <w:t>)</w:t>
            </w:r>
            <w:r w:rsidR="00CA4CF9" w:rsidRPr="00CA4CF9">
              <w:t xml:space="preserve"> </w:t>
            </w:r>
          </w:p>
        </w:tc>
        <w:tc>
          <w:tcPr>
            <w:tcW w:w="580" w:type="dxa"/>
            <w:gridSpan w:val="2"/>
            <w:tcBorders>
              <w:top w:val="single" w:sz="4" w:space="0" w:color="auto"/>
              <w:left w:val="single" w:sz="4" w:space="0" w:color="auto"/>
              <w:bottom w:val="single" w:sz="4" w:space="0" w:color="auto"/>
              <w:right w:val="single" w:sz="4" w:space="0" w:color="auto"/>
            </w:tcBorders>
          </w:tcPr>
          <w:p w:rsidR="00037CB9" w:rsidRPr="00CA4CF9" w:rsidRDefault="00772EA1" w:rsidP="00504A84">
            <w:pPr>
              <w:spacing w:before="60" w:line="276" w:lineRule="auto"/>
              <w:jc w:val="center"/>
              <w:rPr>
                <w:bCs/>
                <w:szCs w:val="24"/>
              </w:rPr>
            </w:pPr>
            <w:r w:rsidRPr="00CA4CF9">
              <w:t>f/ml (</w:t>
            </w:r>
            <w:r w:rsidRPr="00CA4CF9">
              <w:rPr>
                <w:vertAlign w:val="superscript"/>
              </w:rPr>
              <w:t>7</w:t>
            </w:r>
            <w:r w:rsidRPr="00CA4CF9">
              <w:t>)</w:t>
            </w:r>
          </w:p>
        </w:tc>
        <w:tc>
          <w:tcPr>
            <w:tcW w:w="725" w:type="dxa"/>
            <w:gridSpan w:val="2"/>
            <w:tcBorders>
              <w:top w:val="single" w:sz="4" w:space="0" w:color="auto"/>
              <w:left w:val="single" w:sz="4" w:space="0" w:color="auto"/>
              <w:bottom w:val="single" w:sz="4" w:space="0" w:color="auto"/>
              <w:right w:val="single" w:sz="4" w:space="0" w:color="auto"/>
            </w:tcBorders>
            <w:hideMark/>
          </w:tcPr>
          <w:p w:rsidR="00037CB9" w:rsidRPr="00CA4CF9" w:rsidRDefault="00772EA1">
            <w:pPr>
              <w:spacing w:before="60" w:after="60" w:line="276" w:lineRule="auto"/>
              <w:jc w:val="center"/>
              <w:rPr>
                <w:bCs/>
                <w:szCs w:val="24"/>
              </w:rPr>
            </w:pPr>
            <w:r w:rsidRPr="00CA4CF9">
              <w:t>µg/m</w:t>
            </w:r>
            <w:r w:rsidRPr="00CA4CF9">
              <w:rPr>
                <w:vertAlign w:val="superscript"/>
              </w:rPr>
              <w:t xml:space="preserve">3 </w:t>
            </w:r>
          </w:p>
        </w:tc>
        <w:tc>
          <w:tcPr>
            <w:tcW w:w="724" w:type="dxa"/>
            <w:gridSpan w:val="2"/>
            <w:tcBorders>
              <w:top w:val="single" w:sz="4" w:space="0" w:color="auto"/>
              <w:left w:val="single" w:sz="4" w:space="0" w:color="auto"/>
              <w:bottom w:val="single" w:sz="4" w:space="0" w:color="auto"/>
              <w:right w:val="single" w:sz="4" w:space="0" w:color="auto"/>
            </w:tcBorders>
          </w:tcPr>
          <w:p w:rsidR="00037CB9" w:rsidRPr="00CA4CF9" w:rsidRDefault="00772EA1" w:rsidP="00504A84">
            <w:pPr>
              <w:spacing w:before="60" w:after="60" w:line="276" w:lineRule="auto"/>
              <w:jc w:val="center"/>
              <w:rPr>
                <w:bCs/>
                <w:szCs w:val="24"/>
              </w:rPr>
            </w:pPr>
            <w:r w:rsidRPr="00CA4CF9">
              <w:t>ppm</w:t>
            </w:r>
          </w:p>
        </w:tc>
        <w:tc>
          <w:tcPr>
            <w:tcW w:w="1451"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CA4CF9" w:rsidRDefault="00037CB9">
            <w:pPr>
              <w:spacing w:line="276" w:lineRule="auto"/>
              <w:rPr>
                <w:bCs/>
                <w:szCs w:val="24"/>
              </w:rPr>
            </w:pPr>
          </w:p>
        </w:tc>
        <w:tc>
          <w:tcPr>
            <w:tcW w:w="1829" w:type="dxa"/>
            <w:vMerge/>
            <w:tcBorders>
              <w:top w:val="single" w:sz="4" w:space="0" w:color="auto"/>
              <w:left w:val="single" w:sz="4" w:space="0" w:color="auto"/>
              <w:bottom w:val="single" w:sz="4" w:space="0" w:color="auto"/>
              <w:right w:val="single" w:sz="4" w:space="0" w:color="auto"/>
            </w:tcBorders>
            <w:vAlign w:val="center"/>
            <w:hideMark/>
          </w:tcPr>
          <w:p w:rsidR="00037CB9" w:rsidRPr="00CA4CF9" w:rsidRDefault="00037CB9">
            <w:pPr>
              <w:spacing w:line="276" w:lineRule="auto"/>
              <w:rPr>
                <w:bCs/>
                <w:szCs w:val="24"/>
              </w:rPr>
            </w:pPr>
          </w:p>
        </w:tc>
      </w:tr>
      <w:tr w:rsidR="009164C8" w:rsidRPr="00CA4CF9"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CA4CF9" w:rsidRDefault="00772EA1">
            <w:pPr>
              <w:spacing w:line="276" w:lineRule="auto"/>
              <w:rPr>
                <w:rFonts w:eastAsiaTheme="minorHAnsi"/>
                <w:szCs w:val="24"/>
              </w:rPr>
            </w:pPr>
            <w:r w:rsidRPr="00CA4CF9">
              <w:t>Diisocyanater</w:t>
            </w:r>
          </w:p>
        </w:tc>
        <w:tc>
          <w:tcPr>
            <w:tcW w:w="72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CA4CF9" w:rsidRDefault="00037CB9">
            <w:pPr>
              <w:spacing w:before="40" w:after="40" w:line="276" w:lineRule="auto"/>
              <w:rPr>
                <w:szCs w:val="24"/>
              </w:rPr>
            </w:pPr>
          </w:p>
        </w:tc>
        <w:tc>
          <w:tcPr>
            <w:tcW w:w="726"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CA4CF9" w:rsidRDefault="00037CB9">
            <w:pPr>
              <w:spacing w:before="40" w:after="40" w:line="276" w:lineRule="auto"/>
              <w:ind w:right="195"/>
              <w:rPr>
                <w:rFonts w:eastAsiaTheme="minorHAnsi"/>
                <w:szCs w:val="24"/>
                <w:lang w:eastAsia="en-US"/>
              </w:rPr>
            </w:pPr>
          </w:p>
        </w:tc>
        <w:tc>
          <w:tcPr>
            <w:tcW w:w="72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CA4CF9" w:rsidRDefault="00772EA1">
            <w:pPr>
              <w:spacing w:before="40" w:after="40" w:line="276" w:lineRule="auto"/>
              <w:ind w:right="195"/>
              <w:rPr>
                <w:szCs w:val="24"/>
              </w:rPr>
            </w:pPr>
            <w:r w:rsidRPr="00CA4CF9">
              <w:t>6</w:t>
            </w:r>
          </w:p>
        </w:tc>
        <w:tc>
          <w:tcPr>
            <w:tcW w:w="580" w:type="dxa"/>
            <w:gridSpan w:val="3"/>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CA4CF9" w:rsidRDefault="00037CB9">
            <w:pPr>
              <w:spacing w:before="40" w:after="40" w:line="276" w:lineRule="auto"/>
              <w:rPr>
                <w:szCs w:val="24"/>
              </w:rPr>
            </w:pPr>
          </w:p>
        </w:tc>
        <w:tc>
          <w:tcPr>
            <w:tcW w:w="580"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CA4CF9" w:rsidRDefault="00037CB9">
            <w:pPr>
              <w:spacing w:before="40" w:after="40" w:line="276" w:lineRule="auto"/>
              <w:rPr>
                <w:szCs w:val="24"/>
              </w:rPr>
            </w:pPr>
          </w:p>
        </w:tc>
        <w:tc>
          <w:tcPr>
            <w:tcW w:w="72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CA4CF9" w:rsidRDefault="00772EA1">
            <w:pPr>
              <w:spacing w:before="40" w:after="40" w:line="276" w:lineRule="auto"/>
              <w:rPr>
                <w:rFonts w:eastAsiaTheme="minorHAnsi"/>
                <w:szCs w:val="24"/>
              </w:rPr>
            </w:pPr>
            <w:r w:rsidRPr="00CA4CF9">
              <w:t>12</w:t>
            </w:r>
          </w:p>
        </w:tc>
        <w:tc>
          <w:tcPr>
            <w:tcW w:w="724"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CA4CF9" w:rsidRDefault="00037CB9">
            <w:pPr>
              <w:spacing w:before="40" w:after="40" w:line="276" w:lineRule="auto"/>
              <w:rPr>
                <w:szCs w:val="24"/>
              </w:rPr>
            </w:pPr>
          </w:p>
        </w:tc>
        <w:tc>
          <w:tcPr>
            <w:tcW w:w="1451"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CA4CF9" w:rsidRDefault="00772EA1" w:rsidP="00A04DDD">
            <w:pPr>
              <w:spacing w:before="40" w:after="40" w:line="276" w:lineRule="auto"/>
              <w:rPr>
                <w:szCs w:val="24"/>
              </w:rPr>
            </w:pPr>
            <w:r w:rsidRPr="00CA4CF9">
              <w:t>Hud (</w:t>
            </w:r>
            <w:r w:rsidRPr="00CA4CF9">
              <w:rPr>
                <w:vertAlign w:val="superscript"/>
              </w:rPr>
              <w:t>8</w:t>
            </w:r>
            <w:r w:rsidRPr="00CA4CF9">
              <w:t>) Hudsensibilisering og sensibilisering ved indånding (</w:t>
            </w:r>
            <w:r w:rsidRPr="00CA4CF9">
              <w:rPr>
                <w:vertAlign w:val="superscript"/>
              </w:rPr>
              <w:t>9</w:t>
            </w:r>
            <w:r w:rsidRPr="00CA4CF9">
              <w:t xml:space="preserve">) </w:t>
            </w:r>
          </w:p>
        </w:tc>
        <w:tc>
          <w:tcPr>
            <w:tcW w:w="182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CA4CF9" w:rsidRDefault="00772EA1">
            <w:pPr>
              <w:spacing w:before="40" w:after="40" w:line="276" w:lineRule="auto"/>
              <w:rPr>
                <w:szCs w:val="24"/>
              </w:rPr>
            </w:pPr>
            <w:r w:rsidRPr="00CA4CF9">
              <w:t xml:space="preserve">Grænseværdien </w:t>
            </w:r>
            <w:r w:rsidRPr="00CA4CF9">
              <w:t>på 10 µg/m</w:t>
            </w:r>
            <w:r w:rsidRPr="00CA4CF9">
              <w:rPr>
                <w:vertAlign w:val="superscript"/>
              </w:rPr>
              <w:t>3</w:t>
            </w:r>
            <w:r w:rsidRPr="00CA4CF9">
              <w:t xml:space="preserve"> vedrørende en referenceperiode på 8 timer og grænseværdien vedrørende kortvarig eksponering på 20 µg/m</w:t>
            </w:r>
            <w:r w:rsidRPr="00CA4CF9">
              <w:rPr>
                <w:vertAlign w:val="superscript"/>
              </w:rPr>
              <w:t>3</w:t>
            </w:r>
            <w:r w:rsidRPr="00CA4CF9">
              <w:t xml:space="preserve"> finder anvendelse indtil den 31. december 2028.</w:t>
            </w:r>
          </w:p>
        </w:tc>
      </w:tr>
      <w:tr w:rsidR="009164C8" w:rsidRPr="00CA4CF9" w:rsidTr="0004271C">
        <w:trPr>
          <w:gridAfter w:val="1"/>
          <w:wAfter w:w="29" w:type="dxa"/>
          <w:jc w:val="center"/>
        </w:trPr>
        <w:tc>
          <w:tcPr>
            <w:tcW w:w="9752" w:type="dxa"/>
            <w:gridSpan w:val="22"/>
          </w:tcPr>
          <w:p w:rsidR="00504A84" w:rsidRPr="00CA4CF9" w:rsidRDefault="00772EA1" w:rsidP="00504A84">
            <w:pPr>
              <w:spacing w:before="40" w:after="40" w:line="276" w:lineRule="auto"/>
              <w:rPr>
                <w:szCs w:val="24"/>
              </w:rPr>
            </w:pPr>
            <w:r w:rsidRPr="00CA4CF9">
              <w:t>(</w:t>
            </w:r>
            <w:r w:rsidRPr="00CA4CF9">
              <w:rPr>
                <w:vertAlign w:val="superscript"/>
              </w:rPr>
              <w:t>1</w:t>
            </w:r>
            <w:r w:rsidRPr="00CA4CF9">
              <w:t>)</w:t>
            </w:r>
            <w:r w:rsidR="00CA4CF9" w:rsidRPr="00CA4CF9">
              <w:t xml:space="preserve"> </w:t>
            </w:r>
            <w:r w:rsidRPr="00CA4CF9">
              <w:t xml:space="preserve">EF-nr., dvs. Einecs-, ELINCS- eller NLP-nummer, er det officielle nummer på stoffet </w:t>
            </w:r>
            <w:r w:rsidRPr="00CA4CF9">
              <w:t>i Den Europæiske Union som defineret i del 1, punkt 1.1.1.2, i bilag VI til forordning (EF) nr. 1272/2008.</w:t>
            </w:r>
          </w:p>
        </w:tc>
      </w:tr>
      <w:tr w:rsidR="009164C8" w:rsidRPr="00CA4CF9" w:rsidTr="0004271C">
        <w:trPr>
          <w:gridAfter w:val="1"/>
          <w:wAfter w:w="29" w:type="dxa"/>
          <w:jc w:val="center"/>
        </w:trPr>
        <w:tc>
          <w:tcPr>
            <w:tcW w:w="9752" w:type="dxa"/>
            <w:gridSpan w:val="22"/>
          </w:tcPr>
          <w:p w:rsidR="00504A84" w:rsidRPr="00CA4CF9" w:rsidRDefault="00772EA1" w:rsidP="00504A84">
            <w:pPr>
              <w:spacing w:before="40" w:after="40" w:line="276" w:lineRule="auto"/>
              <w:rPr>
                <w:szCs w:val="24"/>
              </w:rPr>
            </w:pPr>
            <w:r w:rsidRPr="00CA4CF9">
              <w:t>(</w:t>
            </w:r>
            <w:r w:rsidRPr="00CA4CF9">
              <w:rPr>
                <w:vertAlign w:val="superscript"/>
              </w:rPr>
              <w:t>2</w:t>
            </w:r>
            <w:r w:rsidRPr="00CA4CF9">
              <w:t>)</w:t>
            </w:r>
            <w:r w:rsidR="00CA4CF9" w:rsidRPr="00CA4CF9">
              <w:t xml:space="preserve"> </w:t>
            </w:r>
            <w:r w:rsidRPr="00CA4CF9">
              <w:t>CAS-nr.: Chemical Abstracts Service-registreringsnummer.</w:t>
            </w:r>
          </w:p>
        </w:tc>
      </w:tr>
      <w:tr w:rsidR="009164C8" w:rsidRPr="00CA4CF9" w:rsidTr="0004271C">
        <w:trPr>
          <w:gridAfter w:val="1"/>
          <w:wAfter w:w="29" w:type="dxa"/>
          <w:jc w:val="center"/>
        </w:trPr>
        <w:tc>
          <w:tcPr>
            <w:tcW w:w="9752" w:type="dxa"/>
            <w:gridSpan w:val="22"/>
          </w:tcPr>
          <w:p w:rsidR="00504A84" w:rsidRPr="00CA4CF9" w:rsidRDefault="00772EA1" w:rsidP="00504A84">
            <w:pPr>
              <w:spacing w:before="40" w:after="40" w:line="276" w:lineRule="auto"/>
              <w:rPr>
                <w:szCs w:val="24"/>
              </w:rPr>
            </w:pPr>
            <w:r w:rsidRPr="00CA4CF9">
              <w:t>(</w:t>
            </w:r>
            <w:r w:rsidRPr="00CA4CF9">
              <w:rPr>
                <w:vertAlign w:val="superscript"/>
              </w:rPr>
              <w:t>3</w:t>
            </w:r>
            <w:r w:rsidRPr="00CA4CF9">
              <w:t>)</w:t>
            </w:r>
            <w:r w:rsidR="00CA4CF9" w:rsidRPr="00CA4CF9">
              <w:t xml:space="preserve"> </w:t>
            </w:r>
            <w:r w:rsidRPr="00CA4CF9">
              <w:t xml:space="preserve">Målt eller beregnet i forhold til en referenceperiode på et tidsvægtet </w:t>
            </w:r>
            <w:r w:rsidRPr="00CA4CF9">
              <w:t>gennemsnit på otte timer.</w:t>
            </w:r>
          </w:p>
        </w:tc>
      </w:tr>
      <w:tr w:rsidR="009164C8" w:rsidRPr="00CA4CF9" w:rsidTr="0004271C">
        <w:trPr>
          <w:gridAfter w:val="1"/>
          <w:wAfter w:w="29" w:type="dxa"/>
          <w:jc w:val="center"/>
        </w:trPr>
        <w:tc>
          <w:tcPr>
            <w:tcW w:w="9752" w:type="dxa"/>
            <w:gridSpan w:val="22"/>
          </w:tcPr>
          <w:p w:rsidR="00504A84" w:rsidRPr="00CA4CF9" w:rsidRDefault="00772EA1" w:rsidP="00504A84">
            <w:pPr>
              <w:spacing w:line="240" w:lineRule="atLeast"/>
              <w:rPr>
                <w:szCs w:val="24"/>
              </w:rPr>
            </w:pPr>
            <w:r w:rsidRPr="00CA4CF9">
              <w:t>(</w:t>
            </w:r>
            <w:r w:rsidRPr="00CA4CF9">
              <w:rPr>
                <w:vertAlign w:val="superscript"/>
              </w:rPr>
              <w:t>4</w:t>
            </w:r>
            <w:r w:rsidRPr="00CA4CF9">
              <w:t>)</w:t>
            </w:r>
            <w:r w:rsidR="00CA4CF9" w:rsidRPr="00CA4CF9">
              <w:t xml:space="preserve"> </w:t>
            </w:r>
            <w:r w:rsidRPr="00CA4CF9">
              <w:t>Grænseværdi for kortvarig eksponering (STEL). En grænseværdi, som eksponeringen ikke bør overskride, og som er baseret på en 15-minutters periode, medmindre andet er anført.</w:t>
            </w:r>
          </w:p>
        </w:tc>
      </w:tr>
      <w:tr w:rsidR="009164C8" w:rsidRPr="00CA4CF9" w:rsidTr="0004271C">
        <w:trPr>
          <w:gridAfter w:val="1"/>
          <w:wAfter w:w="29" w:type="dxa"/>
          <w:jc w:val="center"/>
        </w:trPr>
        <w:tc>
          <w:tcPr>
            <w:tcW w:w="9752" w:type="dxa"/>
            <w:gridSpan w:val="22"/>
          </w:tcPr>
          <w:p w:rsidR="00504A84" w:rsidRPr="00CA4CF9" w:rsidRDefault="00772EA1" w:rsidP="00504A84">
            <w:pPr>
              <w:spacing w:line="240" w:lineRule="atLeast"/>
            </w:pPr>
            <w:r w:rsidRPr="00CA4CF9">
              <w:t>(</w:t>
            </w:r>
            <w:r w:rsidRPr="00CA4CF9">
              <w:rPr>
                <w:vertAlign w:val="superscript"/>
              </w:rPr>
              <w:t>5</w:t>
            </w:r>
            <w:r w:rsidRPr="00CA4CF9">
              <w:t>)</w:t>
            </w:r>
            <w:r w:rsidR="00CA4CF9" w:rsidRPr="00CA4CF9">
              <w:t xml:space="preserve"> </w:t>
            </w:r>
            <w:r w:rsidRPr="00CA4CF9">
              <w:t>µg/m</w:t>
            </w:r>
            <w:r w:rsidRPr="00CA4CF9">
              <w:rPr>
                <w:vertAlign w:val="superscript"/>
              </w:rPr>
              <w:t>3</w:t>
            </w:r>
            <w:r w:rsidRPr="00CA4CF9">
              <w:t xml:space="preserve"> = mikrogram pr. kubikmeter luft.</w:t>
            </w:r>
          </w:p>
        </w:tc>
      </w:tr>
      <w:tr w:rsidR="009164C8" w:rsidRPr="00CA4CF9" w:rsidTr="0004271C">
        <w:trPr>
          <w:gridAfter w:val="1"/>
          <w:wAfter w:w="29" w:type="dxa"/>
          <w:jc w:val="center"/>
        </w:trPr>
        <w:tc>
          <w:tcPr>
            <w:tcW w:w="9752" w:type="dxa"/>
            <w:gridSpan w:val="22"/>
          </w:tcPr>
          <w:p w:rsidR="00504A84" w:rsidRPr="00CA4CF9" w:rsidRDefault="00772EA1" w:rsidP="00504A84">
            <w:pPr>
              <w:spacing w:line="240" w:lineRule="atLeast"/>
              <w:rPr>
                <w:rFonts w:eastAsia="Arial Unicode MS"/>
                <w:szCs w:val="24"/>
              </w:rPr>
            </w:pPr>
            <w:r w:rsidRPr="00CA4CF9">
              <w:t>(</w:t>
            </w:r>
            <w:r w:rsidRPr="00CA4CF9">
              <w:rPr>
                <w:vertAlign w:val="superscript"/>
              </w:rPr>
              <w:t>6</w:t>
            </w:r>
            <w:r w:rsidRPr="00CA4CF9">
              <w:t>)</w:t>
            </w:r>
            <w:r w:rsidR="00CA4CF9" w:rsidRPr="00CA4CF9">
              <w:t xml:space="preserve"> </w:t>
            </w:r>
            <w:r w:rsidRPr="00CA4CF9">
              <w:t>ppm = parts per million (dele pr. million) udtrykt i luftvolumen (ml/m</w:t>
            </w:r>
            <w:r w:rsidRPr="00CA4CF9">
              <w:rPr>
                <w:vertAlign w:val="superscript"/>
              </w:rPr>
              <w:t>3</w:t>
            </w:r>
            <w:r w:rsidRPr="00CA4CF9">
              <w:t>).</w:t>
            </w:r>
          </w:p>
        </w:tc>
      </w:tr>
      <w:tr w:rsidR="009164C8" w:rsidRPr="00CA4CF9" w:rsidTr="0004271C">
        <w:trPr>
          <w:gridAfter w:val="1"/>
          <w:wAfter w:w="29" w:type="dxa"/>
          <w:jc w:val="center"/>
        </w:trPr>
        <w:tc>
          <w:tcPr>
            <w:tcW w:w="9752" w:type="dxa"/>
            <w:gridSpan w:val="22"/>
          </w:tcPr>
          <w:p w:rsidR="00504A84" w:rsidRPr="00CA4CF9" w:rsidRDefault="00772EA1" w:rsidP="00504A84">
            <w:pPr>
              <w:spacing w:line="240" w:lineRule="atLeast"/>
              <w:rPr>
                <w:rFonts w:eastAsia="Arial Unicode MS"/>
                <w:szCs w:val="24"/>
              </w:rPr>
            </w:pPr>
            <w:r w:rsidRPr="00CA4CF9">
              <w:t>(</w:t>
            </w:r>
            <w:r w:rsidRPr="00CA4CF9">
              <w:rPr>
                <w:vertAlign w:val="superscript"/>
              </w:rPr>
              <w:t>7</w:t>
            </w:r>
            <w:r w:rsidRPr="00CA4CF9">
              <w:t>)</w:t>
            </w:r>
            <w:r w:rsidR="00CA4CF9" w:rsidRPr="00CA4CF9">
              <w:t xml:space="preserve"> </w:t>
            </w:r>
            <w:r w:rsidRPr="00CA4CF9">
              <w:t>f/ml = fibre pr. milliliter.</w:t>
            </w:r>
          </w:p>
        </w:tc>
      </w:tr>
      <w:tr w:rsidR="009164C8" w:rsidRPr="00CA4CF9" w:rsidTr="0004271C">
        <w:trPr>
          <w:gridAfter w:val="1"/>
          <w:wAfter w:w="29" w:type="dxa"/>
          <w:jc w:val="center"/>
        </w:trPr>
        <w:tc>
          <w:tcPr>
            <w:tcW w:w="9752" w:type="dxa"/>
            <w:gridSpan w:val="22"/>
          </w:tcPr>
          <w:p w:rsidR="00504A84" w:rsidRPr="00CA4CF9" w:rsidRDefault="00772EA1" w:rsidP="00504A84">
            <w:pPr>
              <w:spacing w:before="40" w:after="40" w:line="276" w:lineRule="auto"/>
              <w:rPr>
                <w:szCs w:val="24"/>
              </w:rPr>
            </w:pPr>
            <w:r w:rsidRPr="00CA4CF9">
              <w:t>(</w:t>
            </w:r>
            <w:r w:rsidRPr="00CA4CF9">
              <w:rPr>
                <w:vertAlign w:val="superscript"/>
              </w:rPr>
              <w:t>8</w:t>
            </w:r>
            <w:r w:rsidRPr="00CA4CF9">
              <w:t>)</w:t>
            </w:r>
            <w:r w:rsidR="00CA4CF9" w:rsidRPr="00CA4CF9">
              <w:t xml:space="preserve"> </w:t>
            </w:r>
            <w:r w:rsidRPr="00CA4CF9">
              <w:t>Stoffet kan forårsage hudsensibilisering.</w:t>
            </w:r>
          </w:p>
        </w:tc>
      </w:tr>
      <w:tr w:rsidR="009164C8" w:rsidRPr="00CA4CF9" w:rsidTr="0004271C">
        <w:trPr>
          <w:gridAfter w:val="1"/>
          <w:wAfter w:w="29" w:type="dxa"/>
          <w:jc w:val="center"/>
        </w:trPr>
        <w:tc>
          <w:tcPr>
            <w:tcW w:w="9752" w:type="dxa"/>
            <w:gridSpan w:val="22"/>
          </w:tcPr>
          <w:p w:rsidR="00504A84" w:rsidRPr="00CA4CF9" w:rsidRDefault="00772EA1" w:rsidP="00504A84">
            <w:pPr>
              <w:spacing w:line="240" w:lineRule="atLeast"/>
              <w:rPr>
                <w:rFonts w:eastAsia="Arial Unicode MS"/>
                <w:szCs w:val="24"/>
              </w:rPr>
            </w:pPr>
            <w:r w:rsidRPr="00CA4CF9">
              <w:t>(</w:t>
            </w:r>
            <w:r w:rsidRPr="00CA4CF9">
              <w:rPr>
                <w:vertAlign w:val="superscript"/>
              </w:rPr>
              <w:t>9</w:t>
            </w:r>
            <w:r w:rsidRPr="00CA4CF9">
              <w:t>)</w:t>
            </w:r>
            <w:r w:rsidR="00CA4CF9" w:rsidRPr="00CA4CF9">
              <w:t xml:space="preserve"> </w:t>
            </w:r>
            <w:r w:rsidRPr="00CA4CF9">
              <w:t>Stoffet kan forårsage hud- og luftvejssensibilisering.</w:t>
            </w:r>
          </w:p>
        </w:tc>
      </w:tr>
      <w:tr w:rsidR="009164C8" w:rsidRPr="00CA4CF9" w:rsidTr="0004271C">
        <w:trPr>
          <w:gridAfter w:val="1"/>
          <w:wAfter w:w="29" w:type="dxa"/>
          <w:trHeight w:val="552"/>
          <w:jc w:val="center"/>
        </w:trPr>
        <w:tc>
          <w:tcPr>
            <w:tcW w:w="9752" w:type="dxa"/>
            <w:gridSpan w:val="22"/>
          </w:tcPr>
          <w:p w:rsidR="00E941BF" w:rsidRPr="00CA4CF9" w:rsidRDefault="00E941BF" w:rsidP="005F4C08">
            <w:pPr>
              <w:keepNext/>
            </w:pPr>
          </w:p>
        </w:tc>
      </w:tr>
      <w:tr w:rsidR="009164C8" w:rsidRPr="00CA4CF9" w:rsidTr="00504A84">
        <w:trPr>
          <w:gridAfter w:val="1"/>
          <w:wAfter w:w="29" w:type="dxa"/>
          <w:jc w:val="center"/>
        </w:trPr>
        <w:tc>
          <w:tcPr>
            <w:tcW w:w="9752" w:type="dxa"/>
            <w:gridSpan w:val="22"/>
          </w:tcPr>
          <w:p w:rsidR="00037CB9" w:rsidRPr="00CA4CF9" w:rsidRDefault="00772EA1" w:rsidP="005F4C08">
            <w:pPr>
              <w:pStyle w:val="AmColumnHeading"/>
              <w:keepNext/>
              <w:jc w:val="left"/>
            </w:pPr>
            <w:r w:rsidRPr="00CA4CF9">
              <w:t>Ændringsforslag</w:t>
            </w:r>
          </w:p>
        </w:tc>
      </w:tr>
      <w:tr w:rsidR="009164C8" w:rsidRPr="00CA4CF9" w:rsidTr="00504A84">
        <w:trPr>
          <w:gridAfter w:val="1"/>
          <w:wAfter w:w="29" w:type="dxa"/>
          <w:jc w:val="center"/>
        </w:trPr>
        <w:tc>
          <w:tcPr>
            <w:tcW w:w="9752" w:type="dxa"/>
            <w:gridSpan w:val="22"/>
          </w:tcPr>
          <w:p w:rsidR="0079442D" w:rsidRPr="00CA4CF9" w:rsidRDefault="00772EA1" w:rsidP="005F4C08">
            <w:pPr>
              <w:pStyle w:val="AmColumnHeading"/>
              <w:keepNext/>
              <w:jc w:val="left"/>
              <w:rPr>
                <w:i w:val="0"/>
              </w:rPr>
            </w:pPr>
            <w:r w:rsidRPr="00CA4CF9">
              <w:rPr>
                <w:i w:val="0"/>
              </w:rPr>
              <w:t>Bilag</w:t>
            </w:r>
            <w:r w:rsidRPr="00CA4CF9">
              <w:rPr>
                <w:i w:val="0"/>
              </w:rPr>
              <w:t xml:space="preserve"> I til direktiv 98/24/EF affattes således:</w:t>
            </w:r>
          </w:p>
        </w:tc>
      </w:tr>
      <w:tr w:rsidR="009164C8" w:rsidRPr="00CA4CF9" w:rsidTr="0004271C">
        <w:trPr>
          <w:gridAfter w:val="1"/>
          <w:wAfter w:w="29" w:type="dxa"/>
          <w:jc w:val="center"/>
        </w:trPr>
        <w:tc>
          <w:tcPr>
            <w:tcW w:w="9752" w:type="dxa"/>
            <w:gridSpan w:val="22"/>
          </w:tcPr>
          <w:p w:rsidR="00E941BF" w:rsidRPr="00CA4CF9" w:rsidRDefault="00772EA1" w:rsidP="005F4C08">
            <w:pPr>
              <w:spacing w:line="240" w:lineRule="atLeast"/>
              <w:jc w:val="center"/>
              <w:rPr>
                <w:rFonts w:eastAsia="Arial Unicode MS"/>
                <w:szCs w:val="24"/>
              </w:rPr>
            </w:pPr>
            <w:r w:rsidRPr="00CA4CF9">
              <w:t>BILAG I</w:t>
            </w:r>
          </w:p>
        </w:tc>
      </w:tr>
      <w:tr w:rsidR="009164C8" w:rsidRPr="00CA4CF9" w:rsidTr="0004271C">
        <w:trPr>
          <w:gridAfter w:val="1"/>
          <w:wAfter w:w="29" w:type="dxa"/>
          <w:jc w:val="center"/>
        </w:trPr>
        <w:tc>
          <w:tcPr>
            <w:tcW w:w="9752" w:type="dxa"/>
            <w:gridSpan w:val="22"/>
          </w:tcPr>
          <w:p w:rsidR="00037CB9" w:rsidRPr="00CA4CF9" w:rsidRDefault="00772EA1" w:rsidP="005F4C08">
            <w:pPr>
              <w:pStyle w:val="AmColumnHeading"/>
              <w:keepNext/>
              <w:jc w:val="left"/>
              <w:rPr>
                <w:i w:val="0"/>
              </w:rPr>
            </w:pPr>
            <w:r w:rsidRPr="00CA4CF9">
              <w:rPr>
                <w:i w:val="0"/>
              </w:rPr>
              <w:t>FORTEGNELSE OVER BINDENDE GRÆNSEVÆRDIER FOR ERHVERVSMÆSSIG EKSPONERING</w:t>
            </w:r>
          </w:p>
        </w:tc>
      </w:tr>
      <w:tr w:rsidR="009164C8" w:rsidRPr="00CA4CF9"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037CB9" w:rsidRPr="00CA4CF9" w:rsidRDefault="00772EA1">
            <w:pPr>
              <w:spacing w:before="60" w:after="60" w:line="276" w:lineRule="auto"/>
              <w:ind w:right="195"/>
              <w:jc w:val="center"/>
              <w:rPr>
                <w:bCs/>
                <w:szCs w:val="24"/>
              </w:rPr>
            </w:pPr>
            <w:r w:rsidRPr="00CA4CF9">
              <w:t>Agensens navn</w:t>
            </w:r>
          </w:p>
        </w:tc>
        <w:tc>
          <w:tcPr>
            <w:tcW w:w="70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CA4CF9" w:rsidRDefault="00772EA1">
            <w:pPr>
              <w:spacing w:after="60" w:line="276" w:lineRule="auto"/>
              <w:jc w:val="center"/>
              <w:rPr>
                <w:bCs/>
                <w:szCs w:val="24"/>
              </w:rPr>
            </w:pPr>
            <w:r w:rsidRPr="00CA4CF9">
              <w:t>EF-nr. (</w:t>
            </w:r>
            <w:r w:rsidRPr="00CA4CF9">
              <w:rPr>
                <w:vertAlign w:val="superscript"/>
              </w:rPr>
              <w:t>1</w:t>
            </w:r>
            <w:r w:rsidRPr="00CA4CF9">
              <w:t>)</w:t>
            </w:r>
          </w:p>
        </w:tc>
        <w:tc>
          <w:tcPr>
            <w:tcW w:w="70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CA4CF9" w:rsidRDefault="00772EA1">
            <w:pPr>
              <w:spacing w:after="60" w:line="276" w:lineRule="auto"/>
              <w:jc w:val="center"/>
              <w:rPr>
                <w:bCs/>
                <w:szCs w:val="24"/>
              </w:rPr>
            </w:pPr>
            <w:r w:rsidRPr="00CA4CF9">
              <w:t>CAS-nr. (</w:t>
            </w:r>
            <w:r w:rsidRPr="00CA4CF9">
              <w:rPr>
                <w:vertAlign w:val="superscript"/>
              </w:rPr>
              <w:t>2</w:t>
            </w:r>
            <w:r w:rsidRPr="00CA4CF9">
              <w:t xml:space="preserve">) </w:t>
            </w:r>
          </w:p>
        </w:tc>
        <w:tc>
          <w:tcPr>
            <w:tcW w:w="3234" w:type="dxa"/>
            <w:gridSpan w:val="11"/>
            <w:tcBorders>
              <w:top w:val="single" w:sz="4" w:space="0" w:color="auto"/>
              <w:left w:val="single" w:sz="4" w:space="0" w:color="auto"/>
              <w:bottom w:val="single" w:sz="4" w:space="0" w:color="auto"/>
              <w:right w:val="single" w:sz="4" w:space="0" w:color="auto"/>
            </w:tcBorders>
            <w:vAlign w:val="center"/>
            <w:hideMark/>
          </w:tcPr>
          <w:p w:rsidR="00037CB9" w:rsidRPr="00CA4CF9" w:rsidRDefault="00772EA1">
            <w:pPr>
              <w:spacing w:before="60" w:after="60" w:line="276" w:lineRule="auto"/>
              <w:ind w:right="195"/>
              <w:jc w:val="center"/>
              <w:rPr>
                <w:bCs/>
                <w:szCs w:val="24"/>
              </w:rPr>
            </w:pPr>
            <w:r w:rsidRPr="00CA4CF9">
              <w:t>Grænseværdier</w:t>
            </w:r>
          </w:p>
        </w:tc>
        <w:tc>
          <w:tcPr>
            <w:tcW w:w="140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CA4CF9" w:rsidRDefault="00772EA1">
            <w:pPr>
              <w:spacing w:before="60" w:after="60" w:line="276" w:lineRule="auto"/>
              <w:ind w:right="195"/>
              <w:jc w:val="center"/>
              <w:rPr>
                <w:bCs/>
                <w:szCs w:val="24"/>
              </w:rPr>
            </w:pPr>
            <w:r w:rsidRPr="00CA4CF9">
              <w:t xml:space="preserve"> Anmærkning</w:t>
            </w:r>
          </w:p>
        </w:tc>
        <w:tc>
          <w:tcPr>
            <w:tcW w:w="2128"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037CB9" w:rsidRPr="00CA4CF9" w:rsidRDefault="00772EA1">
            <w:pPr>
              <w:spacing w:before="60" w:after="60" w:line="276" w:lineRule="auto"/>
              <w:ind w:right="104"/>
              <w:jc w:val="center"/>
              <w:rPr>
                <w:bCs/>
                <w:szCs w:val="24"/>
              </w:rPr>
            </w:pPr>
            <w:r w:rsidRPr="00CA4CF9">
              <w:t>Overgangsforanstaltninger</w:t>
            </w:r>
          </w:p>
        </w:tc>
      </w:tr>
      <w:tr w:rsidR="009164C8" w:rsidRPr="00CA4CF9"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CA4CF9" w:rsidRDefault="00037CB9">
            <w:pPr>
              <w:spacing w:line="276" w:lineRule="auto"/>
              <w:rPr>
                <w:bCs/>
                <w:szCs w:val="24"/>
              </w:rPr>
            </w:pPr>
          </w:p>
        </w:tc>
        <w:tc>
          <w:tcPr>
            <w:tcW w:w="702"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CA4CF9" w:rsidRDefault="00037CB9">
            <w:pPr>
              <w:spacing w:line="276" w:lineRule="auto"/>
              <w:rPr>
                <w:bCs/>
                <w:szCs w:val="24"/>
              </w:rPr>
            </w:pPr>
          </w:p>
        </w:tc>
        <w:tc>
          <w:tcPr>
            <w:tcW w:w="703"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CA4CF9" w:rsidRDefault="00037CB9">
            <w:pPr>
              <w:spacing w:line="276" w:lineRule="auto"/>
              <w:rPr>
                <w:bCs/>
                <w:szCs w:val="24"/>
              </w:rPr>
            </w:pPr>
          </w:p>
        </w:tc>
        <w:tc>
          <w:tcPr>
            <w:tcW w:w="1829" w:type="dxa"/>
            <w:gridSpan w:val="7"/>
            <w:tcBorders>
              <w:top w:val="single" w:sz="4" w:space="0" w:color="auto"/>
              <w:left w:val="single" w:sz="4" w:space="0" w:color="auto"/>
              <w:bottom w:val="single" w:sz="4" w:space="0" w:color="auto"/>
              <w:right w:val="single" w:sz="4" w:space="0" w:color="auto"/>
            </w:tcBorders>
            <w:hideMark/>
          </w:tcPr>
          <w:p w:rsidR="00037CB9" w:rsidRPr="00CA4CF9" w:rsidRDefault="00772EA1">
            <w:pPr>
              <w:spacing w:before="60" w:after="60" w:line="276" w:lineRule="auto"/>
              <w:ind w:right="195"/>
              <w:jc w:val="center"/>
              <w:rPr>
                <w:bCs/>
                <w:szCs w:val="24"/>
              </w:rPr>
            </w:pPr>
            <w:r w:rsidRPr="00CA4CF9">
              <w:t>8 timer (</w:t>
            </w:r>
            <w:r w:rsidRPr="00CA4CF9">
              <w:rPr>
                <w:vertAlign w:val="superscript"/>
              </w:rPr>
              <w:t>3</w:t>
            </w:r>
            <w:r w:rsidRPr="00CA4CF9">
              <w:t>)</w:t>
            </w:r>
          </w:p>
        </w:tc>
        <w:tc>
          <w:tcPr>
            <w:tcW w:w="1405" w:type="dxa"/>
            <w:gridSpan w:val="4"/>
            <w:tcBorders>
              <w:top w:val="single" w:sz="4" w:space="0" w:color="auto"/>
              <w:left w:val="single" w:sz="4" w:space="0" w:color="auto"/>
              <w:bottom w:val="single" w:sz="4" w:space="0" w:color="auto"/>
              <w:right w:val="single" w:sz="4" w:space="0" w:color="auto"/>
            </w:tcBorders>
            <w:hideMark/>
          </w:tcPr>
          <w:p w:rsidR="00037CB9" w:rsidRPr="00CA4CF9" w:rsidRDefault="00772EA1">
            <w:pPr>
              <w:spacing w:before="60" w:after="60" w:line="276" w:lineRule="auto"/>
              <w:ind w:right="195"/>
              <w:jc w:val="center"/>
              <w:rPr>
                <w:bCs/>
                <w:szCs w:val="24"/>
              </w:rPr>
            </w:pPr>
            <w:r w:rsidRPr="00CA4CF9">
              <w:t>Kortvarigt (</w:t>
            </w:r>
            <w:r w:rsidRPr="00CA4CF9">
              <w:rPr>
                <w:vertAlign w:val="superscript"/>
              </w:rPr>
              <w:t>4</w:t>
            </w:r>
            <w:r w:rsidRPr="00CA4CF9">
              <w:t>)</w:t>
            </w:r>
            <w:r w:rsidRPr="00CA4CF9">
              <w:rPr>
                <w:b/>
              </w:rPr>
              <w:t xml:space="preserve"> </w:t>
            </w:r>
          </w:p>
        </w:tc>
        <w:tc>
          <w:tcPr>
            <w:tcW w:w="1405"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CA4CF9" w:rsidRDefault="00037CB9">
            <w:pPr>
              <w:spacing w:line="276" w:lineRule="auto"/>
              <w:rPr>
                <w:bCs/>
                <w:szCs w:val="24"/>
              </w:rPr>
            </w:pPr>
          </w:p>
        </w:tc>
        <w:tc>
          <w:tcPr>
            <w:tcW w:w="2128" w:type="dxa"/>
            <w:gridSpan w:val="4"/>
            <w:vMerge/>
            <w:tcBorders>
              <w:top w:val="single" w:sz="4" w:space="0" w:color="auto"/>
              <w:left w:val="single" w:sz="4" w:space="0" w:color="auto"/>
              <w:bottom w:val="single" w:sz="4" w:space="0" w:color="auto"/>
              <w:right w:val="single" w:sz="4" w:space="0" w:color="auto"/>
            </w:tcBorders>
            <w:vAlign w:val="center"/>
            <w:hideMark/>
          </w:tcPr>
          <w:p w:rsidR="00037CB9" w:rsidRPr="00CA4CF9" w:rsidRDefault="00037CB9">
            <w:pPr>
              <w:spacing w:line="276" w:lineRule="auto"/>
              <w:rPr>
                <w:bCs/>
                <w:szCs w:val="24"/>
              </w:rPr>
            </w:pPr>
          </w:p>
        </w:tc>
      </w:tr>
      <w:tr w:rsidR="009164C8" w:rsidRPr="00CA4CF9"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CA4CF9" w:rsidRDefault="00037CB9">
            <w:pPr>
              <w:spacing w:line="276" w:lineRule="auto"/>
              <w:rPr>
                <w:bCs/>
                <w:szCs w:val="24"/>
              </w:rPr>
            </w:pPr>
          </w:p>
        </w:tc>
        <w:tc>
          <w:tcPr>
            <w:tcW w:w="702"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CA4CF9" w:rsidRDefault="00037CB9">
            <w:pPr>
              <w:spacing w:line="276" w:lineRule="auto"/>
              <w:rPr>
                <w:bCs/>
                <w:szCs w:val="24"/>
              </w:rPr>
            </w:pPr>
          </w:p>
        </w:tc>
        <w:tc>
          <w:tcPr>
            <w:tcW w:w="703"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CA4CF9" w:rsidRDefault="00037CB9">
            <w:pPr>
              <w:spacing w:line="276" w:lineRule="auto"/>
              <w:rPr>
                <w:bCs/>
                <w:szCs w:val="24"/>
              </w:rPr>
            </w:pPr>
          </w:p>
        </w:tc>
        <w:tc>
          <w:tcPr>
            <w:tcW w:w="935" w:type="dxa"/>
            <w:gridSpan w:val="4"/>
            <w:tcBorders>
              <w:top w:val="single" w:sz="4" w:space="0" w:color="auto"/>
              <w:left w:val="single" w:sz="4" w:space="0" w:color="auto"/>
              <w:bottom w:val="single" w:sz="4" w:space="0" w:color="auto"/>
              <w:right w:val="single" w:sz="4" w:space="0" w:color="auto"/>
            </w:tcBorders>
            <w:hideMark/>
          </w:tcPr>
          <w:p w:rsidR="00037CB9" w:rsidRPr="00CA4CF9" w:rsidRDefault="00772EA1">
            <w:pPr>
              <w:spacing w:before="60" w:after="60" w:line="276" w:lineRule="auto"/>
              <w:jc w:val="center"/>
              <w:rPr>
                <w:bCs/>
                <w:szCs w:val="24"/>
                <w:vertAlign w:val="superscript"/>
              </w:rPr>
            </w:pPr>
            <w:r w:rsidRPr="00CA4CF9">
              <w:t xml:space="preserve">µg </w:t>
            </w:r>
            <w:r w:rsidRPr="00CA4CF9">
              <w:rPr>
                <w:b/>
                <w:i/>
              </w:rPr>
              <w:t>NCO</w:t>
            </w:r>
            <w:r w:rsidRPr="00CA4CF9">
              <w:t>/m</w:t>
            </w:r>
            <w:r w:rsidRPr="00CA4CF9">
              <w:rPr>
                <w:vertAlign w:val="superscript"/>
              </w:rPr>
              <w:t>3</w:t>
            </w:r>
          </w:p>
          <w:p w:rsidR="00037CB9" w:rsidRPr="00CA4CF9" w:rsidRDefault="00772EA1">
            <w:pPr>
              <w:spacing w:before="60" w:after="60" w:line="276" w:lineRule="auto"/>
              <w:jc w:val="center"/>
              <w:rPr>
                <w:bCs/>
                <w:szCs w:val="24"/>
                <w:vertAlign w:val="superscript"/>
              </w:rPr>
            </w:pPr>
            <w:r w:rsidRPr="00CA4CF9">
              <w:t>(</w:t>
            </w:r>
            <w:r w:rsidRPr="00CA4CF9">
              <w:rPr>
                <w:vertAlign w:val="superscript"/>
              </w:rPr>
              <w:t>5</w:t>
            </w:r>
            <w:r w:rsidRPr="00CA4CF9">
              <w:t>)</w:t>
            </w:r>
            <w:r w:rsidR="00CA4CF9" w:rsidRPr="00CA4CF9">
              <w:rPr>
                <w:vertAlign w:val="superscript"/>
              </w:rPr>
              <w:t xml:space="preserve"> </w:t>
            </w:r>
          </w:p>
        </w:tc>
        <w:tc>
          <w:tcPr>
            <w:tcW w:w="331" w:type="dxa"/>
            <w:tcBorders>
              <w:top w:val="single" w:sz="4" w:space="0" w:color="auto"/>
              <w:left w:val="single" w:sz="4" w:space="0" w:color="auto"/>
              <w:bottom w:val="single" w:sz="4" w:space="0" w:color="auto"/>
              <w:right w:val="single" w:sz="4" w:space="0" w:color="auto"/>
            </w:tcBorders>
            <w:hideMark/>
          </w:tcPr>
          <w:p w:rsidR="00037CB9" w:rsidRPr="00CA4CF9" w:rsidRDefault="00772EA1">
            <w:pPr>
              <w:spacing w:before="60" w:after="60" w:line="276" w:lineRule="auto"/>
              <w:jc w:val="center"/>
              <w:rPr>
                <w:bCs/>
                <w:szCs w:val="24"/>
              </w:rPr>
            </w:pPr>
            <w:r w:rsidRPr="00CA4CF9">
              <w:t>ppm (</w:t>
            </w:r>
            <w:r w:rsidRPr="00CA4CF9">
              <w:rPr>
                <w:vertAlign w:val="superscript"/>
              </w:rPr>
              <w:t>6</w:t>
            </w:r>
            <w:r w:rsidRPr="00CA4CF9">
              <w:t>)</w:t>
            </w:r>
            <w:r w:rsidR="00CA4CF9" w:rsidRPr="00CA4CF9">
              <w:t xml:space="preserve"> </w:t>
            </w:r>
          </w:p>
        </w:tc>
        <w:tc>
          <w:tcPr>
            <w:tcW w:w="563" w:type="dxa"/>
            <w:gridSpan w:val="2"/>
            <w:tcBorders>
              <w:top w:val="single" w:sz="4" w:space="0" w:color="auto"/>
              <w:left w:val="single" w:sz="4" w:space="0" w:color="auto"/>
              <w:bottom w:val="single" w:sz="4" w:space="0" w:color="auto"/>
              <w:right w:val="single" w:sz="4" w:space="0" w:color="auto"/>
            </w:tcBorders>
          </w:tcPr>
          <w:p w:rsidR="00037CB9" w:rsidRPr="00CA4CF9" w:rsidRDefault="00772EA1" w:rsidP="00037CB9">
            <w:pPr>
              <w:spacing w:before="60" w:line="276" w:lineRule="auto"/>
              <w:jc w:val="center"/>
              <w:rPr>
                <w:bCs/>
                <w:szCs w:val="24"/>
              </w:rPr>
            </w:pPr>
            <w:r w:rsidRPr="00CA4CF9">
              <w:t>f/ml (</w:t>
            </w:r>
            <w:r w:rsidRPr="00CA4CF9">
              <w:rPr>
                <w:vertAlign w:val="superscript"/>
              </w:rPr>
              <w:t>7</w:t>
            </w:r>
            <w:r w:rsidRPr="00CA4CF9">
              <w:t>)</w:t>
            </w:r>
          </w:p>
        </w:tc>
        <w:tc>
          <w:tcPr>
            <w:tcW w:w="703" w:type="dxa"/>
            <w:gridSpan w:val="2"/>
            <w:tcBorders>
              <w:top w:val="single" w:sz="4" w:space="0" w:color="auto"/>
              <w:left w:val="single" w:sz="4" w:space="0" w:color="auto"/>
              <w:bottom w:val="single" w:sz="4" w:space="0" w:color="auto"/>
              <w:right w:val="single" w:sz="4" w:space="0" w:color="auto"/>
            </w:tcBorders>
            <w:hideMark/>
          </w:tcPr>
          <w:p w:rsidR="00037CB9" w:rsidRPr="00CA4CF9" w:rsidRDefault="00772EA1">
            <w:pPr>
              <w:spacing w:before="60" w:after="60" w:line="276" w:lineRule="auto"/>
              <w:jc w:val="center"/>
              <w:rPr>
                <w:bCs/>
                <w:szCs w:val="24"/>
              </w:rPr>
            </w:pPr>
            <w:r w:rsidRPr="00CA4CF9">
              <w:t xml:space="preserve">µg </w:t>
            </w:r>
            <w:r w:rsidRPr="00CA4CF9">
              <w:rPr>
                <w:b/>
                <w:i/>
              </w:rPr>
              <w:t>NCO</w:t>
            </w:r>
            <w:r w:rsidRPr="00CA4CF9">
              <w:t>/m</w:t>
            </w:r>
            <w:r w:rsidRPr="00CA4CF9">
              <w:rPr>
                <w:vertAlign w:val="superscript"/>
              </w:rPr>
              <w:t xml:space="preserve">3 </w:t>
            </w:r>
          </w:p>
        </w:tc>
        <w:tc>
          <w:tcPr>
            <w:tcW w:w="702" w:type="dxa"/>
            <w:gridSpan w:val="2"/>
            <w:tcBorders>
              <w:top w:val="single" w:sz="4" w:space="0" w:color="auto"/>
              <w:left w:val="single" w:sz="4" w:space="0" w:color="auto"/>
              <w:bottom w:val="single" w:sz="4" w:space="0" w:color="auto"/>
              <w:right w:val="single" w:sz="4" w:space="0" w:color="auto"/>
            </w:tcBorders>
          </w:tcPr>
          <w:p w:rsidR="00037CB9" w:rsidRPr="00CA4CF9" w:rsidRDefault="00772EA1" w:rsidP="00037CB9">
            <w:pPr>
              <w:spacing w:before="60" w:after="60" w:line="276" w:lineRule="auto"/>
              <w:jc w:val="center"/>
              <w:rPr>
                <w:bCs/>
                <w:szCs w:val="24"/>
              </w:rPr>
            </w:pPr>
            <w:r w:rsidRPr="00CA4CF9">
              <w:t>ppm</w:t>
            </w:r>
          </w:p>
        </w:tc>
        <w:tc>
          <w:tcPr>
            <w:tcW w:w="1405"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CA4CF9" w:rsidRDefault="00037CB9">
            <w:pPr>
              <w:spacing w:line="276" w:lineRule="auto"/>
              <w:rPr>
                <w:bCs/>
                <w:szCs w:val="24"/>
              </w:rPr>
            </w:pPr>
          </w:p>
        </w:tc>
        <w:tc>
          <w:tcPr>
            <w:tcW w:w="2128" w:type="dxa"/>
            <w:gridSpan w:val="4"/>
            <w:vMerge/>
            <w:tcBorders>
              <w:top w:val="single" w:sz="4" w:space="0" w:color="auto"/>
              <w:left w:val="single" w:sz="4" w:space="0" w:color="auto"/>
              <w:bottom w:val="single" w:sz="4" w:space="0" w:color="auto"/>
              <w:right w:val="single" w:sz="4" w:space="0" w:color="auto"/>
            </w:tcBorders>
            <w:vAlign w:val="center"/>
            <w:hideMark/>
          </w:tcPr>
          <w:p w:rsidR="00037CB9" w:rsidRPr="00CA4CF9" w:rsidRDefault="00037CB9">
            <w:pPr>
              <w:spacing w:line="276" w:lineRule="auto"/>
              <w:rPr>
                <w:bCs/>
                <w:szCs w:val="24"/>
              </w:rPr>
            </w:pPr>
          </w:p>
        </w:tc>
      </w:tr>
      <w:tr w:rsidR="009164C8" w:rsidRPr="00CA4CF9"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CA4CF9" w:rsidRDefault="00772EA1">
            <w:pPr>
              <w:spacing w:line="276" w:lineRule="auto"/>
              <w:rPr>
                <w:rFonts w:eastAsiaTheme="minorHAnsi"/>
                <w:szCs w:val="24"/>
              </w:rPr>
            </w:pPr>
            <w:r w:rsidRPr="00CA4CF9">
              <w:t>Diisocyanater</w:t>
            </w:r>
          </w:p>
        </w:tc>
        <w:tc>
          <w:tcPr>
            <w:tcW w:w="702"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CA4CF9" w:rsidRDefault="00037CB9">
            <w:pPr>
              <w:spacing w:before="40" w:after="40" w:line="276" w:lineRule="auto"/>
              <w:rPr>
                <w:szCs w:val="24"/>
              </w:rPr>
            </w:pPr>
          </w:p>
        </w:tc>
        <w:tc>
          <w:tcPr>
            <w:tcW w:w="70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CA4CF9" w:rsidRDefault="00037CB9">
            <w:pPr>
              <w:spacing w:before="40" w:after="40" w:line="276" w:lineRule="auto"/>
              <w:ind w:right="195"/>
              <w:rPr>
                <w:rFonts w:eastAsiaTheme="minorHAnsi"/>
                <w:szCs w:val="24"/>
                <w:lang w:eastAsia="en-US"/>
              </w:rPr>
            </w:pPr>
          </w:p>
        </w:tc>
        <w:tc>
          <w:tcPr>
            <w:tcW w:w="70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CA4CF9" w:rsidRDefault="00772EA1">
            <w:pPr>
              <w:spacing w:before="40" w:after="40" w:line="276" w:lineRule="auto"/>
              <w:ind w:right="195"/>
              <w:rPr>
                <w:szCs w:val="24"/>
              </w:rPr>
            </w:pPr>
            <w:r w:rsidRPr="00CA4CF9">
              <w:t xml:space="preserve">6 </w:t>
            </w:r>
          </w:p>
        </w:tc>
        <w:tc>
          <w:tcPr>
            <w:tcW w:w="563" w:type="dxa"/>
            <w:gridSpan w:val="3"/>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CA4CF9" w:rsidRDefault="00037CB9">
            <w:pPr>
              <w:spacing w:before="40" w:after="40" w:line="276" w:lineRule="auto"/>
              <w:rPr>
                <w:szCs w:val="24"/>
              </w:rPr>
            </w:pPr>
          </w:p>
        </w:tc>
        <w:tc>
          <w:tcPr>
            <w:tcW w:w="56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CA4CF9" w:rsidRDefault="00037CB9">
            <w:pPr>
              <w:spacing w:before="40" w:after="40" w:line="276" w:lineRule="auto"/>
              <w:rPr>
                <w:szCs w:val="24"/>
              </w:rPr>
            </w:pPr>
          </w:p>
        </w:tc>
        <w:tc>
          <w:tcPr>
            <w:tcW w:w="70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CA4CF9" w:rsidRDefault="00772EA1">
            <w:pPr>
              <w:spacing w:before="40" w:after="40" w:line="276" w:lineRule="auto"/>
              <w:rPr>
                <w:rFonts w:eastAsiaTheme="minorHAnsi"/>
                <w:szCs w:val="24"/>
              </w:rPr>
            </w:pPr>
            <w:r w:rsidRPr="00CA4CF9">
              <w:t xml:space="preserve">12 </w:t>
            </w:r>
          </w:p>
        </w:tc>
        <w:tc>
          <w:tcPr>
            <w:tcW w:w="702"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CA4CF9" w:rsidRDefault="00037CB9">
            <w:pPr>
              <w:spacing w:before="40" w:after="40" w:line="276" w:lineRule="auto"/>
              <w:rPr>
                <w:szCs w:val="24"/>
              </w:rPr>
            </w:pPr>
          </w:p>
        </w:tc>
        <w:tc>
          <w:tcPr>
            <w:tcW w:w="140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CA4CF9" w:rsidRDefault="00772EA1" w:rsidP="0012174F">
            <w:pPr>
              <w:spacing w:before="40" w:after="40" w:line="276" w:lineRule="auto"/>
              <w:rPr>
                <w:szCs w:val="24"/>
              </w:rPr>
            </w:pPr>
            <w:r w:rsidRPr="00CA4CF9">
              <w:t>Hud (</w:t>
            </w:r>
            <w:r w:rsidRPr="00CA4CF9">
              <w:rPr>
                <w:vertAlign w:val="superscript"/>
              </w:rPr>
              <w:t>8</w:t>
            </w:r>
            <w:r w:rsidRPr="00CA4CF9">
              <w:t>) Hudsensibilisering og sensibilisering ved indånding (</w:t>
            </w:r>
            <w:r w:rsidRPr="00CA4CF9">
              <w:rPr>
                <w:vertAlign w:val="superscript"/>
              </w:rPr>
              <w:t>9</w:t>
            </w:r>
            <w:r w:rsidRPr="00CA4CF9">
              <w:t xml:space="preserve">) </w:t>
            </w:r>
          </w:p>
        </w:tc>
        <w:tc>
          <w:tcPr>
            <w:tcW w:w="2128" w:type="dxa"/>
            <w:gridSpan w:val="4"/>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CA4CF9" w:rsidRDefault="00772EA1">
            <w:pPr>
              <w:spacing w:before="40" w:after="40" w:line="276" w:lineRule="auto"/>
              <w:rPr>
                <w:szCs w:val="24"/>
              </w:rPr>
            </w:pPr>
            <w:r w:rsidRPr="00CA4CF9">
              <w:t xml:space="preserve">Grænseværdien på 10 µg </w:t>
            </w:r>
            <w:r w:rsidRPr="00CA4CF9">
              <w:rPr>
                <w:b/>
                <w:i/>
              </w:rPr>
              <w:t>NCO</w:t>
            </w:r>
            <w:r w:rsidRPr="00CA4CF9">
              <w:t>/m</w:t>
            </w:r>
            <w:r w:rsidRPr="00CA4CF9">
              <w:rPr>
                <w:vertAlign w:val="superscript"/>
              </w:rPr>
              <w:t>3</w:t>
            </w:r>
            <w:r w:rsidRPr="00CA4CF9">
              <w:t xml:space="preserve"> vedrørende en referenceperiode på 8 timer og grænseværdien vedrørende kortvarig eksponering på 20 µg </w:t>
            </w:r>
            <w:r w:rsidRPr="00CA4CF9">
              <w:rPr>
                <w:b/>
                <w:i/>
              </w:rPr>
              <w:t>NCO</w:t>
            </w:r>
            <w:r w:rsidRPr="00CA4CF9">
              <w:t>/m</w:t>
            </w:r>
            <w:r w:rsidRPr="00CA4CF9">
              <w:rPr>
                <w:vertAlign w:val="superscript"/>
              </w:rPr>
              <w:t>3</w:t>
            </w:r>
            <w:r w:rsidRPr="00CA4CF9">
              <w:t xml:space="preserve"> finder anvendelse indtil den 31. december 2028.</w:t>
            </w:r>
          </w:p>
        </w:tc>
      </w:tr>
      <w:tr w:rsidR="009164C8" w:rsidRPr="00CA4CF9" w:rsidTr="0004271C">
        <w:trPr>
          <w:gridAfter w:val="1"/>
          <w:wAfter w:w="29" w:type="dxa"/>
          <w:jc w:val="center"/>
        </w:trPr>
        <w:tc>
          <w:tcPr>
            <w:tcW w:w="9752" w:type="dxa"/>
            <w:gridSpan w:val="22"/>
          </w:tcPr>
          <w:p w:rsidR="00504A84" w:rsidRPr="00CA4CF9" w:rsidRDefault="00772EA1" w:rsidP="005F4C08">
            <w:pPr>
              <w:spacing w:before="40" w:after="40" w:line="276" w:lineRule="auto"/>
              <w:rPr>
                <w:szCs w:val="24"/>
              </w:rPr>
            </w:pPr>
            <w:r w:rsidRPr="00CA4CF9">
              <w:t>(</w:t>
            </w:r>
            <w:r w:rsidRPr="00CA4CF9">
              <w:rPr>
                <w:vertAlign w:val="superscript"/>
              </w:rPr>
              <w:t>1</w:t>
            </w:r>
            <w:r w:rsidRPr="00CA4CF9">
              <w:t>)</w:t>
            </w:r>
            <w:r w:rsidR="00CA4CF9" w:rsidRPr="00CA4CF9">
              <w:t xml:space="preserve"> </w:t>
            </w:r>
            <w:r w:rsidRPr="00CA4CF9">
              <w:t xml:space="preserve">EF-nr., dvs. Einecs-, ELINCS- eller NLP-nummer, er det officielle nummer på stoffet i Den </w:t>
            </w:r>
            <w:r w:rsidRPr="00CA4CF9">
              <w:t>Europæiske Union som defineret i del 1, punkt 1.1.1.2, i bilag VI til forordning (EF) nr. 1272/2008.</w:t>
            </w:r>
          </w:p>
        </w:tc>
      </w:tr>
      <w:tr w:rsidR="009164C8" w:rsidRPr="00CA4CF9" w:rsidTr="0004271C">
        <w:trPr>
          <w:gridAfter w:val="1"/>
          <w:wAfter w:w="29" w:type="dxa"/>
          <w:jc w:val="center"/>
        </w:trPr>
        <w:tc>
          <w:tcPr>
            <w:tcW w:w="9752" w:type="dxa"/>
            <w:gridSpan w:val="22"/>
          </w:tcPr>
          <w:p w:rsidR="00504A84" w:rsidRPr="00CA4CF9" w:rsidRDefault="00772EA1" w:rsidP="005F4C08">
            <w:pPr>
              <w:spacing w:before="40" w:after="40" w:line="276" w:lineRule="auto"/>
              <w:rPr>
                <w:szCs w:val="24"/>
              </w:rPr>
            </w:pPr>
            <w:r w:rsidRPr="00CA4CF9">
              <w:t>(</w:t>
            </w:r>
            <w:r w:rsidRPr="00CA4CF9">
              <w:rPr>
                <w:vertAlign w:val="superscript"/>
              </w:rPr>
              <w:t>2</w:t>
            </w:r>
            <w:r w:rsidRPr="00CA4CF9">
              <w:t>)</w:t>
            </w:r>
            <w:r w:rsidR="00CA4CF9" w:rsidRPr="00CA4CF9">
              <w:t xml:space="preserve"> </w:t>
            </w:r>
            <w:r w:rsidRPr="00CA4CF9">
              <w:t>CAS-nr.: Chemical Abstracts Service-registreringsnummer.</w:t>
            </w:r>
          </w:p>
        </w:tc>
      </w:tr>
      <w:tr w:rsidR="009164C8" w:rsidRPr="00CA4CF9" w:rsidTr="0004271C">
        <w:trPr>
          <w:gridAfter w:val="1"/>
          <w:wAfter w:w="29" w:type="dxa"/>
          <w:jc w:val="center"/>
        </w:trPr>
        <w:tc>
          <w:tcPr>
            <w:tcW w:w="9752" w:type="dxa"/>
            <w:gridSpan w:val="22"/>
          </w:tcPr>
          <w:p w:rsidR="00504A84" w:rsidRPr="00CA4CF9" w:rsidRDefault="00772EA1" w:rsidP="005F4C08">
            <w:pPr>
              <w:spacing w:before="40" w:after="40" w:line="276" w:lineRule="auto"/>
              <w:rPr>
                <w:szCs w:val="24"/>
              </w:rPr>
            </w:pPr>
            <w:r w:rsidRPr="00CA4CF9">
              <w:t>(</w:t>
            </w:r>
            <w:r w:rsidRPr="00CA4CF9">
              <w:rPr>
                <w:vertAlign w:val="superscript"/>
              </w:rPr>
              <w:t>3</w:t>
            </w:r>
            <w:r w:rsidRPr="00CA4CF9">
              <w:t>)</w:t>
            </w:r>
            <w:r w:rsidR="00CA4CF9" w:rsidRPr="00CA4CF9">
              <w:t xml:space="preserve"> </w:t>
            </w:r>
            <w:r w:rsidRPr="00CA4CF9">
              <w:t xml:space="preserve">Målt eller beregnet i forhold til en referenceperiode på et tidsvægtet gennemsnit </w:t>
            </w:r>
            <w:r w:rsidRPr="00CA4CF9">
              <w:t>på otte timer.</w:t>
            </w:r>
          </w:p>
        </w:tc>
      </w:tr>
      <w:tr w:rsidR="009164C8" w:rsidRPr="00CA4CF9" w:rsidTr="0004271C">
        <w:trPr>
          <w:gridAfter w:val="1"/>
          <w:wAfter w:w="29" w:type="dxa"/>
          <w:jc w:val="center"/>
        </w:trPr>
        <w:tc>
          <w:tcPr>
            <w:tcW w:w="9752" w:type="dxa"/>
            <w:gridSpan w:val="22"/>
          </w:tcPr>
          <w:p w:rsidR="00504A84" w:rsidRPr="00CA4CF9" w:rsidRDefault="00772EA1" w:rsidP="005F4C08">
            <w:pPr>
              <w:spacing w:line="240" w:lineRule="atLeast"/>
              <w:rPr>
                <w:szCs w:val="24"/>
              </w:rPr>
            </w:pPr>
            <w:r w:rsidRPr="00CA4CF9">
              <w:t>(</w:t>
            </w:r>
            <w:r w:rsidRPr="00CA4CF9">
              <w:rPr>
                <w:vertAlign w:val="superscript"/>
              </w:rPr>
              <w:t>4</w:t>
            </w:r>
            <w:r w:rsidRPr="00CA4CF9">
              <w:t>)</w:t>
            </w:r>
            <w:r w:rsidR="00CA4CF9" w:rsidRPr="00CA4CF9">
              <w:t xml:space="preserve"> </w:t>
            </w:r>
            <w:r w:rsidRPr="00CA4CF9">
              <w:t>Grænseværdi for kortvarig eksponering (STEL). En grænseværdi, som eksponeringen ikke bør overskride, og som er baseret på en 15-minutters periode, medmindre andet er anført.</w:t>
            </w:r>
          </w:p>
        </w:tc>
      </w:tr>
      <w:tr w:rsidR="009164C8" w:rsidRPr="00CA4CF9" w:rsidTr="0004271C">
        <w:trPr>
          <w:gridAfter w:val="1"/>
          <w:wAfter w:w="29" w:type="dxa"/>
          <w:jc w:val="center"/>
        </w:trPr>
        <w:tc>
          <w:tcPr>
            <w:tcW w:w="9752" w:type="dxa"/>
            <w:gridSpan w:val="22"/>
          </w:tcPr>
          <w:p w:rsidR="00504A84" w:rsidRPr="00CA4CF9" w:rsidRDefault="00772EA1" w:rsidP="005F4C08">
            <w:pPr>
              <w:spacing w:line="240" w:lineRule="atLeast"/>
              <w:rPr>
                <w:rFonts w:eastAsia="Arial Unicode MS"/>
                <w:szCs w:val="24"/>
              </w:rPr>
            </w:pPr>
            <w:r w:rsidRPr="00CA4CF9">
              <w:t>(</w:t>
            </w:r>
            <w:r w:rsidRPr="00CA4CF9">
              <w:rPr>
                <w:vertAlign w:val="superscript"/>
              </w:rPr>
              <w:t>5</w:t>
            </w:r>
            <w:r w:rsidRPr="00CA4CF9">
              <w:t>)</w:t>
            </w:r>
            <w:r w:rsidR="00CA4CF9" w:rsidRPr="00CA4CF9">
              <w:t xml:space="preserve"> </w:t>
            </w:r>
            <w:r w:rsidRPr="00CA4CF9">
              <w:rPr>
                <w:b/>
                <w:i/>
              </w:rPr>
              <w:t>Målt som</w:t>
            </w:r>
            <w:r w:rsidRPr="00CA4CF9">
              <w:t xml:space="preserve"> µg </w:t>
            </w:r>
            <w:r w:rsidRPr="00CA4CF9">
              <w:rPr>
                <w:b/>
                <w:i/>
              </w:rPr>
              <w:t xml:space="preserve">NCO </w:t>
            </w:r>
            <w:r w:rsidRPr="00CA4CF9">
              <w:t>/m</w:t>
            </w:r>
            <w:r w:rsidRPr="00CA4CF9">
              <w:rPr>
                <w:vertAlign w:val="superscript"/>
              </w:rPr>
              <w:t xml:space="preserve">3 </w:t>
            </w:r>
            <w:r w:rsidRPr="00CA4CF9">
              <w:t xml:space="preserve">= mikrogram af </w:t>
            </w:r>
            <w:r w:rsidRPr="00CA4CF9">
              <w:rPr>
                <w:b/>
                <w:i/>
              </w:rPr>
              <w:t>NCO/isocyanatgruppen fra diisocyanat</w:t>
            </w:r>
            <w:r w:rsidRPr="00CA4CF9">
              <w:t xml:space="preserve"> pr. kubikmeter luft.</w:t>
            </w:r>
          </w:p>
        </w:tc>
      </w:tr>
      <w:tr w:rsidR="009164C8" w:rsidRPr="00CA4CF9" w:rsidTr="0004271C">
        <w:trPr>
          <w:gridAfter w:val="1"/>
          <w:wAfter w:w="29" w:type="dxa"/>
          <w:jc w:val="center"/>
        </w:trPr>
        <w:tc>
          <w:tcPr>
            <w:tcW w:w="9752" w:type="dxa"/>
            <w:gridSpan w:val="22"/>
          </w:tcPr>
          <w:p w:rsidR="00504A84" w:rsidRPr="00CA4CF9" w:rsidRDefault="00772EA1" w:rsidP="005F4C08">
            <w:pPr>
              <w:spacing w:line="240" w:lineRule="atLeast"/>
              <w:rPr>
                <w:rFonts w:eastAsia="Arial Unicode MS"/>
                <w:szCs w:val="24"/>
              </w:rPr>
            </w:pPr>
            <w:r w:rsidRPr="00CA4CF9">
              <w:t>(</w:t>
            </w:r>
            <w:r w:rsidRPr="00CA4CF9">
              <w:rPr>
                <w:vertAlign w:val="superscript"/>
              </w:rPr>
              <w:t>6</w:t>
            </w:r>
            <w:r w:rsidRPr="00CA4CF9">
              <w:t>)</w:t>
            </w:r>
            <w:r w:rsidR="00CA4CF9" w:rsidRPr="00CA4CF9">
              <w:t xml:space="preserve"> </w:t>
            </w:r>
            <w:r w:rsidRPr="00CA4CF9">
              <w:t>ppm = parts per million (dele pr. million) udtrykt i luftvolumen (ml/m</w:t>
            </w:r>
            <w:r w:rsidRPr="00CA4CF9">
              <w:rPr>
                <w:vertAlign w:val="superscript"/>
              </w:rPr>
              <w:t>3</w:t>
            </w:r>
            <w:r w:rsidRPr="00CA4CF9">
              <w:t>).</w:t>
            </w:r>
          </w:p>
        </w:tc>
      </w:tr>
      <w:tr w:rsidR="009164C8" w:rsidRPr="00CA4CF9" w:rsidTr="0004271C">
        <w:trPr>
          <w:gridAfter w:val="1"/>
          <w:wAfter w:w="29" w:type="dxa"/>
          <w:jc w:val="center"/>
        </w:trPr>
        <w:tc>
          <w:tcPr>
            <w:tcW w:w="9752" w:type="dxa"/>
            <w:gridSpan w:val="22"/>
          </w:tcPr>
          <w:p w:rsidR="00504A84" w:rsidRPr="00CA4CF9" w:rsidRDefault="00772EA1" w:rsidP="005F4C08">
            <w:pPr>
              <w:spacing w:line="240" w:lineRule="atLeast"/>
              <w:rPr>
                <w:rFonts w:eastAsia="Arial Unicode MS"/>
                <w:szCs w:val="24"/>
              </w:rPr>
            </w:pPr>
            <w:r w:rsidRPr="00CA4CF9">
              <w:t>(</w:t>
            </w:r>
            <w:r w:rsidRPr="00CA4CF9">
              <w:rPr>
                <w:vertAlign w:val="superscript"/>
              </w:rPr>
              <w:t>7</w:t>
            </w:r>
            <w:r w:rsidRPr="00CA4CF9">
              <w:t>)</w:t>
            </w:r>
            <w:r w:rsidR="00CA4CF9" w:rsidRPr="00CA4CF9">
              <w:t xml:space="preserve"> </w:t>
            </w:r>
            <w:r w:rsidRPr="00CA4CF9">
              <w:t>f/ml = fibre pr. milliliter.</w:t>
            </w:r>
          </w:p>
        </w:tc>
      </w:tr>
      <w:tr w:rsidR="009164C8" w:rsidRPr="00CA4CF9" w:rsidTr="0004271C">
        <w:trPr>
          <w:gridAfter w:val="1"/>
          <w:wAfter w:w="29" w:type="dxa"/>
          <w:jc w:val="center"/>
        </w:trPr>
        <w:tc>
          <w:tcPr>
            <w:tcW w:w="9752" w:type="dxa"/>
            <w:gridSpan w:val="22"/>
          </w:tcPr>
          <w:p w:rsidR="00504A84" w:rsidRPr="00CA4CF9" w:rsidRDefault="00772EA1" w:rsidP="00504A84">
            <w:pPr>
              <w:spacing w:before="40" w:after="40" w:line="276" w:lineRule="auto"/>
              <w:rPr>
                <w:szCs w:val="24"/>
              </w:rPr>
            </w:pPr>
            <w:r w:rsidRPr="00CA4CF9">
              <w:t>(</w:t>
            </w:r>
            <w:r w:rsidRPr="00CA4CF9">
              <w:rPr>
                <w:vertAlign w:val="superscript"/>
              </w:rPr>
              <w:t>8</w:t>
            </w:r>
            <w:r w:rsidRPr="00CA4CF9">
              <w:t>)</w:t>
            </w:r>
            <w:r w:rsidR="00CA4CF9" w:rsidRPr="00CA4CF9">
              <w:t xml:space="preserve"> </w:t>
            </w:r>
            <w:r w:rsidRPr="00CA4CF9">
              <w:t>Stoffet kan forårsage hudsensibilisering.</w:t>
            </w:r>
          </w:p>
        </w:tc>
      </w:tr>
      <w:tr w:rsidR="009164C8" w:rsidRPr="00CA4CF9" w:rsidTr="0004271C">
        <w:trPr>
          <w:gridAfter w:val="1"/>
          <w:wAfter w:w="29" w:type="dxa"/>
          <w:jc w:val="center"/>
        </w:trPr>
        <w:tc>
          <w:tcPr>
            <w:tcW w:w="9752" w:type="dxa"/>
            <w:gridSpan w:val="22"/>
          </w:tcPr>
          <w:p w:rsidR="00504A84" w:rsidRPr="00CA4CF9" w:rsidRDefault="00772EA1" w:rsidP="00504A84">
            <w:pPr>
              <w:spacing w:line="240" w:lineRule="atLeast"/>
              <w:rPr>
                <w:rFonts w:eastAsia="Arial Unicode MS"/>
                <w:szCs w:val="24"/>
              </w:rPr>
            </w:pPr>
            <w:r w:rsidRPr="00CA4CF9">
              <w:t>(</w:t>
            </w:r>
            <w:r w:rsidRPr="00CA4CF9">
              <w:rPr>
                <w:vertAlign w:val="superscript"/>
              </w:rPr>
              <w:t>9</w:t>
            </w:r>
            <w:r w:rsidRPr="00CA4CF9">
              <w:t>)</w:t>
            </w:r>
            <w:r w:rsidR="00CA4CF9" w:rsidRPr="00CA4CF9">
              <w:t xml:space="preserve"> </w:t>
            </w:r>
            <w:r w:rsidRPr="00CA4CF9">
              <w:t>Stoffet kan forårsage</w:t>
            </w:r>
            <w:r w:rsidRPr="00CA4CF9">
              <w:t xml:space="preserve"> hud- og luftvejssensibilisering.</w:t>
            </w:r>
          </w:p>
        </w:tc>
      </w:tr>
    </w:tbl>
    <w:p w:rsidR="00037CB9" w:rsidRPr="00CA4CF9" w:rsidRDefault="00772EA1" w:rsidP="00037CB9">
      <w:pPr>
        <w:pStyle w:val="AmOrLang"/>
      </w:pPr>
      <w:r w:rsidRPr="00CA4CF9">
        <w:t xml:space="preserve">Or. </w:t>
      </w:r>
      <w:r w:rsidRPr="00CA4CF9">
        <w:rPr>
          <w:rStyle w:val="HideTWBExt"/>
          <w:noProof w:val="0"/>
        </w:rPr>
        <w:t>&lt;Original&gt;</w:t>
      </w:r>
      <w:r w:rsidRPr="00CA4CF9">
        <w:rPr>
          <w:rStyle w:val="HideTWBInt"/>
        </w:rPr>
        <w:t>{EN}</w:t>
      </w:r>
      <w:r w:rsidRPr="00CA4CF9">
        <w:t>en</w:t>
      </w:r>
      <w:r w:rsidRPr="00CA4CF9">
        <w:rPr>
          <w:rStyle w:val="HideTWBExt"/>
          <w:noProof w:val="0"/>
        </w:rPr>
        <w:t>&lt;/Original&gt;</w:t>
      </w:r>
    </w:p>
    <w:p w:rsidR="00C730C7" w:rsidRPr="00CA4CF9" w:rsidRDefault="00772EA1" w:rsidP="00C730C7">
      <w:r w:rsidRPr="00CA4CF9">
        <w:rPr>
          <w:rStyle w:val="HideTWBExt"/>
          <w:noProof w:val="0"/>
        </w:rPr>
        <w:t>&lt;/Amend&gt;</w:t>
      </w:r>
    </w:p>
    <w:p w:rsidR="00D9167F" w:rsidRPr="00CA4CF9" w:rsidRDefault="00772EA1" w:rsidP="00D9167F">
      <w:pPr>
        <w:pStyle w:val="AmNumberTabs"/>
        <w:keepNext/>
      </w:pPr>
      <w:r w:rsidRPr="00CA4CF9">
        <w:rPr>
          <w:rStyle w:val="HideTWBExt"/>
          <w:b w:val="0"/>
          <w:noProof w:val="0"/>
          <w:color w:val="auto"/>
        </w:rPr>
        <w:t>&lt;Amend&gt;</w:t>
      </w:r>
      <w:r w:rsidRPr="00CA4CF9">
        <w:t>Ændringsforslag</w:t>
      </w:r>
      <w:r w:rsidRPr="00CA4CF9">
        <w:tab/>
      </w:r>
      <w:r w:rsidRPr="00CA4CF9">
        <w:tab/>
      </w:r>
      <w:r w:rsidRPr="00CA4CF9">
        <w:rPr>
          <w:rStyle w:val="HideTWBExt"/>
          <w:b w:val="0"/>
          <w:noProof w:val="0"/>
          <w:color w:val="auto"/>
        </w:rPr>
        <w:t>&lt;NumAm&gt;</w:t>
      </w:r>
      <w:r w:rsidRPr="00CA4CF9">
        <w:t>30</w:t>
      </w:r>
      <w:r w:rsidRPr="00CA4CF9">
        <w:rPr>
          <w:rStyle w:val="HideTWBExt"/>
          <w:b w:val="0"/>
          <w:noProof w:val="0"/>
          <w:color w:val="auto"/>
        </w:rPr>
        <w:t>&lt;/NumAm&gt;</w:t>
      </w:r>
    </w:p>
    <w:p w:rsidR="00D9167F" w:rsidRPr="00CA4CF9" w:rsidRDefault="00772EA1" w:rsidP="00D9167F">
      <w:pPr>
        <w:pStyle w:val="NormalBold12b"/>
        <w:keepNext/>
      </w:pPr>
      <w:r w:rsidRPr="00CA4CF9">
        <w:rPr>
          <w:rStyle w:val="HideTWBExt"/>
          <w:b w:val="0"/>
          <w:noProof w:val="0"/>
          <w:color w:val="auto"/>
        </w:rPr>
        <w:t>&lt;DocAmend&gt;</w:t>
      </w:r>
      <w:r w:rsidRPr="00CA4CF9">
        <w:t>Forslag til direktiv</w:t>
      </w:r>
      <w:r w:rsidRPr="00CA4CF9">
        <w:rPr>
          <w:rStyle w:val="HideTWBExt"/>
          <w:b w:val="0"/>
          <w:noProof w:val="0"/>
          <w:color w:val="auto"/>
        </w:rPr>
        <w:t>&lt;/DocAmend&gt;</w:t>
      </w:r>
    </w:p>
    <w:p w:rsidR="00D9167F" w:rsidRPr="00CA4CF9" w:rsidRDefault="00772EA1" w:rsidP="00D9167F">
      <w:pPr>
        <w:pStyle w:val="NormalBold"/>
        <w:keepNext/>
      </w:pPr>
      <w:r w:rsidRPr="00CA4CF9">
        <w:rPr>
          <w:rStyle w:val="HideTWBExt"/>
          <w:b w:val="0"/>
          <w:noProof w:val="0"/>
          <w:color w:val="auto"/>
        </w:rPr>
        <w:t>&lt;Article&gt;</w:t>
      </w:r>
      <w:r w:rsidRPr="00CA4CF9">
        <w:t>Bilag II – indledning</w:t>
      </w:r>
      <w:r w:rsidRPr="00CA4CF9">
        <w:rPr>
          <w:rStyle w:val="HideTWBExt"/>
          <w:b w:val="0"/>
          <w:noProof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792141">
        <w:trPr>
          <w:jc w:val="center"/>
        </w:trPr>
        <w:tc>
          <w:tcPr>
            <w:tcW w:w="9752" w:type="dxa"/>
            <w:gridSpan w:val="2"/>
          </w:tcPr>
          <w:p w:rsidR="00D9167F" w:rsidRPr="00CA4CF9" w:rsidRDefault="00D9167F" w:rsidP="00792141">
            <w:pPr>
              <w:keepNext/>
            </w:pPr>
          </w:p>
        </w:tc>
      </w:tr>
      <w:tr w:rsidR="009164C8" w:rsidRPr="00CA4CF9" w:rsidTr="00792141">
        <w:trPr>
          <w:jc w:val="center"/>
        </w:trPr>
        <w:tc>
          <w:tcPr>
            <w:tcW w:w="4876" w:type="dxa"/>
          </w:tcPr>
          <w:p w:rsidR="00D9167F" w:rsidRPr="00CA4CF9" w:rsidRDefault="00772EA1" w:rsidP="00D9167F">
            <w:pPr>
              <w:pStyle w:val="AmColumnHeading"/>
              <w:keepNext/>
            </w:pPr>
            <w:r w:rsidRPr="00CA4CF9">
              <w:t>Kommissionens forslag</w:t>
            </w:r>
          </w:p>
        </w:tc>
        <w:tc>
          <w:tcPr>
            <w:tcW w:w="4876" w:type="dxa"/>
          </w:tcPr>
          <w:p w:rsidR="00D9167F" w:rsidRPr="00CA4CF9" w:rsidRDefault="00772EA1" w:rsidP="00792141">
            <w:pPr>
              <w:pStyle w:val="AmColumnHeading"/>
              <w:keepNext/>
            </w:pPr>
            <w:r w:rsidRPr="00CA4CF9">
              <w:t>Ændringsforslag</w:t>
            </w:r>
          </w:p>
        </w:tc>
      </w:tr>
      <w:tr w:rsidR="009164C8" w:rsidRPr="00CA4CF9" w:rsidTr="00792141">
        <w:trPr>
          <w:jc w:val="center"/>
        </w:trPr>
        <w:tc>
          <w:tcPr>
            <w:tcW w:w="4876" w:type="dxa"/>
          </w:tcPr>
          <w:p w:rsidR="00D9167F" w:rsidRPr="00CA4CF9" w:rsidRDefault="00772EA1" w:rsidP="00945BF3">
            <w:pPr>
              <w:pStyle w:val="Normal6a"/>
            </w:pPr>
            <w:r w:rsidRPr="00CA4CF9">
              <w:t xml:space="preserve">Bilag III og </w:t>
            </w:r>
            <w:r w:rsidRPr="00CA4CF9">
              <w:t>IIIa til direktiv 2004/37/EF ændres således:</w:t>
            </w:r>
          </w:p>
        </w:tc>
        <w:tc>
          <w:tcPr>
            <w:tcW w:w="4876" w:type="dxa"/>
          </w:tcPr>
          <w:p w:rsidR="00D9167F" w:rsidRPr="00CA4CF9" w:rsidRDefault="00772EA1" w:rsidP="00D9167F">
            <w:pPr>
              <w:pStyle w:val="Normal6a"/>
              <w:rPr>
                <w:szCs w:val="24"/>
              </w:rPr>
            </w:pPr>
            <w:r w:rsidRPr="00CA4CF9">
              <w:t>Bilag </w:t>
            </w:r>
            <w:r w:rsidRPr="00CA4CF9">
              <w:rPr>
                <w:b/>
                <w:i/>
              </w:rPr>
              <w:t>I,</w:t>
            </w:r>
            <w:r w:rsidRPr="00CA4CF9">
              <w:t xml:space="preserve"> III og IIIa til direktiv 2004/37/EF ændres således:</w:t>
            </w:r>
          </w:p>
        </w:tc>
      </w:tr>
    </w:tbl>
    <w:p w:rsidR="00D9167F" w:rsidRPr="00CA4CF9" w:rsidRDefault="00772EA1" w:rsidP="00D9167F">
      <w:pPr>
        <w:pStyle w:val="AmOrLang"/>
      </w:pPr>
      <w:r w:rsidRPr="00CA4CF9">
        <w:t xml:space="preserve">Or. </w:t>
      </w:r>
      <w:r w:rsidRPr="00CA4CF9">
        <w:rPr>
          <w:rStyle w:val="HideTWBExt"/>
          <w:noProof w:val="0"/>
        </w:rPr>
        <w:t>&lt;Original&gt;</w:t>
      </w:r>
      <w:r w:rsidRPr="00CA4CF9">
        <w:rPr>
          <w:rStyle w:val="HideTWBInt"/>
        </w:rPr>
        <w:t>{EN}</w:t>
      </w:r>
      <w:r w:rsidRPr="00CA4CF9">
        <w:t>en</w:t>
      </w:r>
      <w:r w:rsidRPr="00CA4CF9">
        <w:rPr>
          <w:rStyle w:val="HideTWBExt"/>
          <w:noProof w:val="0"/>
        </w:rPr>
        <w:t>&lt;/Original&gt;</w:t>
      </w:r>
    </w:p>
    <w:p w:rsidR="00D9167F" w:rsidRPr="00CA4CF9" w:rsidRDefault="00772EA1" w:rsidP="00D9167F">
      <w:pPr>
        <w:pStyle w:val="AmJustTitle"/>
      </w:pPr>
      <w:r w:rsidRPr="00CA4CF9">
        <w:rPr>
          <w:rStyle w:val="HideTWBExt"/>
          <w:i w:val="0"/>
          <w:noProof w:val="0"/>
        </w:rPr>
        <w:t>&lt;TitreJust&gt;</w:t>
      </w:r>
      <w:r w:rsidRPr="00CA4CF9">
        <w:t>Begrundelse</w:t>
      </w:r>
      <w:r w:rsidRPr="00CA4CF9">
        <w:rPr>
          <w:rStyle w:val="HideTWBExt"/>
          <w:i w:val="0"/>
          <w:noProof w:val="0"/>
        </w:rPr>
        <w:t>&lt;/TitreJust&gt;</w:t>
      </w:r>
    </w:p>
    <w:p w:rsidR="00D9167F" w:rsidRPr="00CA4CF9" w:rsidRDefault="00772EA1" w:rsidP="00D9167F">
      <w:pPr>
        <w:pStyle w:val="AmJustText"/>
      </w:pPr>
      <w:r w:rsidRPr="00CA4CF9">
        <w:t>Bilag I vedrører alle farlige stoffer, der er omfattet af dette direktiv, herunder</w:t>
      </w:r>
      <w:r w:rsidRPr="00CA4CF9">
        <w:t xml:space="preserve"> "mutagener" og "reproduktionstoksiske stoffer".</w:t>
      </w:r>
    </w:p>
    <w:p w:rsidR="00D9167F" w:rsidRPr="00CA4CF9" w:rsidRDefault="00772EA1" w:rsidP="00D9167F">
      <w:r w:rsidRPr="00CA4CF9">
        <w:rPr>
          <w:rStyle w:val="HideTWBExt"/>
          <w:noProof w:val="0"/>
        </w:rPr>
        <w:t>&lt;/Amend&gt;</w:t>
      </w:r>
    </w:p>
    <w:p w:rsidR="00105F9B" w:rsidRPr="00CA4CF9" w:rsidRDefault="00772EA1" w:rsidP="00105F9B">
      <w:pPr>
        <w:pStyle w:val="AmNumberTabs"/>
        <w:keepNext/>
      </w:pPr>
      <w:r w:rsidRPr="00CA4CF9">
        <w:rPr>
          <w:rStyle w:val="HideTWBExt"/>
          <w:b w:val="0"/>
          <w:noProof w:val="0"/>
          <w:color w:val="auto"/>
        </w:rPr>
        <w:t>&lt;Amend&gt;</w:t>
      </w:r>
      <w:r w:rsidRPr="00CA4CF9">
        <w:t>Ændringsforslag</w:t>
      </w:r>
      <w:r w:rsidRPr="00CA4CF9">
        <w:tab/>
      </w:r>
      <w:r w:rsidRPr="00CA4CF9">
        <w:tab/>
      </w:r>
      <w:r w:rsidRPr="00CA4CF9">
        <w:rPr>
          <w:rStyle w:val="HideTWBExt"/>
          <w:b w:val="0"/>
          <w:noProof w:val="0"/>
          <w:color w:val="auto"/>
        </w:rPr>
        <w:t>&lt;NumAm&gt;</w:t>
      </w:r>
      <w:r w:rsidRPr="00CA4CF9">
        <w:t>31</w:t>
      </w:r>
      <w:r w:rsidRPr="00CA4CF9">
        <w:rPr>
          <w:rStyle w:val="HideTWBExt"/>
          <w:b w:val="0"/>
          <w:noProof w:val="0"/>
          <w:color w:val="auto"/>
        </w:rPr>
        <w:t>&lt;/NumAm&gt;</w:t>
      </w:r>
    </w:p>
    <w:p w:rsidR="00105F9B" w:rsidRPr="00CA4CF9" w:rsidRDefault="00772EA1" w:rsidP="00105F9B">
      <w:pPr>
        <w:pStyle w:val="NormalBold12b"/>
        <w:keepNext/>
      </w:pPr>
      <w:r w:rsidRPr="00CA4CF9">
        <w:rPr>
          <w:rStyle w:val="HideTWBExt"/>
          <w:b w:val="0"/>
          <w:noProof w:val="0"/>
          <w:color w:val="auto"/>
        </w:rPr>
        <w:t>&lt;DocAmend&gt;</w:t>
      </w:r>
      <w:r w:rsidRPr="00CA4CF9">
        <w:t>Forslag til direktiv</w:t>
      </w:r>
      <w:r w:rsidRPr="00CA4CF9">
        <w:rPr>
          <w:rStyle w:val="HideTWBExt"/>
          <w:b w:val="0"/>
          <w:noProof w:val="0"/>
          <w:color w:val="auto"/>
        </w:rPr>
        <w:t>&lt;/DocAmend&gt;</w:t>
      </w:r>
    </w:p>
    <w:p w:rsidR="00105F9B" w:rsidRPr="00CA4CF9" w:rsidRDefault="00772EA1" w:rsidP="00105F9B">
      <w:pPr>
        <w:pStyle w:val="NormalBold"/>
        <w:keepNext/>
      </w:pPr>
      <w:r w:rsidRPr="00CA4CF9">
        <w:rPr>
          <w:rStyle w:val="HideTWBExt"/>
          <w:b w:val="0"/>
          <w:noProof w:val="0"/>
          <w:color w:val="auto"/>
        </w:rPr>
        <w:t>&lt;Article&gt;</w:t>
      </w:r>
      <w:r w:rsidRPr="00CA4CF9">
        <w:t>Bilag II – punkt -1 (nyt)</w:t>
      </w:r>
      <w:r w:rsidRPr="00CA4CF9">
        <w:rPr>
          <w:rStyle w:val="HideTWBExt"/>
          <w:b w:val="0"/>
          <w:noProof w:val="0"/>
          <w:color w:val="auto"/>
        </w:rPr>
        <w:t>&lt;/Article&gt;</w:t>
      </w:r>
    </w:p>
    <w:p w:rsidR="00105F9B" w:rsidRPr="00CA4CF9" w:rsidRDefault="00772EA1" w:rsidP="00105F9B">
      <w:pPr>
        <w:keepNext/>
      </w:pPr>
      <w:r w:rsidRPr="00CA4CF9">
        <w:rPr>
          <w:rStyle w:val="HideTWBExt"/>
          <w:noProof w:val="0"/>
          <w:color w:val="auto"/>
        </w:rPr>
        <w:t>&lt;DocAmend2&gt;</w:t>
      </w:r>
      <w:r w:rsidRPr="00CA4CF9">
        <w:t>Direktiv 2004/37/EF</w:t>
      </w:r>
      <w:r w:rsidRPr="00CA4CF9">
        <w:rPr>
          <w:rStyle w:val="HideTWBExt"/>
          <w:noProof w:val="0"/>
          <w:color w:val="auto"/>
        </w:rPr>
        <w:t>&lt;/DocAmend2&gt;</w:t>
      </w:r>
    </w:p>
    <w:p w:rsidR="00105F9B" w:rsidRPr="00CA4CF9" w:rsidRDefault="00772EA1" w:rsidP="00105F9B">
      <w:r w:rsidRPr="00CA4CF9">
        <w:rPr>
          <w:rStyle w:val="HideTWBExt"/>
          <w:noProof w:val="0"/>
          <w:color w:val="auto"/>
        </w:rPr>
        <w:t>&lt;Article2&gt;</w:t>
      </w:r>
      <w:r w:rsidRPr="00CA4CF9">
        <w:t>Bilag I – oversk</w:t>
      </w:r>
      <w:r w:rsidRPr="00CA4CF9">
        <w:t>rift</w:t>
      </w:r>
      <w:r w:rsidRPr="00CA4CF9">
        <w:rPr>
          <w:rStyle w:val="HideTWBExt"/>
          <w:noProof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5F4C08">
        <w:trPr>
          <w:jc w:val="center"/>
        </w:trPr>
        <w:tc>
          <w:tcPr>
            <w:tcW w:w="9752" w:type="dxa"/>
            <w:gridSpan w:val="2"/>
          </w:tcPr>
          <w:p w:rsidR="00105F9B" w:rsidRPr="00CA4CF9" w:rsidRDefault="00105F9B" w:rsidP="005F4C08">
            <w:pPr>
              <w:keepNext/>
            </w:pPr>
          </w:p>
        </w:tc>
      </w:tr>
      <w:tr w:rsidR="009164C8" w:rsidRPr="00CA4CF9" w:rsidTr="005F4C08">
        <w:trPr>
          <w:jc w:val="center"/>
        </w:trPr>
        <w:tc>
          <w:tcPr>
            <w:tcW w:w="4876" w:type="dxa"/>
          </w:tcPr>
          <w:p w:rsidR="00105F9B" w:rsidRPr="00CA4CF9" w:rsidRDefault="00772EA1" w:rsidP="005F4C08">
            <w:pPr>
              <w:pStyle w:val="AmColumnHeading"/>
              <w:keepNext/>
            </w:pPr>
            <w:r w:rsidRPr="00CA4CF9">
              <w:t>Gældende ordlyd</w:t>
            </w:r>
          </w:p>
        </w:tc>
        <w:tc>
          <w:tcPr>
            <w:tcW w:w="4876" w:type="dxa"/>
          </w:tcPr>
          <w:p w:rsidR="00105F9B" w:rsidRPr="00CA4CF9" w:rsidRDefault="00772EA1" w:rsidP="005F4C08">
            <w:pPr>
              <w:pStyle w:val="AmColumnHeading"/>
              <w:keepNext/>
            </w:pPr>
            <w:r w:rsidRPr="00CA4CF9">
              <w:t>Ændringsforslag</w:t>
            </w:r>
          </w:p>
        </w:tc>
      </w:tr>
      <w:tr w:rsidR="009164C8" w:rsidRPr="00CA4CF9" w:rsidTr="005F4C08">
        <w:trPr>
          <w:jc w:val="center"/>
        </w:trPr>
        <w:tc>
          <w:tcPr>
            <w:tcW w:w="4876" w:type="dxa"/>
          </w:tcPr>
          <w:p w:rsidR="00C5402B" w:rsidRPr="00CA4CF9" w:rsidRDefault="00C5402B" w:rsidP="00C5402B">
            <w:pPr>
              <w:pStyle w:val="Normal6a"/>
              <w:jc w:val="center"/>
            </w:pPr>
          </w:p>
        </w:tc>
        <w:tc>
          <w:tcPr>
            <w:tcW w:w="4876" w:type="dxa"/>
          </w:tcPr>
          <w:p w:rsidR="00C5402B" w:rsidRPr="00CA4CF9" w:rsidRDefault="00772EA1" w:rsidP="007C2624">
            <w:pPr>
              <w:pStyle w:val="Normal6a"/>
              <w:rPr>
                <w:b/>
                <w:i/>
                <w:szCs w:val="24"/>
              </w:rPr>
            </w:pPr>
            <w:r w:rsidRPr="00CA4CF9">
              <w:rPr>
                <w:b/>
                <w:i/>
              </w:rPr>
              <w:t xml:space="preserve">-1) </w:t>
            </w:r>
            <w:r w:rsidRPr="00CA4CF9">
              <w:rPr>
                <w:b/>
                <w:i/>
              </w:rPr>
              <w:tab/>
              <w:t>"I bilag I ændres overskriften som følger:</w:t>
            </w:r>
          </w:p>
        </w:tc>
      </w:tr>
      <w:tr w:rsidR="009164C8" w:rsidRPr="00CA4CF9" w:rsidTr="005F4C08">
        <w:trPr>
          <w:jc w:val="center"/>
        </w:trPr>
        <w:tc>
          <w:tcPr>
            <w:tcW w:w="4876" w:type="dxa"/>
          </w:tcPr>
          <w:p w:rsidR="00C5402B" w:rsidRPr="00CA4CF9" w:rsidRDefault="00772EA1" w:rsidP="00C5402B">
            <w:pPr>
              <w:pStyle w:val="Normal6a"/>
            </w:pPr>
            <w:r w:rsidRPr="00CA4CF9">
              <w:t>Fortegnelse over stoffer, præparater og processer</w:t>
            </w:r>
          </w:p>
        </w:tc>
        <w:tc>
          <w:tcPr>
            <w:tcW w:w="4876" w:type="dxa"/>
          </w:tcPr>
          <w:p w:rsidR="00C5402B" w:rsidRPr="00CA4CF9" w:rsidRDefault="00772EA1" w:rsidP="00C5402B">
            <w:pPr>
              <w:pStyle w:val="Normal6a"/>
            </w:pPr>
            <w:r w:rsidRPr="00CA4CF9">
              <w:t>Fortegnelse over stoffer, præparater og processer</w:t>
            </w:r>
          </w:p>
        </w:tc>
      </w:tr>
      <w:tr w:rsidR="009164C8" w:rsidRPr="00CA4CF9" w:rsidTr="005F4C08">
        <w:trPr>
          <w:jc w:val="center"/>
        </w:trPr>
        <w:tc>
          <w:tcPr>
            <w:tcW w:w="4876" w:type="dxa"/>
          </w:tcPr>
          <w:p w:rsidR="00C5402B" w:rsidRPr="00CA4CF9" w:rsidRDefault="00772EA1" w:rsidP="00C5402B">
            <w:pPr>
              <w:pStyle w:val="Normal6a"/>
              <w:jc w:val="center"/>
              <w:rPr>
                <w:b/>
                <w:i/>
              </w:rPr>
            </w:pPr>
            <w:r w:rsidRPr="00CA4CF9">
              <w:rPr>
                <w:b/>
                <w:i/>
              </w:rPr>
              <w:t>(artikel 2, litra a), nr. iii))</w:t>
            </w:r>
          </w:p>
        </w:tc>
        <w:tc>
          <w:tcPr>
            <w:tcW w:w="4876" w:type="dxa"/>
          </w:tcPr>
          <w:p w:rsidR="00C5402B" w:rsidRPr="00CA4CF9" w:rsidRDefault="00772EA1" w:rsidP="00C5402B">
            <w:pPr>
              <w:pStyle w:val="Normal6a"/>
              <w:jc w:val="center"/>
              <w:rPr>
                <w:b/>
                <w:i/>
              </w:rPr>
            </w:pPr>
            <w:r w:rsidRPr="00CA4CF9">
              <w:rPr>
                <w:b/>
                <w:i/>
              </w:rPr>
              <w:t xml:space="preserve">(artikel 2, litra a), </w:t>
            </w:r>
            <w:r w:rsidRPr="00CA4CF9">
              <w:rPr>
                <w:b/>
                <w:i/>
              </w:rPr>
              <w:t>nr. ii), litra b), nr. ii), litra ba), nr. ii)"</w:t>
            </w:r>
          </w:p>
        </w:tc>
      </w:tr>
    </w:tbl>
    <w:p w:rsidR="00105F9B" w:rsidRPr="00CA4CF9" w:rsidRDefault="00772EA1" w:rsidP="00105F9B">
      <w:pPr>
        <w:pStyle w:val="AmOrLang"/>
      </w:pPr>
      <w:r w:rsidRPr="00CA4CF9">
        <w:t xml:space="preserve">Or. </w:t>
      </w:r>
      <w:r w:rsidRPr="00CA4CF9">
        <w:rPr>
          <w:rStyle w:val="HideTWBExt"/>
          <w:noProof w:val="0"/>
        </w:rPr>
        <w:t>&lt;Original&gt;</w:t>
      </w:r>
      <w:r w:rsidRPr="00CA4CF9">
        <w:rPr>
          <w:rStyle w:val="HideTWBInt"/>
        </w:rPr>
        <w:t>{EN}</w:t>
      </w:r>
      <w:r w:rsidRPr="00CA4CF9">
        <w:t>en</w:t>
      </w:r>
      <w:r w:rsidRPr="00CA4CF9">
        <w:rPr>
          <w:rStyle w:val="HideTWBExt"/>
          <w:noProof w:val="0"/>
        </w:rPr>
        <w:t>&lt;/Original&gt;</w:t>
      </w:r>
    </w:p>
    <w:p w:rsidR="00105F9B" w:rsidRPr="00CA4CF9" w:rsidRDefault="00772EA1" w:rsidP="00105F9B">
      <w:pPr>
        <w:pStyle w:val="AmJustTitle"/>
      </w:pPr>
      <w:r w:rsidRPr="00CA4CF9">
        <w:rPr>
          <w:rStyle w:val="HideTWBExt"/>
          <w:i w:val="0"/>
          <w:noProof w:val="0"/>
        </w:rPr>
        <w:t>&lt;TitreJust&gt;</w:t>
      </w:r>
      <w:r w:rsidRPr="00CA4CF9">
        <w:t>Begrundelse</w:t>
      </w:r>
      <w:r w:rsidRPr="00CA4CF9">
        <w:rPr>
          <w:rStyle w:val="HideTWBExt"/>
          <w:i w:val="0"/>
          <w:noProof w:val="0"/>
        </w:rPr>
        <w:t>&lt;/TitreJust&gt;</w:t>
      </w:r>
    </w:p>
    <w:p w:rsidR="00105F9B" w:rsidRPr="00CA4CF9" w:rsidRDefault="00772EA1" w:rsidP="00105F9B">
      <w:pPr>
        <w:pStyle w:val="AmJustText"/>
      </w:pPr>
      <w:r w:rsidRPr="00CA4CF9">
        <w:t>Bilag I vedrører alle farlige stoffer, der er omfattet af dette direktiv, herunder "mutagener" og "reproduktionstoksiske stoffer".</w:t>
      </w:r>
    </w:p>
    <w:p w:rsidR="00105F9B" w:rsidRPr="00CA4CF9" w:rsidRDefault="00772EA1" w:rsidP="00105F9B">
      <w:r w:rsidRPr="00CA4CF9">
        <w:rPr>
          <w:rStyle w:val="HideTWBExt"/>
          <w:noProof w:val="0"/>
        </w:rPr>
        <w:t>&lt;/Amend&gt;</w:t>
      </w:r>
    </w:p>
    <w:p w:rsidR="00F4607D" w:rsidRPr="00CA4CF9" w:rsidRDefault="00772EA1" w:rsidP="00F4607D">
      <w:pPr>
        <w:pStyle w:val="AmNumberTabs"/>
        <w:keepNext/>
      </w:pPr>
      <w:r w:rsidRPr="00CA4CF9">
        <w:rPr>
          <w:rStyle w:val="HideTWBExt"/>
          <w:b w:val="0"/>
          <w:noProof w:val="0"/>
          <w:color w:val="auto"/>
        </w:rPr>
        <w:t>&lt;Amend&gt;</w:t>
      </w:r>
      <w:r w:rsidRPr="00CA4CF9">
        <w:t>Ændringsforslag</w:t>
      </w:r>
      <w:r w:rsidRPr="00CA4CF9">
        <w:tab/>
      </w:r>
      <w:r w:rsidRPr="00CA4CF9">
        <w:tab/>
      </w:r>
      <w:r w:rsidRPr="00CA4CF9">
        <w:rPr>
          <w:rStyle w:val="HideTWBExt"/>
          <w:b w:val="0"/>
          <w:noProof w:val="0"/>
          <w:color w:val="auto"/>
        </w:rPr>
        <w:t>&lt;NumAm&gt;</w:t>
      </w:r>
      <w:r w:rsidRPr="00CA4CF9">
        <w:t>32</w:t>
      </w:r>
      <w:r w:rsidRPr="00CA4CF9">
        <w:rPr>
          <w:rStyle w:val="HideTWBExt"/>
          <w:b w:val="0"/>
          <w:noProof w:val="0"/>
          <w:color w:val="auto"/>
        </w:rPr>
        <w:t>&lt;/NumAm&gt;</w:t>
      </w:r>
    </w:p>
    <w:p w:rsidR="00F4607D" w:rsidRPr="00CA4CF9" w:rsidRDefault="00772EA1" w:rsidP="00F4607D">
      <w:pPr>
        <w:pStyle w:val="NormalBold12b"/>
        <w:keepNext/>
      </w:pPr>
      <w:r w:rsidRPr="00CA4CF9">
        <w:rPr>
          <w:rStyle w:val="HideTWBExt"/>
          <w:b w:val="0"/>
          <w:noProof w:val="0"/>
          <w:color w:val="auto"/>
        </w:rPr>
        <w:t>&lt;DocAmend&gt;</w:t>
      </w:r>
      <w:r w:rsidRPr="00CA4CF9">
        <w:t>Forslag til direktiv</w:t>
      </w:r>
      <w:r w:rsidRPr="00CA4CF9">
        <w:rPr>
          <w:rStyle w:val="HideTWBExt"/>
          <w:b w:val="0"/>
          <w:noProof w:val="0"/>
          <w:color w:val="auto"/>
        </w:rPr>
        <w:t>&lt;/DocAmend&gt;</w:t>
      </w:r>
    </w:p>
    <w:p w:rsidR="00F4607D" w:rsidRPr="00CA4CF9" w:rsidRDefault="00772EA1" w:rsidP="00F4607D">
      <w:pPr>
        <w:pStyle w:val="NormalBold"/>
        <w:keepNext/>
      </w:pPr>
      <w:r w:rsidRPr="00CA4CF9">
        <w:rPr>
          <w:rStyle w:val="HideTWBExt"/>
          <w:b w:val="0"/>
          <w:noProof w:val="0"/>
          <w:color w:val="auto"/>
        </w:rPr>
        <w:t>&lt;Article&gt;</w:t>
      </w:r>
      <w:r w:rsidRPr="00CA4CF9">
        <w:t>Bilag II – punkt -1 a (nyt)</w:t>
      </w:r>
      <w:r w:rsidRPr="00CA4CF9">
        <w:rPr>
          <w:rStyle w:val="HideTWBExt"/>
          <w:b w:val="0"/>
          <w:noProof w:val="0"/>
          <w:color w:val="auto"/>
        </w:rPr>
        <w:t>&lt;/Article&gt;</w:t>
      </w:r>
    </w:p>
    <w:p w:rsidR="00F4607D" w:rsidRPr="00CA4CF9" w:rsidRDefault="00772EA1" w:rsidP="00F4607D">
      <w:pPr>
        <w:keepNext/>
      </w:pPr>
      <w:r w:rsidRPr="00CA4CF9">
        <w:rPr>
          <w:rStyle w:val="HideTWBExt"/>
          <w:noProof w:val="0"/>
          <w:color w:val="auto"/>
        </w:rPr>
        <w:t>&lt;DocAmend2&gt;</w:t>
      </w:r>
      <w:r w:rsidRPr="00CA4CF9">
        <w:t>Direktiv 2004/37/EF</w:t>
      </w:r>
      <w:r w:rsidRPr="00CA4CF9">
        <w:rPr>
          <w:rStyle w:val="HideTWBExt"/>
          <w:noProof w:val="0"/>
          <w:color w:val="auto"/>
        </w:rPr>
        <w:t>&lt;/DocAmend2&gt;</w:t>
      </w:r>
    </w:p>
    <w:p w:rsidR="00F4607D" w:rsidRPr="00CA4CF9" w:rsidRDefault="00772EA1" w:rsidP="00F4607D">
      <w:r w:rsidRPr="00CA4CF9">
        <w:rPr>
          <w:rStyle w:val="HideTWBExt"/>
          <w:noProof w:val="0"/>
          <w:color w:val="auto"/>
        </w:rPr>
        <w:t>&lt;Article2&gt;</w:t>
      </w:r>
      <w:r w:rsidRPr="00CA4CF9">
        <w:t>Bilag I – punkt 8 a (nyt)</w:t>
      </w:r>
      <w:r w:rsidRPr="00CA4CF9">
        <w:rPr>
          <w:rStyle w:val="HideTWBExt"/>
          <w:noProof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5F4C08">
        <w:trPr>
          <w:jc w:val="center"/>
        </w:trPr>
        <w:tc>
          <w:tcPr>
            <w:tcW w:w="9752" w:type="dxa"/>
            <w:gridSpan w:val="2"/>
          </w:tcPr>
          <w:p w:rsidR="00F4607D" w:rsidRPr="00CA4CF9" w:rsidRDefault="00F4607D" w:rsidP="005F4C08">
            <w:pPr>
              <w:keepNext/>
            </w:pPr>
          </w:p>
        </w:tc>
      </w:tr>
      <w:tr w:rsidR="009164C8" w:rsidRPr="00CA4CF9" w:rsidTr="005F4C08">
        <w:trPr>
          <w:jc w:val="center"/>
        </w:trPr>
        <w:tc>
          <w:tcPr>
            <w:tcW w:w="4876" w:type="dxa"/>
          </w:tcPr>
          <w:p w:rsidR="00F4607D" w:rsidRPr="00CA4CF9" w:rsidRDefault="00772EA1" w:rsidP="005F4C08">
            <w:pPr>
              <w:pStyle w:val="AmColumnHeading"/>
              <w:keepNext/>
            </w:pPr>
            <w:r w:rsidRPr="00CA4CF9">
              <w:t>Gældende ordlyd</w:t>
            </w:r>
          </w:p>
        </w:tc>
        <w:tc>
          <w:tcPr>
            <w:tcW w:w="4876" w:type="dxa"/>
          </w:tcPr>
          <w:p w:rsidR="00F4607D" w:rsidRPr="00CA4CF9" w:rsidRDefault="00772EA1" w:rsidP="005F4C08">
            <w:pPr>
              <w:pStyle w:val="AmColumnHeading"/>
              <w:keepNext/>
            </w:pPr>
            <w:r w:rsidRPr="00CA4CF9">
              <w:t>Ændringsforslag</w:t>
            </w:r>
          </w:p>
        </w:tc>
      </w:tr>
      <w:tr w:rsidR="009164C8" w:rsidRPr="00CA4CF9" w:rsidTr="005F4C08">
        <w:trPr>
          <w:jc w:val="center"/>
        </w:trPr>
        <w:tc>
          <w:tcPr>
            <w:tcW w:w="4876" w:type="dxa"/>
          </w:tcPr>
          <w:p w:rsidR="00C5402B" w:rsidRPr="00CA4CF9" w:rsidRDefault="00C5402B" w:rsidP="00C5402B">
            <w:pPr>
              <w:pStyle w:val="Normal6a"/>
              <w:jc w:val="center"/>
            </w:pPr>
          </w:p>
        </w:tc>
        <w:tc>
          <w:tcPr>
            <w:tcW w:w="4876" w:type="dxa"/>
          </w:tcPr>
          <w:p w:rsidR="00C5402B" w:rsidRPr="00CA4CF9" w:rsidRDefault="00772EA1" w:rsidP="007C2624">
            <w:pPr>
              <w:pStyle w:val="Normal6a"/>
              <w:rPr>
                <w:b/>
                <w:i/>
                <w:szCs w:val="24"/>
              </w:rPr>
            </w:pPr>
            <w:r w:rsidRPr="00CA4CF9">
              <w:rPr>
                <w:b/>
                <w:i/>
              </w:rPr>
              <w:t xml:space="preserve">-1a) </w:t>
            </w:r>
            <w:r w:rsidRPr="00CA4CF9">
              <w:rPr>
                <w:b/>
                <w:i/>
              </w:rPr>
              <w:tab/>
              <w:t>"I bilag I tilføjes følgende punkt:</w:t>
            </w:r>
          </w:p>
        </w:tc>
      </w:tr>
      <w:tr w:rsidR="009164C8" w:rsidRPr="00CA4CF9" w:rsidTr="005F4C08">
        <w:trPr>
          <w:jc w:val="center"/>
        </w:trPr>
        <w:tc>
          <w:tcPr>
            <w:tcW w:w="4876" w:type="dxa"/>
          </w:tcPr>
          <w:p w:rsidR="00C5402B" w:rsidRPr="00CA4CF9" w:rsidRDefault="00C5402B" w:rsidP="00C5402B">
            <w:pPr>
              <w:pStyle w:val="Normal6a"/>
              <w:rPr>
                <w:color w:val="333333"/>
                <w:sz w:val="27"/>
                <w:szCs w:val="27"/>
              </w:rPr>
            </w:pPr>
          </w:p>
        </w:tc>
        <w:tc>
          <w:tcPr>
            <w:tcW w:w="4876" w:type="dxa"/>
          </w:tcPr>
          <w:p w:rsidR="00C5402B" w:rsidRPr="00CA4CF9" w:rsidRDefault="00772EA1" w:rsidP="007C2624">
            <w:pPr>
              <w:pStyle w:val="Normal6a"/>
              <w:rPr>
                <w:rFonts w:ascii="Arial Unicode MS" w:eastAsia="Arial Unicode MS" w:hAnsi="Arial Unicode MS" w:cs="Arial Unicode MS"/>
                <w:b/>
                <w:i/>
                <w:color w:val="333333"/>
                <w:sz w:val="21"/>
                <w:szCs w:val="21"/>
              </w:rPr>
            </w:pPr>
            <w:r w:rsidRPr="00CA4CF9">
              <w:rPr>
                <w:b/>
                <w:i/>
              </w:rPr>
              <w:t>8a.</w:t>
            </w:r>
            <w:r w:rsidRPr="00CA4CF9">
              <w:rPr>
                <w:rFonts w:ascii="Arial Unicode MS" w:hAnsi="Arial Unicode MS"/>
                <w:b/>
                <w:i/>
                <w:sz w:val="21"/>
              </w:rPr>
              <w:tab/>
            </w:r>
            <w:r w:rsidRPr="00CA4CF9">
              <w:rPr>
                <w:b/>
                <w:i/>
              </w:rPr>
              <w:t>Arbejde, der medfører udsættelse for farlige lægemidler."</w:t>
            </w:r>
          </w:p>
        </w:tc>
      </w:tr>
    </w:tbl>
    <w:p w:rsidR="00F4607D" w:rsidRPr="00CA4CF9" w:rsidRDefault="00772EA1" w:rsidP="00F4607D">
      <w:pPr>
        <w:pStyle w:val="AmOrLang"/>
      </w:pPr>
      <w:r w:rsidRPr="00CA4CF9">
        <w:t xml:space="preserve">Or. </w:t>
      </w:r>
      <w:r w:rsidRPr="00CA4CF9">
        <w:rPr>
          <w:rStyle w:val="HideTWBExt"/>
          <w:noProof w:val="0"/>
        </w:rPr>
        <w:t>&lt;Original&gt;</w:t>
      </w:r>
      <w:r w:rsidRPr="00CA4CF9">
        <w:rPr>
          <w:rStyle w:val="HideTWBInt"/>
        </w:rPr>
        <w:t>{EN}</w:t>
      </w:r>
      <w:r w:rsidRPr="00CA4CF9">
        <w:t>en</w:t>
      </w:r>
      <w:r w:rsidRPr="00CA4CF9">
        <w:rPr>
          <w:rStyle w:val="HideTWBExt"/>
          <w:noProof w:val="0"/>
        </w:rPr>
        <w:t>&lt;/Original&gt;</w:t>
      </w:r>
    </w:p>
    <w:p w:rsidR="00F4607D" w:rsidRPr="00CA4CF9" w:rsidRDefault="00772EA1" w:rsidP="00F4607D">
      <w:r w:rsidRPr="00CA4CF9">
        <w:rPr>
          <w:rStyle w:val="HideTWBExt"/>
          <w:noProof w:val="0"/>
        </w:rPr>
        <w:t>&lt;/Amend&gt;</w:t>
      </w:r>
    </w:p>
    <w:p w:rsidR="006D08C7" w:rsidRPr="00CA4CF9" w:rsidRDefault="00772EA1" w:rsidP="006D08C7">
      <w:pPr>
        <w:pStyle w:val="AmNumberTabs"/>
        <w:keepNext/>
      </w:pPr>
      <w:r w:rsidRPr="00CA4CF9">
        <w:rPr>
          <w:rStyle w:val="HideTWBExt"/>
          <w:b w:val="0"/>
          <w:noProof w:val="0"/>
          <w:color w:val="auto"/>
        </w:rPr>
        <w:t>&lt;Amend&gt;</w:t>
      </w:r>
      <w:r w:rsidRPr="00CA4CF9">
        <w:t>Ændringsforslag</w:t>
      </w:r>
      <w:r w:rsidRPr="00CA4CF9">
        <w:tab/>
      </w:r>
      <w:r w:rsidRPr="00CA4CF9">
        <w:tab/>
      </w:r>
      <w:r w:rsidRPr="00CA4CF9">
        <w:rPr>
          <w:rStyle w:val="HideTWBExt"/>
          <w:b w:val="0"/>
          <w:noProof w:val="0"/>
          <w:color w:val="auto"/>
        </w:rPr>
        <w:t>&lt;NumAm&gt;</w:t>
      </w:r>
      <w:r w:rsidRPr="00CA4CF9">
        <w:t>33</w:t>
      </w:r>
      <w:r w:rsidRPr="00CA4CF9">
        <w:rPr>
          <w:rStyle w:val="HideTWBExt"/>
          <w:b w:val="0"/>
          <w:noProof w:val="0"/>
          <w:color w:val="auto"/>
        </w:rPr>
        <w:t>&lt;/NumAm&gt;</w:t>
      </w:r>
    </w:p>
    <w:p w:rsidR="006D08C7" w:rsidRPr="00CA4CF9" w:rsidRDefault="00772EA1" w:rsidP="006D08C7">
      <w:pPr>
        <w:pStyle w:val="NormalBold12b"/>
        <w:keepNext/>
      </w:pPr>
      <w:r w:rsidRPr="00CA4CF9">
        <w:rPr>
          <w:rStyle w:val="HideTWBExt"/>
          <w:b w:val="0"/>
          <w:noProof w:val="0"/>
          <w:color w:val="auto"/>
        </w:rPr>
        <w:t>&lt;DocAmend&gt;</w:t>
      </w:r>
      <w:r w:rsidRPr="00CA4CF9">
        <w:t>Forslag til direktiv</w:t>
      </w:r>
      <w:r w:rsidRPr="00CA4CF9">
        <w:rPr>
          <w:rStyle w:val="HideTWBExt"/>
          <w:b w:val="0"/>
          <w:noProof w:val="0"/>
          <w:color w:val="auto"/>
        </w:rPr>
        <w:t>&lt;/DocAmend&gt;</w:t>
      </w:r>
    </w:p>
    <w:p w:rsidR="006D08C7" w:rsidRPr="00CA4CF9" w:rsidRDefault="00772EA1" w:rsidP="006D08C7">
      <w:pPr>
        <w:pStyle w:val="NormalBold"/>
        <w:keepNext/>
        <w:rPr>
          <w:rStyle w:val="HideTWBExt"/>
          <w:rFonts w:eastAsiaTheme="majorEastAsia"/>
          <w:b w:val="0"/>
          <w:noProof w:val="0"/>
          <w:color w:val="auto"/>
        </w:rPr>
      </w:pPr>
      <w:r w:rsidRPr="00CA4CF9">
        <w:rPr>
          <w:rStyle w:val="HideTWBExt"/>
          <w:b w:val="0"/>
          <w:noProof w:val="0"/>
          <w:color w:val="auto"/>
        </w:rPr>
        <w:t>&lt;Article&gt;</w:t>
      </w:r>
      <w:r w:rsidRPr="00CA4CF9">
        <w:t xml:space="preserve">Bilag II – </w:t>
      </w:r>
      <w:r w:rsidRPr="00CA4CF9">
        <w:t>punkt 1</w:t>
      </w:r>
      <w:r w:rsidRPr="00CA4CF9">
        <w:rPr>
          <w:rStyle w:val="HideTWBExt"/>
          <w:b w:val="0"/>
          <w:noProof w:val="0"/>
          <w:color w:val="auto"/>
        </w:rPr>
        <w:t>&lt;/Article&gt;</w:t>
      </w:r>
    </w:p>
    <w:p w:rsidR="008C7BDF" w:rsidRPr="00CA4CF9" w:rsidRDefault="00772EA1" w:rsidP="008C7BDF">
      <w:pPr>
        <w:keepNext/>
      </w:pPr>
      <w:r w:rsidRPr="00CA4CF9">
        <w:rPr>
          <w:rStyle w:val="HideTWBExt"/>
          <w:noProof w:val="0"/>
          <w:color w:val="auto"/>
        </w:rPr>
        <w:t>&lt;DocAmend2&gt;</w:t>
      </w:r>
      <w:r w:rsidRPr="00CA4CF9">
        <w:t>Direktiv 2004/37/EF</w:t>
      </w:r>
      <w:r w:rsidRPr="00CA4CF9">
        <w:rPr>
          <w:rStyle w:val="HideTWBExt"/>
          <w:noProof w:val="0"/>
          <w:color w:val="auto"/>
        </w:rPr>
        <w:t>&lt;/DocAmend2&gt;</w:t>
      </w:r>
    </w:p>
    <w:p w:rsidR="008C7BDF" w:rsidRPr="00CA4CF9" w:rsidRDefault="00772EA1" w:rsidP="00945BF3">
      <w:r w:rsidRPr="00CA4CF9">
        <w:rPr>
          <w:rStyle w:val="HideTWBExt"/>
          <w:noProof w:val="0"/>
          <w:color w:val="auto"/>
        </w:rPr>
        <w:t>&lt;Article2&gt;</w:t>
      </w:r>
      <w:r w:rsidRPr="00CA4CF9">
        <w:t>Bilag III – del A – række 31</w:t>
      </w:r>
      <w:r w:rsidRPr="00CA4CF9">
        <w:rPr>
          <w:rStyle w:val="HideTWBExt"/>
          <w:noProof w:val="0"/>
          <w:color w:val="auto"/>
        </w:rPr>
        <w:t>&lt;/Article2&gt;</w:t>
      </w:r>
    </w:p>
    <w:tbl>
      <w:tblPr>
        <w:tblW w:w="9781" w:type="dxa"/>
        <w:jc w:val="center"/>
        <w:tblLayout w:type="fixed"/>
        <w:tblCellMar>
          <w:left w:w="340" w:type="dxa"/>
          <w:right w:w="340" w:type="dxa"/>
        </w:tblCellMar>
        <w:tblLook w:val="0000" w:firstRow="0" w:lastRow="0" w:firstColumn="0" w:lastColumn="0" w:noHBand="0" w:noVBand="0"/>
      </w:tblPr>
      <w:tblGrid>
        <w:gridCol w:w="6"/>
        <w:gridCol w:w="1918"/>
        <w:gridCol w:w="735"/>
        <w:gridCol w:w="702"/>
        <w:gridCol w:w="884"/>
        <w:gridCol w:w="463"/>
        <w:gridCol w:w="564"/>
        <w:gridCol w:w="710"/>
        <w:gridCol w:w="568"/>
        <w:gridCol w:w="568"/>
        <w:gridCol w:w="848"/>
        <w:gridCol w:w="1776"/>
        <w:gridCol w:w="39"/>
      </w:tblGrid>
      <w:tr w:rsidR="009164C8" w:rsidRPr="00CA4CF9" w:rsidTr="005F4C08">
        <w:trPr>
          <w:jc w:val="center"/>
        </w:trPr>
        <w:tc>
          <w:tcPr>
            <w:tcW w:w="9781" w:type="dxa"/>
            <w:gridSpan w:val="13"/>
          </w:tcPr>
          <w:p w:rsidR="006D08C7" w:rsidRPr="00CA4CF9" w:rsidRDefault="006D08C7" w:rsidP="005F4C08">
            <w:pPr>
              <w:keepNext/>
            </w:pPr>
          </w:p>
        </w:tc>
      </w:tr>
      <w:tr w:rsidR="009164C8" w:rsidRPr="00CA4CF9" w:rsidTr="005F4C08">
        <w:trPr>
          <w:jc w:val="center"/>
        </w:trPr>
        <w:tc>
          <w:tcPr>
            <w:tcW w:w="9781" w:type="dxa"/>
            <w:gridSpan w:val="13"/>
          </w:tcPr>
          <w:p w:rsidR="006D08C7" w:rsidRPr="00CA4CF9" w:rsidRDefault="00772EA1" w:rsidP="005F4C08">
            <w:pPr>
              <w:pStyle w:val="AmColumnHeading"/>
              <w:keepNext/>
              <w:jc w:val="left"/>
            </w:pPr>
            <w:r w:rsidRPr="00CA4CF9">
              <w:t>Kommissionens forslag</w:t>
            </w:r>
          </w:p>
        </w:tc>
      </w:tr>
      <w:tr w:rsidR="009164C8" w:rsidRPr="00CA4CF9" w:rsidTr="005F4C08">
        <w:trPr>
          <w:jc w:val="center"/>
        </w:trPr>
        <w:tc>
          <w:tcPr>
            <w:tcW w:w="9781" w:type="dxa"/>
            <w:gridSpan w:val="13"/>
          </w:tcPr>
          <w:p w:rsidR="006D08C7" w:rsidRPr="00CA4CF9" w:rsidRDefault="00772EA1" w:rsidP="005F4C08">
            <w:pPr>
              <w:pStyle w:val="Normal6a"/>
              <w:rPr>
                <w:szCs w:val="24"/>
              </w:rPr>
            </w:pPr>
            <w:r w:rsidRPr="00CA4CF9">
              <w:rPr>
                <w:color w:val="000000"/>
              </w:rPr>
              <w:t>1)</w:t>
            </w:r>
            <w:r w:rsidRPr="00CA4CF9">
              <w:rPr>
                <w:color w:val="000000"/>
              </w:rPr>
              <w:tab/>
            </w:r>
            <w:r w:rsidRPr="00CA4CF9">
              <w:t xml:space="preserve">Bilag III, del A, </w:t>
            </w:r>
            <w:r w:rsidRPr="00CA4CF9">
              <w:rPr>
                <w:color w:val="000000"/>
              </w:rPr>
              <w:t>rækken vedrørende uorganisk bly og dets forbindelser, affattes således:</w:t>
            </w:r>
          </w:p>
        </w:tc>
      </w:tr>
      <w:tr w:rsidR="009164C8" w:rsidRPr="00CA4CF9"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CA4CF9" w:rsidRDefault="00772EA1" w:rsidP="005F4C08">
            <w:pPr>
              <w:spacing w:before="60" w:after="60"/>
              <w:ind w:right="195"/>
              <w:jc w:val="center"/>
              <w:rPr>
                <w:bCs/>
                <w:szCs w:val="24"/>
              </w:rPr>
            </w:pPr>
            <w:r w:rsidRPr="00CA4CF9">
              <w:t>"Agensens navn</w:t>
            </w:r>
          </w:p>
        </w:tc>
        <w:tc>
          <w:tcPr>
            <w:tcW w:w="73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CA4CF9" w:rsidRDefault="00772EA1" w:rsidP="005F4C08">
            <w:pPr>
              <w:spacing w:after="60"/>
              <w:jc w:val="center"/>
              <w:rPr>
                <w:bCs/>
                <w:szCs w:val="24"/>
              </w:rPr>
            </w:pPr>
            <w:r w:rsidRPr="00CA4CF9">
              <w:t>EF-nr. (</w:t>
            </w:r>
            <w:r w:rsidRPr="00CA4CF9">
              <w:rPr>
                <w:vertAlign w:val="superscript"/>
              </w:rPr>
              <w:t>1</w:t>
            </w:r>
            <w:r w:rsidRPr="00CA4CF9">
              <w:t xml:space="preserve">) </w:t>
            </w:r>
          </w:p>
        </w:tc>
        <w:tc>
          <w:tcPr>
            <w:tcW w:w="7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CA4CF9" w:rsidRDefault="00772EA1" w:rsidP="005F4C08">
            <w:pPr>
              <w:spacing w:after="60"/>
              <w:jc w:val="center"/>
              <w:rPr>
                <w:bCs/>
                <w:szCs w:val="24"/>
              </w:rPr>
            </w:pPr>
            <w:r w:rsidRPr="00CA4CF9">
              <w:t>CAS-nr. (</w:t>
            </w:r>
            <w:r w:rsidRPr="00CA4CF9">
              <w:rPr>
                <w:vertAlign w:val="superscript"/>
              </w:rPr>
              <w:t>2</w:t>
            </w:r>
            <w:r w:rsidRPr="00CA4CF9">
              <w:t xml:space="preserve">) </w:t>
            </w:r>
          </w:p>
        </w:tc>
        <w:tc>
          <w:tcPr>
            <w:tcW w:w="3757" w:type="dxa"/>
            <w:gridSpan w:val="6"/>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CA4CF9" w:rsidRDefault="00CA4CF9" w:rsidP="005F4C08">
            <w:pPr>
              <w:spacing w:before="60" w:after="60"/>
              <w:ind w:right="195"/>
              <w:jc w:val="center"/>
              <w:rPr>
                <w:bCs/>
                <w:szCs w:val="24"/>
              </w:rPr>
            </w:pPr>
            <w:r w:rsidRPr="00CA4CF9">
              <w:t xml:space="preserve"> </w:t>
            </w:r>
            <w:r w:rsidR="00772EA1" w:rsidRPr="00CA4CF9">
              <w:t>Grænseværdier</w:t>
            </w:r>
          </w:p>
        </w:tc>
        <w:tc>
          <w:tcPr>
            <w:tcW w:w="848"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6D08C7" w:rsidRPr="00CA4CF9" w:rsidRDefault="00772EA1" w:rsidP="005F4C08">
            <w:pPr>
              <w:spacing w:before="60" w:after="60"/>
              <w:ind w:right="195"/>
              <w:jc w:val="center"/>
              <w:rPr>
                <w:bCs/>
                <w:szCs w:val="24"/>
              </w:rPr>
            </w:pPr>
            <w:r w:rsidRPr="00CA4CF9">
              <w:t xml:space="preserve"> Anmærkning</w:t>
            </w:r>
          </w:p>
        </w:tc>
        <w:tc>
          <w:tcPr>
            <w:tcW w:w="1815" w:type="dxa"/>
            <w:gridSpan w:val="2"/>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CA4CF9" w:rsidRDefault="00772EA1" w:rsidP="005F4C08">
            <w:pPr>
              <w:spacing w:before="60" w:after="60"/>
              <w:ind w:right="104"/>
              <w:jc w:val="center"/>
              <w:rPr>
                <w:bCs/>
                <w:szCs w:val="24"/>
              </w:rPr>
            </w:pPr>
            <w:r w:rsidRPr="00CA4CF9">
              <w:t>Overgangsforanstaltninger</w:t>
            </w:r>
          </w:p>
        </w:tc>
      </w:tr>
      <w:tr w:rsidR="009164C8" w:rsidRPr="00CA4CF9"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CA4CF9" w:rsidRDefault="006D08C7" w:rsidP="005F4C08">
            <w:pPr>
              <w:spacing w:before="60" w:after="60"/>
              <w:ind w:right="195"/>
              <w:jc w:val="center"/>
              <w:rPr>
                <w:bCs/>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CA4CF9" w:rsidRDefault="006D08C7" w:rsidP="005F4C08">
            <w:pPr>
              <w:spacing w:before="60" w:after="60"/>
              <w:ind w:right="195"/>
              <w:jc w:val="center"/>
              <w:rPr>
                <w:bCs/>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CA4CF9" w:rsidRDefault="006D08C7" w:rsidP="005F4C08">
            <w:pPr>
              <w:spacing w:before="60" w:after="60"/>
              <w:ind w:right="195"/>
              <w:jc w:val="center"/>
              <w:rPr>
                <w:bCs/>
                <w:szCs w:val="24"/>
              </w:rPr>
            </w:pPr>
          </w:p>
        </w:tc>
        <w:tc>
          <w:tcPr>
            <w:tcW w:w="1911"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CA4CF9" w:rsidRDefault="00772EA1" w:rsidP="005F4C08">
            <w:pPr>
              <w:spacing w:before="60" w:after="60"/>
              <w:ind w:right="195"/>
              <w:jc w:val="center"/>
              <w:rPr>
                <w:bCs/>
                <w:szCs w:val="24"/>
              </w:rPr>
            </w:pPr>
            <w:r w:rsidRPr="00CA4CF9">
              <w:t>8 timer (</w:t>
            </w:r>
            <w:r w:rsidRPr="00CA4CF9">
              <w:rPr>
                <w:vertAlign w:val="superscript"/>
              </w:rPr>
              <w:t>3</w:t>
            </w:r>
            <w:r w:rsidRPr="00CA4CF9">
              <w:t>)</w:t>
            </w:r>
          </w:p>
        </w:tc>
        <w:tc>
          <w:tcPr>
            <w:tcW w:w="1846" w:type="dxa"/>
            <w:gridSpan w:val="3"/>
            <w:tcBorders>
              <w:top w:val="single" w:sz="4" w:space="0" w:color="auto"/>
              <w:left w:val="single" w:sz="4" w:space="0" w:color="auto"/>
              <w:bottom w:val="single" w:sz="4" w:space="0" w:color="auto"/>
              <w:right w:val="single" w:sz="4" w:space="0" w:color="auto"/>
            </w:tcBorders>
          </w:tcPr>
          <w:p w:rsidR="006D08C7" w:rsidRPr="00CA4CF9" w:rsidRDefault="00772EA1" w:rsidP="005F4C08">
            <w:pPr>
              <w:spacing w:before="60" w:after="60"/>
              <w:ind w:right="195"/>
              <w:jc w:val="center"/>
              <w:rPr>
                <w:bCs/>
                <w:szCs w:val="24"/>
              </w:rPr>
            </w:pPr>
            <w:r w:rsidRPr="00CA4CF9">
              <w:t>Kortvarigt (</w:t>
            </w:r>
            <w:r w:rsidRPr="00CA4CF9">
              <w:rPr>
                <w:vertAlign w:val="superscript"/>
              </w:rPr>
              <w:t>4</w:t>
            </w:r>
            <w:r w:rsidRPr="00CA4CF9">
              <w:t>)</w:t>
            </w:r>
          </w:p>
        </w:tc>
        <w:tc>
          <w:tcPr>
            <w:tcW w:w="848" w:type="dxa"/>
            <w:vMerge/>
            <w:tcBorders>
              <w:top w:val="single" w:sz="4" w:space="0" w:color="auto"/>
              <w:left w:val="single" w:sz="4" w:space="0" w:color="auto"/>
              <w:bottom w:val="single" w:sz="4" w:space="0" w:color="auto"/>
              <w:right w:val="single" w:sz="4" w:space="0" w:color="auto"/>
            </w:tcBorders>
          </w:tcPr>
          <w:p w:rsidR="006D08C7" w:rsidRPr="00CA4CF9" w:rsidRDefault="006D08C7" w:rsidP="005F4C08">
            <w:pPr>
              <w:spacing w:before="60" w:after="60"/>
              <w:ind w:right="195"/>
              <w:jc w:val="center"/>
              <w:rPr>
                <w:bCs/>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CA4CF9" w:rsidRDefault="006D08C7" w:rsidP="005F4C08">
            <w:pPr>
              <w:spacing w:before="60" w:after="60"/>
              <w:ind w:right="195"/>
              <w:jc w:val="center"/>
              <w:rPr>
                <w:bCs/>
                <w:szCs w:val="24"/>
              </w:rPr>
            </w:pPr>
          </w:p>
        </w:tc>
      </w:tr>
      <w:tr w:rsidR="009164C8" w:rsidRPr="00CA4CF9"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CA4CF9" w:rsidRDefault="006D08C7" w:rsidP="005F4C08">
            <w:pPr>
              <w:rPr>
                <w:bCs/>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CA4CF9" w:rsidRDefault="006D08C7" w:rsidP="005F4C08">
            <w:pPr>
              <w:rPr>
                <w:bCs/>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CA4CF9" w:rsidRDefault="006D08C7" w:rsidP="005F4C08">
            <w:pPr>
              <w:rPr>
                <w:bCs/>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CA4CF9" w:rsidRDefault="00772EA1" w:rsidP="005F4C08">
            <w:pPr>
              <w:spacing w:before="60" w:after="60"/>
              <w:jc w:val="center"/>
              <w:rPr>
                <w:bCs/>
                <w:szCs w:val="24"/>
                <w:vertAlign w:val="superscript"/>
              </w:rPr>
            </w:pPr>
            <w:r w:rsidRPr="00CA4CF9">
              <w:t>mg/m</w:t>
            </w:r>
            <w:r w:rsidRPr="00CA4CF9">
              <w:rPr>
                <w:vertAlign w:val="superscript"/>
              </w:rPr>
              <w:t xml:space="preserve">3 </w:t>
            </w:r>
            <w:r w:rsidRPr="00CA4CF9">
              <w:t>(</w:t>
            </w:r>
            <w:r w:rsidRPr="00CA4CF9">
              <w:rPr>
                <w:vertAlign w:val="superscript"/>
              </w:rPr>
              <w:t>5</w:t>
            </w:r>
            <w:r w:rsidRPr="00CA4CF9">
              <w:t>)</w:t>
            </w:r>
            <w:r w:rsidR="00CA4CF9" w:rsidRPr="00CA4CF9">
              <w:rPr>
                <w:vertAlign w:val="superscript"/>
              </w:rPr>
              <w:t xml:space="preserve"> </w:t>
            </w:r>
          </w:p>
        </w:tc>
        <w:tc>
          <w:tcPr>
            <w:tcW w:w="463" w:type="dxa"/>
            <w:tcBorders>
              <w:top w:val="single" w:sz="4" w:space="0" w:color="auto"/>
              <w:left w:val="single" w:sz="4" w:space="0" w:color="auto"/>
              <w:bottom w:val="single" w:sz="4" w:space="0" w:color="auto"/>
              <w:right w:val="single" w:sz="4" w:space="0" w:color="auto"/>
            </w:tcBorders>
          </w:tcPr>
          <w:p w:rsidR="006D08C7" w:rsidRPr="00CA4CF9" w:rsidRDefault="00772EA1" w:rsidP="005F4C08">
            <w:pPr>
              <w:spacing w:before="60" w:after="60"/>
              <w:jc w:val="center"/>
              <w:rPr>
                <w:bCs/>
                <w:szCs w:val="24"/>
              </w:rPr>
            </w:pPr>
            <w:r w:rsidRPr="00CA4CF9">
              <w:t>ppm (</w:t>
            </w:r>
            <w:r w:rsidRPr="00CA4CF9">
              <w:rPr>
                <w:vertAlign w:val="superscript"/>
              </w:rPr>
              <w:t>6</w:t>
            </w:r>
            <w:r w:rsidRPr="00CA4CF9">
              <w:t>)</w:t>
            </w:r>
            <w:r w:rsidR="00CA4CF9" w:rsidRPr="00CA4CF9">
              <w:t xml:space="preserve"> </w:t>
            </w:r>
          </w:p>
        </w:tc>
        <w:tc>
          <w:tcPr>
            <w:tcW w:w="564" w:type="dxa"/>
            <w:tcBorders>
              <w:top w:val="single" w:sz="4" w:space="0" w:color="auto"/>
              <w:left w:val="single" w:sz="4" w:space="0" w:color="auto"/>
              <w:bottom w:val="single" w:sz="4" w:space="0" w:color="auto"/>
              <w:right w:val="single" w:sz="4" w:space="0" w:color="auto"/>
            </w:tcBorders>
          </w:tcPr>
          <w:p w:rsidR="006D08C7" w:rsidRPr="00CA4CF9" w:rsidRDefault="00772EA1" w:rsidP="005F4C08">
            <w:pPr>
              <w:spacing w:before="60"/>
              <w:jc w:val="center"/>
              <w:rPr>
                <w:bCs/>
                <w:szCs w:val="24"/>
              </w:rPr>
            </w:pPr>
            <w:r w:rsidRPr="00CA4CF9">
              <w:t>f/ml (</w:t>
            </w:r>
            <w:r w:rsidRPr="00CA4CF9">
              <w:rPr>
                <w:vertAlign w:val="superscript"/>
              </w:rPr>
              <w:t>7</w:t>
            </w:r>
            <w:r w:rsidRPr="00CA4CF9">
              <w:t>)</w:t>
            </w:r>
          </w:p>
        </w:tc>
        <w:tc>
          <w:tcPr>
            <w:tcW w:w="710" w:type="dxa"/>
            <w:tcBorders>
              <w:top w:val="single" w:sz="4" w:space="0" w:color="auto"/>
              <w:left w:val="single" w:sz="4" w:space="0" w:color="auto"/>
              <w:bottom w:val="single" w:sz="4" w:space="0" w:color="auto"/>
              <w:right w:val="single" w:sz="4" w:space="0" w:color="auto"/>
            </w:tcBorders>
          </w:tcPr>
          <w:p w:rsidR="006D08C7" w:rsidRPr="00CA4CF9" w:rsidRDefault="00772EA1" w:rsidP="005F4C08">
            <w:pPr>
              <w:spacing w:before="60" w:after="60"/>
              <w:jc w:val="center"/>
              <w:rPr>
                <w:bCs/>
                <w:szCs w:val="24"/>
              </w:rPr>
            </w:pPr>
            <w:r w:rsidRPr="00CA4CF9">
              <w:t>mg/m</w:t>
            </w:r>
            <w:r w:rsidRPr="00CA4CF9">
              <w:rPr>
                <w:vertAlign w:val="superscript"/>
              </w:rPr>
              <w:t>3</w:t>
            </w: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CA4CF9" w:rsidRDefault="00772EA1" w:rsidP="005F4C08">
            <w:pPr>
              <w:spacing w:before="60" w:after="60"/>
              <w:jc w:val="center"/>
              <w:rPr>
                <w:bCs/>
                <w:szCs w:val="24"/>
              </w:rPr>
            </w:pPr>
            <w:r w:rsidRPr="00CA4CF9">
              <w:t>ppm</w:t>
            </w: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CA4CF9" w:rsidRDefault="00772EA1" w:rsidP="005F4C08">
            <w:pPr>
              <w:spacing w:before="60" w:after="60"/>
              <w:jc w:val="center"/>
              <w:rPr>
                <w:bCs/>
                <w:szCs w:val="24"/>
              </w:rPr>
            </w:pPr>
            <w:r w:rsidRPr="00CA4CF9">
              <w:t>f/ml</w:t>
            </w:r>
          </w:p>
        </w:tc>
        <w:tc>
          <w:tcPr>
            <w:tcW w:w="84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CA4CF9" w:rsidRDefault="006D08C7" w:rsidP="005F4C08">
            <w:pPr>
              <w:rPr>
                <w:bCs/>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CA4CF9" w:rsidRDefault="006D08C7" w:rsidP="005F4C08">
            <w:pPr>
              <w:rPr>
                <w:bCs/>
                <w:szCs w:val="24"/>
              </w:rPr>
            </w:pPr>
          </w:p>
        </w:tc>
      </w:tr>
      <w:tr w:rsidR="009164C8" w:rsidRPr="00CA4CF9"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CA4CF9" w:rsidRDefault="00772EA1" w:rsidP="005F4C08">
            <w:pPr>
              <w:rPr>
                <w:szCs w:val="24"/>
              </w:rPr>
            </w:pPr>
            <w:r w:rsidRPr="00CA4CF9">
              <w:t>Uorganisk bly og dets forbindelser</w:t>
            </w:r>
          </w:p>
        </w:tc>
        <w:tc>
          <w:tcPr>
            <w:tcW w:w="73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CA4CF9" w:rsidRDefault="006D08C7" w:rsidP="005F4C08">
            <w:pPr>
              <w:spacing w:before="40" w:after="40"/>
              <w:rPr>
                <w:szCs w:val="24"/>
              </w:rPr>
            </w:pPr>
          </w:p>
        </w:tc>
        <w:tc>
          <w:tcPr>
            <w:tcW w:w="702"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CA4CF9" w:rsidRDefault="006D08C7" w:rsidP="005F4C08">
            <w:pPr>
              <w:spacing w:before="40" w:after="40"/>
              <w:ind w:right="195"/>
              <w:rPr>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CA4CF9" w:rsidRDefault="00772EA1" w:rsidP="005F4C08">
            <w:pPr>
              <w:spacing w:before="40" w:after="40"/>
              <w:ind w:right="195"/>
              <w:rPr>
                <w:b/>
                <w:i/>
                <w:szCs w:val="24"/>
              </w:rPr>
            </w:pPr>
            <w:r w:rsidRPr="00CA4CF9">
              <w:rPr>
                <w:b/>
                <w:i/>
              </w:rPr>
              <w:t>0,03</w:t>
            </w:r>
          </w:p>
        </w:tc>
        <w:tc>
          <w:tcPr>
            <w:tcW w:w="463"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CA4CF9" w:rsidRDefault="006D08C7" w:rsidP="005F4C08">
            <w:pPr>
              <w:spacing w:before="40" w:after="40"/>
              <w:rPr>
                <w:szCs w:val="24"/>
              </w:rPr>
            </w:pPr>
          </w:p>
        </w:tc>
        <w:tc>
          <w:tcPr>
            <w:tcW w:w="564"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CA4CF9" w:rsidRDefault="006D08C7" w:rsidP="005F4C08">
            <w:pPr>
              <w:spacing w:before="40" w:after="40"/>
              <w:rPr>
                <w:szCs w:val="24"/>
              </w:rPr>
            </w:pPr>
          </w:p>
        </w:tc>
        <w:tc>
          <w:tcPr>
            <w:tcW w:w="710"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CA4CF9" w:rsidRDefault="006D08C7" w:rsidP="005F4C08">
            <w:pPr>
              <w:spacing w:before="40" w:after="40"/>
              <w:rPr>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CA4CF9" w:rsidRDefault="006D08C7" w:rsidP="005F4C08">
            <w:pPr>
              <w:spacing w:before="40" w:after="40"/>
              <w:rPr>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CA4CF9" w:rsidRDefault="006D08C7" w:rsidP="005F4C08">
            <w:pPr>
              <w:spacing w:before="40" w:after="40"/>
              <w:rPr>
                <w:szCs w:val="24"/>
              </w:rPr>
            </w:pPr>
          </w:p>
        </w:tc>
        <w:tc>
          <w:tcPr>
            <w:tcW w:w="84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CA4CF9" w:rsidRDefault="006D08C7" w:rsidP="005F4C08">
            <w:pPr>
              <w:spacing w:before="40" w:after="40"/>
              <w:rPr>
                <w:szCs w:val="24"/>
              </w:rPr>
            </w:pPr>
          </w:p>
        </w:tc>
        <w:tc>
          <w:tcPr>
            <w:tcW w:w="181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CA4CF9" w:rsidRDefault="006D08C7" w:rsidP="005F4C08">
            <w:pPr>
              <w:spacing w:before="40" w:after="40"/>
              <w:rPr>
                <w:szCs w:val="24"/>
              </w:rPr>
            </w:pPr>
          </w:p>
        </w:tc>
      </w:tr>
      <w:tr w:rsidR="009164C8" w:rsidRPr="00CA4CF9" w:rsidTr="0004271C">
        <w:trPr>
          <w:gridAfter w:val="1"/>
          <w:wAfter w:w="39" w:type="dxa"/>
          <w:jc w:val="center"/>
        </w:trPr>
        <w:tc>
          <w:tcPr>
            <w:tcW w:w="9742" w:type="dxa"/>
            <w:gridSpan w:val="12"/>
          </w:tcPr>
          <w:p w:rsidR="006D08C7" w:rsidRPr="00CA4CF9" w:rsidRDefault="00772EA1" w:rsidP="005F4C08">
            <w:pPr>
              <w:pStyle w:val="AmColumnHeading"/>
              <w:keepNext/>
              <w:jc w:val="left"/>
              <w:rPr>
                <w:i w:val="0"/>
              </w:rPr>
            </w:pPr>
            <w:r w:rsidRPr="00CA4CF9">
              <w:rPr>
                <w:i w:val="0"/>
              </w:rPr>
              <w:t>(</w:t>
            </w:r>
            <w:r w:rsidRPr="00CA4CF9">
              <w:rPr>
                <w:i w:val="0"/>
                <w:vertAlign w:val="superscript"/>
              </w:rPr>
              <w:t>1</w:t>
            </w:r>
            <w:r w:rsidRPr="00CA4CF9">
              <w:rPr>
                <w:i w:val="0"/>
              </w:rPr>
              <w:t>)</w:t>
            </w:r>
            <w:r w:rsidR="00CA4CF9" w:rsidRPr="00CA4CF9">
              <w:rPr>
                <w:i w:val="0"/>
              </w:rPr>
              <w:t xml:space="preserve"> </w:t>
            </w:r>
            <w:r w:rsidRPr="00CA4CF9">
              <w:rPr>
                <w:i w:val="0"/>
              </w:rPr>
              <w:t xml:space="preserve">EF-nr., dvs. Einecs-, ELINCS- eller </w:t>
            </w:r>
            <w:r w:rsidRPr="00CA4CF9">
              <w:rPr>
                <w:i w:val="0"/>
              </w:rPr>
              <w:t>NLP-nummer, er det officielle nummer på stoffet i Den Europæiske Union som defineret i del 1, punkt 1.1.1.2, i bilag VI til forordning (EF) nr. 1272/2008.</w:t>
            </w:r>
          </w:p>
        </w:tc>
      </w:tr>
      <w:tr w:rsidR="009164C8" w:rsidRPr="00CA4CF9" w:rsidTr="0004271C">
        <w:trPr>
          <w:gridAfter w:val="1"/>
          <w:wAfter w:w="39" w:type="dxa"/>
          <w:jc w:val="center"/>
        </w:trPr>
        <w:tc>
          <w:tcPr>
            <w:tcW w:w="9742" w:type="dxa"/>
            <w:gridSpan w:val="12"/>
          </w:tcPr>
          <w:p w:rsidR="006D08C7" w:rsidRPr="00CA4CF9" w:rsidRDefault="00772EA1" w:rsidP="005F4C08">
            <w:pPr>
              <w:pStyle w:val="AmColumnHeading"/>
              <w:keepNext/>
              <w:jc w:val="left"/>
              <w:rPr>
                <w:rFonts w:eastAsia="Arial Unicode MS"/>
                <w:i w:val="0"/>
                <w:szCs w:val="24"/>
              </w:rPr>
            </w:pPr>
            <w:r w:rsidRPr="00CA4CF9">
              <w:rPr>
                <w:i w:val="0"/>
              </w:rPr>
              <w:t>(</w:t>
            </w:r>
            <w:r w:rsidRPr="00CA4CF9">
              <w:rPr>
                <w:i w:val="0"/>
                <w:vertAlign w:val="superscript"/>
              </w:rPr>
              <w:t>2</w:t>
            </w:r>
            <w:r w:rsidRPr="00CA4CF9">
              <w:rPr>
                <w:i w:val="0"/>
              </w:rPr>
              <w:t>)</w:t>
            </w:r>
            <w:r w:rsidR="00CA4CF9" w:rsidRPr="00CA4CF9">
              <w:rPr>
                <w:i w:val="0"/>
              </w:rPr>
              <w:t xml:space="preserve"> </w:t>
            </w:r>
            <w:r w:rsidRPr="00CA4CF9">
              <w:rPr>
                <w:i w:val="0"/>
              </w:rPr>
              <w:t>CAS-nr.: Chemical Abstracts Service-registreringsnummer.</w:t>
            </w:r>
          </w:p>
        </w:tc>
      </w:tr>
      <w:tr w:rsidR="009164C8" w:rsidRPr="00CA4CF9" w:rsidTr="0004271C">
        <w:trPr>
          <w:gridAfter w:val="1"/>
          <w:wAfter w:w="39" w:type="dxa"/>
          <w:jc w:val="center"/>
        </w:trPr>
        <w:tc>
          <w:tcPr>
            <w:tcW w:w="9742" w:type="dxa"/>
            <w:gridSpan w:val="12"/>
          </w:tcPr>
          <w:p w:rsidR="006D08C7" w:rsidRPr="00CA4CF9" w:rsidRDefault="00772EA1" w:rsidP="005F4C08">
            <w:pPr>
              <w:pStyle w:val="AmColumnHeading"/>
              <w:keepNext/>
              <w:jc w:val="left"/>
              <w:rPr>
                <w:rFonts w:eastAsia="Arial Unicode MS"/>
                <w:i w:val="0"/>
                <w:szCs w:val="24"/>
              </w:rPr>
            </w:pPr>
            <w:r w:rsidRPr="00CA4CF9">
              <w:rPr>
                <w:i w:val="0"/>
              </w:rPr>
              <w:t>(</w:t>
            </w:r>
            <w:r w:rsidRPr="00CA4CF9">
              <w:rPr>
                <w:i w:val="0"/>
                <w:vertAlign w:val="superscript"/>
              </w:rPr>
              <w:t>3</w:t>
            </w:r>
            <w:r w:rsidRPr="00CA4CF9">
              <w:rPr>
                <w:i w:val="0"/>
              </w:rPr>
              <w:t>)</w:t>
            </w:r>
            <w:r w:rsidR="00CA4CF9" w:rsidRPr="00CA4CF9">
              <w:rPr>
                <w:i w:val="0"/>
              </w:rPr>
              <w:t xml:space="preserve"> </w:t>
            </w:r>
            <w:r w:rsidRPr="00CA4CF9">
              <w:rPr>
                <w:i w:val="0"/>
              </w:rPr>
              <w:t xml:space="preserve">Målt eller beregnet i </w:t>
            </w:r>
            <w:r w:rsidRPr="00CA4CF9">
              <w:rPr>
                <w:i w:val="0"/>
              </w:rPr>
              <w:t>forhold til en referenceperiode på et tidsvægtet gennemsnit på otte timer.</w:t>
            </w:r>
          </w:p>
        </w:tc>
      </w:tr>
      <w:tr w:rsidR="009164C8" w:rsidRPr="00CA4CF9" w:rsidTr="0004271C">
        <w:trPr>
          <w:gridAfter w:val="1"/>
          <w:wAfter w:w="39" w:type="dxa"/>
          <w:jc w:val="center"/>
        </w:trPr>
        <w:tc>
          <w:tcPr>
            <w:tcW w:w="9742" w:type="dxa"/>
            <w:gridSpan w:val="12"/>
          </w:tcPr>
          <w:p w:rsidR="006D08C7" w:rsidRPr="00CA4CF9" w:rsidRDefault="00772EA1" w:rsidP="005F4C08">
            <w:pPr>
              <w:pStyle w:val="AmColumnHeading"/>
              <w:keepNext/>
              <w:jc w:val="left"/>
              <w:rPr>
                <w:rFonts w:eastAsia="Arial Unicode MS"/>
                <w:i w:val="0"/>
                <w:szCs w:val="24"/>
              </w:rPr>
            </w:pPr>
            <w:r w:rsidRPr="00CA4CF9">
              <w:rPr>
                <w:i w:val="0"/>
              </w:rPr>
              <w:t>(</w:t>
            </w:r>
            <w:r w:rsidRPr="00CA4CF9">
              <w:rPr>
                <w:i w:val="0"/>
                <w:vertAlign w:val="superscript"/>
              </w:rPr>
              <w:t>4</w:t>
            </w:r>
            <w:r w:rsidRPr="00CA4CF9">
              <w:rPr>
                <w:i w:val="0"/>
              </w:rPr>
              <w:t>)</w:t>
            </w:r>
            <w:r w:rsidR="00CA4CF9" w:rsidRPr="00CA4CF9">
              <w:rPr>
                <w:i w:val="0"/>
              </w:rPr>
              <w:t xml:space="preserve"> </w:t>
            </w:r>
            <w:r w:rsidRPr="00CA4CF9">
              <w:rPr>
                <w:i w:val="0"/>
              </w:rPr>
              <w:t>Grænseværdi for kortvarig eksponering (STEL). En grænseværdi, som eksponeringen ikke bør overskride, og som er baseret på en 15-minutters periode, medmindre andet er anført.</w:t>
            </w:r>
          </w:p>
        </w:tc>
      </w:tr>
      <w:tr w:rsidR="009164C8" w:rsidRPr="00CA4CF9" w:rsidTr="0004271C">
        <w:trPr>
          <w:gridAfter w:val="1"/>
          <w:wAfter w:w="39" w:type="dxa"/>
          <w:jc w:val="center"/>
        </w:trPr>
        <w:tc>
          <w:tcPr>
            <w:tcW w:w="9742" w:type="dxa"/>
            <w:gridSpan w:val="12"/>
          </w:tcPr>
          <w:p w:rsidR="006D08C7" w:rsidRPr="00CA4CF9" w:rsidRDefault="00772EA1" w:rsidP="005F4C08">
            <w:pPr>
              <w:pStyle w:val="AmColumnHeading"/>
              <w:keepNext/>
              <w:jc w:val="left"/>
              <w:rPr>
                <w:rFonts w:eastAsia="Arial Unicode MS"/>
                <w:i w:val="0"/>
                <w:szCs w:val="24"/>
              </w:rPr>
            </w:pPr>
            <w:r w:rsidRPr="00CA4CF9">
              <w:rPr>
                <w:i w:val="0"/>
              </w:rPr>
              <w:t>(</w:t>
            </w:r>
            <w:r w:rsidRPr="00CA4CF9">
              <w:rPr>
                <w:i w:val="0"/>
                <w:vertAlign w:val="superscript"/>
              </w:rPr>
              <w:t>5</w:t>
            </w:r>
            <w:r w:rsidRPr="00CA4CF9">
              <w:rPr>
                <w:i w:val="0"/>
              </w:rPr>
              <w:t>)</w:t>
            </w:r>
            <w:r w:rsidR="00CA4CF9" w:rsidRPr="00CA4CF9">
              <w:rPr>
                <w:i w:val="0"/>
              </w:rPr>
              <w:t xml:space="preserve"> </w:t>
            </w:r>
            <w:r w:rsidRPr="00CA4CF9">
              <w:rPr>
                <w:i w:val="0"/>
              </w:rPr>
              <w:t>mg/m</w:t>
            </w:r>
            <w:r w:rsidRPr="00CA4CF9">
              <w:rPr>
                <w:i w:val="0"/>
                <w:vertAlign w:val="superscript"/>
              </w:rPr>
              <w:t>3</w:t>
            </w:r>
            <w:r w:rsidRPr="00CA4CF9">
              <w:rPr>
                <w:i w:val="0"/>
              </w:rPr>
              <w:t xml:space="preserve"> = milligram pr. kubikmeter luft ved 20 °C og 101,3 kPa (760 mm kviksølv).</w:t>
            </w:r>
          </w:p>
        </w:tc>
      </w:tr>
      <w:tr w:rsidR="009164C8" w:rsidRPr="00CA4CF9" w:rsidTr="0004271C">
        <w:trPr>
          <w:gridAfter w:val="1"/>
          <w:wAfter w:w="39" w:type="dxa"/>
          <w:jc w:val="center"/>
        </w:trPr>
        <w:tc>
          <w:tcPr>
            <w:tcW w:w="9742" w:type="dxa"/>
            <w:gridSpan w:val="12"/>
          </w:tcPr>
          <w:p w:rsidR="006D08C7" w:rsidRPr="00CA4CF9" w:rsidRDefault="00772EA1" w:rsidP="005F4C08">
            <w:pPr>
              <w:pStyle w:val="AmColumnHeading"/>
              <w:keepNext/>
              <w:jc w:val="left"/>
              <w:rPr>
                <w:rFonts w:eastAsia="Arial Unicode MS"/>
                <w:i w:val="0"/>
                <w:szCs w:val="24"/>
              </w:rPr>
            </w:pPr>
            <w:r w:rsidRPr="00CA4CF9">
              <w:rPr>
                <w:i w:val="0"/>
              </w:rPr>
              <w:t>(</w:t>
            </w:r>
            <w:r w:rsidRPr="00CA4CF9">
              <w:rPr>
                <w:i w:val="0"/>
                <w:vertAlign w:val="superscript"/>
              </w:rPr>
              <w:t>6</w:t>
            </w:r>
            <w:r w:rsidRPr="00CA4CF9">
              <w:rPr>
                <w:i w:val="0"/>
              </w:rPr>
              <w:t>)</w:t>
            </w:r>
            <w:r w:rsidR="00CA4CF9" w:rsidRPr="00CA4CF9">
              <w:rPr>
                <w:i w:val="0"/>
              </w:rPr>
              <w:t xml:space="preserve"> </w:t>
            </w:r>
            <w:r w:rsidRPr="00CA4CF9">
              <w:rPr>
                <w:i w:val="0"/>
              </w:rPr>
              <w:t>ppm = dele pr. million pr. volumen i luften (ml/m</w:t>
            </w:r>
            <w:r w:rsidRPr="00CA4CF9">
              <w:rPr>
                <w:i w:val="0"/>
                <w:vertAlign w:val="superscript"/>
              </w:rPr>
              <w:t>3</w:t>
            </w:r>
            <w:r w:rsidRPr="00CA4CF9">
              <w:rPr>
                <w:i w:val="0"/>
              </w:rPr>
              <w:t>).</w:t>
            </w:r>
          </w:p>
        </w:tc>
      </w:tr>
      <w:tr w:rsidR="009164C8" w:rsidRPr="00CA4CF9" w:rsidTr="0004271C">
        <w:trPr>
          <w:gridAfter w:val="1"/>
          <w:wAfter w:w="39" w:type="dxa"/>
          <w:jc w:val="center"/>
        </w:trPr>
        <w:tc>
          <w:tcPr>
            <w:tcW w:w="9742" w:type="dxa"/>
            <w:gridSpan w:val="12"/>
          </w:tcPr>
          <w:p w:rsidR="006D08C7" w:rsidRPr="00CA4CF9" w:rsidRDefault="00772EA1" w:rsidP="005F4C08">
            <w:pPr>
              <w:pStyle w:val="AmColumnHeading"/>
              <w:keepNext/>
              <w:jc w:val="left"/>
              <w:rPr>
                <w:rFonts w:eastAsia="Arial Unicode MS"/>
                <w:i w:val="0"/>
                <w:szCs w:val="24"/>
              </w:rPr>
            </w:pPr>
            <w:r w:rsidRPr="00CA4CF9">
              <w:rPr>
                <w:i w:val="0"/>
              </w:rPr>
              <w:t>(</w:t>
            </w:r>
            <w:r w:rsidRPr="00CA4CF9">
              <w:rPr>
                <w:i w:val="0"/>
                <w:vertAlign w:val="superscript"/>
              </w:rPr>
              <w:t>7</w:t>
            </w:r>
            <w:r w:rsidRPr="00CA4CF9">
              <w:rPr>
                <w:i w:val="0"/>
              </w:rPr>
              <w:t>)</w:t>
            </w:r>
            <w:r w:rsidR="00CA4CF9" w:rsidRPr="00CA4CF9">
              <w:rPr>
                <w:i w:val="0"/>
              </w:rPr>
              <w:t xml:space="preserve"> </w:t>
            </w:r>
            <w:r w:rsidRPr="00CA4CF9">
              <w:rPr>
                <w:i w:val="0"/>
              </w:rPr>
              <w:t>f/ml = fibre pr. milliliter."</w:t>
            </w:r>
          </w:p>
        </w:tc>
      </w:tr>
      <w:tr w:rsidR="009164C8" w:rsidRPr="00CA4CF9" w:rsidTr="005F4C08">
        <w:trPr>
          <w:jc w:val="center"/>
        </w:trPr>
        <w:tc>
          <w:tcPr>
            <w:tcW w:w="9781" w:type="dxa"/>
            <w:gridSpan w:val="13"/>
          </w:tcPr>
          <w:p w:rsidR="006D08C7" w:rsidRPr="00CA4CF9" w:rsidRDefault="006D08C7" w:rsidP="005F4C08">
            <w:pPr>
              <w:keepNext/>
            </w:pPr>
          </w:p>
        </w:tc>
      </w:tr>
      <w:tr w:rsidR="009164C8" w:rsidRPr="00CA4CF9" w:rsidTr="005F4C08">
        <w:trPr>
          <w:gridAfter w:val="1"/>
          <w:wAfter w:w="39" w:type="dxa"/>
          <w:jc w:val="center"/>
        </w:trPr>
        <w:tc>
          <w:tcPr>
            <w:tcW w:w="9742" w:type="dxa"/>
            <w:gridSpan w:val="12"/>
          </w:tcPr>
          <w:p w:rsidR="006D08C7" w:rsidRPr="00CA4CF9" w:rsidRDefault="00772EA1" w:rsidP="005F4C08">
            <w:pPr>
              <w:pStyle w:val="AmColumnHeading"/>
              <w:keepNext/>
              <w:jc w:val="left"/>
            </w:pPr>
            <w:r w:rsidRPr="00CA4CF9">
              <w:t>Ændringsforslag</w:t>
            </w:r>
          </w:p>
        </w:tc>
      </w:tr>
      <w:tr w:rsidR="009164C8" w:rsidRPr="00CA4CF9" w:rsidTr="005F4C08">
        <w:trPr>
          <w:gridAfter w:val="1"/>
          <w:wAfter w:w="39" w:type="dxa"/>
          <w:jc w:val="center"/>
        </w:trPr>
        <w:tc>
          <w:tcPr>
            <w:tcW w:w="9742" w:type="dxa"/>
            <w:gridSpan w:val="12"/>
          </w:tcPr>
          <w:p w:rsidR="006D08C7" w:rsidRPr="00CA4CF9" w:rsidRDefault="00772EA1" w:rsidP="005F4C08">
            <w:pPr>
              <w:spacing w:before="40" w:after="40"/>
            </w:pPr>
            <w:r w:rsidRPr="00CA4CF9">
              <w:rPr>
                <w:color w:val="000000"/>
              </w:rPr>
              <w:t>1)</w:t>
            </w:r>
            <w:r w:rsidRPr="00CA4CF9">
              <w:rPr>
                <w:color w:val="000000"/>
              </w:rPr>
              <w:tab/>
            </w:r>
            <w:r w:rsidRPr="00CA4CF9">
              <w:t xml:space="preserve">Bilag III, del A, </w:t>
            </w:r>
            <w:r w:rsidRPr="00CA4CF9">
              <w:rPr>
                <w:color w:val="000000"/>
              </w:rPr>
              <w:t>rækken vedrørende uorganisk</w:t>
            </w:r>
            <w:r w:rsidRPr="00CA4CF9">
              <w:rPr>
                <w:color w:val="000000"/>
              </w:rPr>
              <w:t xml:space="preserve"> bly og dets forbindelser, affattes således:</w:t>
            </w:r>
          </w:p>
        </w:tc>
      </w:tr>
      <w:tr w:rsidR="009164C8" w:rsidRPr="00CA4CF9" w:rsidTr="005F4C08">
        <w:trPr>
          <w:gridAfter w:val="1"/>
          <w:wAfter w:w="39" w:type="dxa"/>
          <w:jc w:val="center"/>
        </w:trPr>
        <w:tc>
          <w:tcPr>
            <w:tcW w:w="9742" w:type="dxa"/>
            <w:gridSpan w:val="12"/>
          </w:tcPr>
          <w:p w:rsidR="006D08C7" w:rsidRPr="00CA4CF9" w:rsidRDefault="006D08C7" w:rsidP="005F4C08">
            <w:pPr>
              <w:spacing w:before="40" w:after="40"/>
              <w:rPr>
                <w:bCs/>
                <w:color w:val="000000"/>
                <w:szCs w:val="24"/>
              </w:rPr>
            </w:pPr>
          </w:p>
        </w:tc>
      </w:tr>
      <w:tr w:rsidR="009164C8" w:rsidRPr="00CA4CF9"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CA4CF9" w:rsidRDefault="00772EA1" w:rsidP="005F4C08">
            <w:pPr>
              <w:spacing w:before="60" w:after="60"/>
              <w:ind w:right="195"/>
              <w:jc w:val="center"/>
              <w:rPr>
                <w:bCs/>
                <w:szCs w:val="24"/>
              </w:rPr>
            </w:pPr>
            <w:r w:rsidRPr="00CA4CF9">
              <w:t>"Agensens navn</w:t>
            </w:r>
          </w:p>
        </w:tc>
        <w:tc>
          <w:tcPr>
            <w:tcW w:w="73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CA4CF9" w:rsidRDefault="00772EA1" w:rsidP="005F4C08">
            <w:pPr>
              <w:spacing w:after="60"/>
              <w:jc w:val="center"/>
              <w:rPr>
                <w:bCs/>
                <w:szCs w:val="24"/>
              </w:rPr>
            </w:pPr>
            <w:r w:rsidRPr="00CA4CF9">
              <w:t>EF-nr. (</w:t>
            </w:r>
            <w:r w:rsidRPr="00CA4CF9">
              <w:rPr>
                <w:vertAlign w:val="superscript"/>
              </w:rPr>
              <w:t>1</w:t>
            </w:r>
            <w:r w:rsidRPr="00CA4CF9">
              <w:t xml:space="preserve">) </w:t>
            </w:r>
          </w:p>
        </w:tc>
        <w:tc>
          <w:tcPr>
            <w:tcW w:w="7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CA4CF9" w:rsidRDefault="00772EA1" w:rsidP="005F4C08">
            <w:pPr>
              <w:spacing w:after="60"/>
              <w:jc w:val="center"/>
              <w:rPr>
                <w:bCs/>
                <w:szCs w:val="24"/>
              </w:rPr>
            </w:pPr>
            <w:r w:rsidRPr="00CA4CF9">
              <w:t>CAS-nr. (</w:t>
            </w:r>
            <w:r w:rsidRPr="00CA4CF9">
              <w:rPr>
                <w:vertAlign w:val="superscript"/>
              </w:rPr>
              <w:t>2</w:t>
            </w:r>
            <w:r w:rsidRPr="00CA4CF9">
              <w:t xml:space="preserve">) </w:t>
            </w:r>
          </w:p>
        </w:tc>
        <w:tc>
          <w:tcPr>
            <w:tcW w:w="3757" w:type="dxa"/>
            <w:gridSpan w:val="6"/>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CA4CF9" w:rsidRDefault="00CA4CF9" w:rsidP="005F4C08">
            <w:pPr>
              <w:spacing w:before="60" w:after="60"/>
              <w:ind w:right="195"/>
              <w:jc w:val="center"/>
              <w:rPr>
                <w:bCs/>
                <w:szCs w:val="24"/>
              </w:rPr>
            </w:pPr>
            <w:r w:rsidRPr="00CA4CF9">
              <w:t xml:space="preserve"> </w:t>
            </w:r>
            <w:r w:rsidR="00772EA1" w:rsidRPr="00CA4CF9">
              <w:t>Grænseværdier</w:t>
            </w:r>
          </w:p>
        </w:tc>
        <w:tc>
          <w:tcPr>
            <w:tcW w:w="848"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6D08C7" w:rsidRPr="00CA4CF9" w:rsidRDefault="00772EA1" w:rsidP="005F4C08">
            <w:pPr>
              <w:spacing w:before="60" w:after="60"/>
              <w:ind w:right="195"/>
              <w:jc w:val="center"/>
              <w:rPr>
                <w:bCs/>
                <w:szCs w:val="24"/>
              </w:rPr>
            </w:pPr>
            <w:r w:rsidRPr="00CA4CF9">
              <w:t xml:space="preserve"> Anmærkning</w:t>
            </w:r>
          </w:p>
        </w:tc>
        <w:tc>
          <w:tcPr>
            <w:tcW w:w="1815" w:type="dxa"/>
            <w:gridSpan w:val="2"/>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CA4CF9" w:rsidRDefault="00772EA1" w:rsidP="005F4C08">
            <w:pPr>
              <w:spacing w:before="60" w:after="60"/>
              <w:ind w:right="104"/>
              <w:jc w:val="center"/>
              <w:rPr>
                <w:bCs/>
                <w:szCs w:val="24"/>
              </w:rPr>
            </w:pPr>
            <w:r w:rsidRPr="00CA4CF9">
              <w:t>Overgangsforanstaltninger</w:t>
            </w:r>
          </w:p>
        </w:tc>
      </w:tr>
      <w:tr w:rsidR="009164C8" w:rsidRPr="00CA4CF9"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CA4CF9" w:rsidRDefault="006D08C7" w:rsidP="005F4C08">
            <w:pPr>
              <w:spacing w:before="60" w:after="60"/>
              <w:ind w:right="195"/>
              <w:jc w:val="center"/>
              <w:rPr>
                <w:bCs/>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CA4CF9" w:rsidRDefault="006D08C7" w:rsidP="005F4C08">
            <w:pPr>
              <w:spacing w:before="60" w:after="60"/>
              <w:ind w:right="195"/>
              <w:jc w:val="center"/>
              <w:rPr>
                <w:bCs/>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CA4CF9" w:rsidRDefault="006D08C7" w:rsidP="005F4C08">
            <w:pPr>
              <w:spacing w:before="60" w:after="60"/>
              <w:ind w:right="195"/>
              <w:jc w:val="center"/>
              <w:rPr>
                <w:bCs/>
                <w:szCs w:val="24"/>
              </w:rPr>
            </w:pPr>
          </w:p>
        </w:tc>
        <w:tc>
          <w:tcPr>
            <w:tcW w:w="1911"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CA4CF9" w:rsidRDefault="00772EA1" w:rsidP="005F4C08">
            <w:pPr>
              <w:spacing w:before="60" w:after="60"/>
              <w:ind w:right="195"/>
              <w:jc w:val="center"/>
              <w:rPr>
                <w:bCs/>
                <w:szCs w:val="24"/>
              </w:rPr>
            </w:pPr>
            <w:r w:rsidRPr="00CA4CF9">
              <w:t>8 timer (</w:t>
            </w:r>
            <w:r w:rsidRPr="00CA4CF9">
              <w:rPr>
                <w:vertAlign w:val="superscript"/>
              </w:rPr>
              <w:t>3</w:t>
            </w:r>
            <w:r w:rsidRPr="00CA4CF9">
              <w:t>)</w:t>
            </w:r>
          </w:p>
        </w:tc>
        <w:tc>
          <w:tcPr>
            <w:tcW w:w="1846" w:type="dxa"/>
            <w:gridSpan w:val="3"/>
            <w:tcBorders>
              <w:top w:val="single" w:sz="4" w:space="0" w:color="auto"/>
              <w:left w:val="single" w:sz="4" w:space="0" w:color="auto"/>
              <w:bottom w:val="single" w:sz="4" w:space="0" w:color="auto"/>
              <w:right w:val="single" w:sz="4" w:space="0" w:color="auto"/>
            </w:tcBorders>
          </w:tcPr>
          <w:p w:rsidR="006D08C7" w:rsidRPr="00CA4CF9" w:rsidRDefault="00772EA1" w:rsidP="005F4C08">
            <w:pPr>
              <w:spacing w:before="60" w:after="60"/>
              <w:ind w:right="195"/>
              <w:jc w:val="center"/>
              <w:rPr>
                <w:bCs/>
                <w:szCs w:val="24"/>
              </w:rPr>
            </w:pPr>
            <w:r w:rsidRPr="00CA4CF9">
              <w:t>Kortvarigt (</w:t>
            </w:r>
            <w:r w:rsidRPr="00CA4CF9">
              <w:rPr>
                <w:vertAlign w:val="superscript"/>
              </w:rPr>
              <w:t>4</w:t>
            </w:r>
            <w:r w:rsidRPr="00CA4CF9">
              <w:t>)</w:t>
            </w:r>
          </w:p>
        </w:tc>
        <w:tc>
          <w:tcPr>
            <w:tcW w:w="848" w:type="dxa"/>
            <w:vMerge/>
            <w:tcBorders>
              <w:top w:val="single" w:sz="4" w:space="0" w:color="auto"/>
              <w:left w:val="single" w:sz="4" w:space="0" w:color="auto"/>
              <w:bottom w:val="single" w:sz="4" w:space="0" w:color="auto"/>
              <w:right w:val="single" w:sz="4" w:space="0" w:color="auto"/>
            </w:tcBorders>
          </w:tcPr>
          <w:p w:rsidR="006D08C7" w:rsidRPr="00CA4CF9" w:rsidRDefault="006D08C7" w:rsidP="005F4C08">
            <w:pPr>
              <w:spacing w:before="60" w:after="60"/>
              <w:ind w:right="195"/>
              <w:jc w:val="center"/>
              <w:rPr>
                <w:bCs/>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CA4CF9" w:rsidRDefault="006D08C7" w:rsidP="005F4C08">
            <w:pPr>
              <w:spacing w:before="60" w:after="60"/>
              <w:ind w:right="195"/>
              <w:jc w:val="center"/>
              <w:rPr>
                <w:bCs/>
                <w:szCs w:val="24"/>
              </w:rPr>
            </w:pPr>
          </w:p>
        </w:tc>
      </w:tr>
      <w:tr w:rsidR="009164C8" w:rsidRPr="00CA4CF9"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CA4CF9" w:rsidRDefault="006D08C7" w:rsidP="005F4C08">
            <w:pPr>
              <w:rPr>
                <w:bCs/>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CA4CF9" w:rsidRDefault="006D08C7" w:rsidP="005F4C08">
            <w:pPr>
              <w:rPr>
                <w:bCs/>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CA4CF9" w:rsidRDefault="006D08C7" w:rsidP="005F4C08">
            <w:pPr>
              <w:rPr>
                <w:bCs/>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CA4CF9" w:rsidRDefault="00772EA1" w:rsidP="005F4C08">
            <w:pPr>
              <w:spacing w:before="60" w:after="60"/>
              <w:jc w:val="center"/>
              <w:rPr>
                <w:bCs/>
                <w:szCs w:val="24"/>
                <w:vertAlign w:val="superscript"/>
              </w:rPr>
            </w:pPr>
            <w:r w:rsidRPr="00CA4CF9">
              <w:t>mg/m</w:t>
            </w:r>
            <w:r w:rsidRPr="00CA4CF9">
              <w:rPr>
                <w:vertAlign w:val="superscript"/>
              </w:rPr>
              <w:t xml:space="preserve">3 </w:t>
            </w:r>
            <w:r w:rsidRPr="00CA4CF9">
              <w:t>(</w:t>
            </w:r>
            <w:r w:rsidRPr="00CA4CF9">
              <w:rPr>
                <w:vertAlign w:val="superscript"/>
              </w:rPr>
              <w:t>5</w:t>
            </w:r>
            <w:r w:rsidRPr="00CA4CF9">
              <w:t>)</w:t>
            </w:r>
            <w:r w:rsidR="00CA4CF9" w:rsidRPr="00CA4CF9">
              <w:rPr>
                <w:vertAlign w:val="superscript"/>
              </w:rPr>
              <w:t xml:space="preserve"> </w:t>
            </w:r>
          </w:p>
        </w:tc>
        <w:tc>
          <w:tcPr>
            <w:tcW w:w="463" w:type="dxa"/>
            <w:tcBorders>
              <w:top w:val="single" w:sz="4" w:space="0" w:color="auto"/>
              <w:left w:val="single" w:sz="4" w:space="0" w:color="auto"/>
              <w:bottom w:val="single" w:sz="4" w:space="0" w:color="auto"/>
              <w:right w:val="single" w:sz="4" w:space="0" w:color="auto"/>
            </w:tcBorders>
          </w:tcPr>
          <w:p w:rsidR="006D08C7" w:rsidRPr="00CA4CF9" w:rsidRDefault="00772EA1" w:rsidP="005F4C08">
            <w:pPr>
              <w:spacing w:before="60" w:after="60"/>
              <w:jc w:val="center"/>
              <w:rPr>
                <w:bCs/>
                <w:szCs w:val="24"/>
              </w:rPr>
            </w:pPr>
            <w:r w:rsidRPr="00CA4CF9">
              <w:t>ppm (</w:t>
            </w:r>
            <w:r w:rsidRPr="00CA4CF9">
              <w:rPr>
                <w:vertAlign w:val="superscript"/>
              </w:rPr>
              <w:t>6</w:t>
            </w:r>
            <w:r w:rsidRPr="00CA4CF9">
              <w:t>)</w:t>
            </w:r>
            <w:r w:rsidR="00CA4CF9" w:rsidRPr="00CA4CF9">
              <w:t xml:space="preserve"> </w:t>
            </w:r>
          </w:p>
        </w:tc>
        <w:tc>
          <w:tcPr>
            <w:tcW w:w="564" w:type="dxa"/>
            <w:tcBorders>
              <w:top w:val="single" w:sz="4" w:space="0" w:color="auto"/>
              <w:left w:val="single" w:sz="4" w:space="0" w:color="auto"/>
              <w:bottom w:val="single" w:sz="4" w:space="0" w:color="auto"/>
              <w:right w:val="single" w:sz="4" w:space="0" w:color="auto"/>
            </w:tcBorders>
          </w:tcPr>
          <w:p w:rsidR="006D08C7" w:rsidRPr="00CA4CF9" w:rsidRDefault="00772EA1" w:rsidP="005F4C08">
            <w:pPr>
              <w:spacing w:before="60"/>
              <w:jc w:val="center"/>
              <w:rPr>
                <w:bCs/>
                <w:szCs w:val="24"/>
              </w:rPr>
            </w:pPr>
            <w:r w:rsidRPr="00CA4CF9">
              <w:t>f/ml (</w:t>
            </w:r>
            <w:r w:rsidRPr="00CA4CF9">
              <w:rPr>
                <w:vertAlign w:val="superscript"/>
              </w:rPr>
              <w:t>7</w:t>
            </w:r>
            <w:r w:rsidRPr="00CA4CF9">
              <w:t>)</w:t>
            </w:r>
          </w:p>
        </w:tc>
        <w:tc>
          <w:tcPr>
            <w:tcW w:w="710" w:type="dxa"/>
            <w:tcBorders>
              <w:top w:val="single" w:sz="4" w:space="0" w:color="auto"/>
              <w:left w:val="single" w:sz="4" w:space="0" w:color="auto"/>
              <w:bottom w:val="single" w:sz="4" w:space="0" w:color="auto"/>
              <w:right w:val="single" w:sz="4" w:space="0" w:color="auto"/>
            </w:tcBorders>
          </w:tcPr>
          <w:p w:rsidR="006D08C7" w:rsidRPr="00CA4CF9" w:rsidRDefault="00772EA1" w:rsidP="005F4C08">
            <w:pPr>
              <w:spacing w:before="60" w:after="60"/>
              <w:jc w:val="center"/>
              <w:rPr>
                <w:bCs/>
                <w:szCs w:val="24"/>
              </w:rPr>
            </w:pPr>
            <w:r w:rsidRPr="00CA4CF9">
              <w:t>mg/m</w:t>
            </w:r>
            <w:r w:rsidRPr="00CA4CF9">
              <w:rPr>
                <w:vertAlign w:val="superscript"/>
              </w:rPr>
              <w:t>3</w:t>
            </w: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CA4CF9" w:rsidRDefault="00772EA1" w:rsidP="005F4C08">
            <w:pPr>
              <w:spacing w:before="60" w:after="60"/>
              <w:jc w:val="center"/>
              <w:rPr>
                <w:bCs/>
                <w:szCs w:val="24"/>
              </w:rPr>
            </w:pPr>
            <w:r w:rsidRPr="00CA4CF9">
              <w:t>ppm</w:t>
            </w: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CA4CF9" w:rsidRDefault="00772EA1" w:rsidP="005F4C08">
            <w:pPr>
              <w:spacing w:before="60" w:after="60"/>
              <w:jc w:val="center"/>
              <w:rPr>
                <w:bCs/>
                <w:szCs w:val="24"/>
              </w:rPr>
            </w:pPr>
            <w:r w:rsidRPr="00CA4CF9">
              <w:t>f/ml</w:t>
            </w:r>
          </w:p>
        </w:tc>
        <w:tc>
          <w:tcPr>
            <w:tcW w:w="84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CA4CF9" w:rsidRDefault="006D08C7" w:rsidP="005F4C08">
            <w:pPr>
              <w:rPr>
                <w:bCs/>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CA4CF9" w:rsidRDefault="006D08C7" w:rsidP="005F4C08">
            <w:pPr>
              <w:rPr>
                <w:bCs/>
                <w:szCs w:val="24"/>
              </w:rPr>
            </w:pPr>
          </w:p>
        </w:tc>
      </w:tr>
      <w:tr w:rsidR="009164C8" w:rsidRPr="00CA4CF9"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CA4CF9" w:rsidRDefault="00772EA1" w:rsidP="005F4C08">
            <w:pPr>
              <w:rPr>
                <w:szCs w:val="24"/>
              </w:rPr>
            </w:pPr>
            <w:r w:rsidRPr="00CA4CF9">
              <w:t xml:space="preserve">Uorganisk bly og </w:t>
            </w:r>
            <w:r w:rsidRPr="00CA4CF9">
              <w:t>dets forbindelser</w:t>
            </w:r>
          </w:p>
        </w:tc>
        <w:tc>
          <w:tcPr>
            <w:tcW w:w="73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CA4CF9" w:rsidRDefault="006D08C7" w:rsidP="005F4C08">
            <w:pPr>
              <w:spacing w:before="40" w:after="40"/>
              <w:rPr>
                <w:szCs w:val="24"/>
              </w:rPr>
            </w:pPr>
          </w:p>
        </w:tc>
        <w:tc>
          <w:tcPr>
            <w:tcW w:w="702"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CA4CF9" w:rsidRDefault="006D08C7" w:rsidP="005F4C08">
            <w:pPr>
              <w:spacing w:before="40" w:after="40"/>
              <w:ind w:right="195"/>
              <w:rPr>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CA4CF9" w:rsidRDefault="00772EA1" w:rsidP="005F4C08">
            <w:pPr>
              <w:spacing w:before="40" w:after="40"/>
              <w:ind w:right="195"/>
              <w:rPr>
                <w:b/>
                <w:i/>
                <w:szCs w:val="24"/>
              </w:rPr>
            </w:pPr>
            <w:r w:rsidRPr="00CA4CF9">
              <w:rPr>
                <w:b/>
                <w:i/>
              </w:rPr>
              <w:t>0,004</w:t>
            </w:r>
          </w:p>
        </w:tc>
        <w:tc>
          <w:tcPr>
            <w:tcW w:w="463"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CA4CF9" w:rsidRDefault="006D08C7" w:rsidP="005F4C08">
            <w:pPr>
              <w:spacing w:before="40" w:after="40"/>
              <w:rPr>
                <w:szCs w:val="24"/>
              </w:rPr>
            </w:pPr>
          </w:p>
        </w:tc>
        <w:tc>
          <w:tcPr>
            <w:tcW w:w="564"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CA4CF9" w:rsidRDefault="006D08C7" w:rsidP="005F4C08">
            <w:pPr>
              <w:spacing w:before="40" w:after="40"/>
              <w:rPr>
                <w:szCs w:val="24"/>
              </w:rPr>
            </w:pPr>
          </w:p>
        </w:tc>
        <w:tc>
          <w:tcPr>
            <w:tcW w:w="710"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CA4CF9" w:rsidRDefault="006D08C7" w:rsidP="005F4C08">
            <w:pPr>
              <w:spacing w:before="40" w:after="40"/>
              <w:rPr>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CA4CF9" w:rsidRDefault="006D08C7" w:rsidP="005F4C08">
            <w:pPr>
              <w:spacing w:before="40" w:after="40"/>
              <w:rPr>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CA4CF9" w:rsidRDefault="006D08C7" w:rsidP="005F4C08">
            <w:pPr>
              <w:spacing w:before="40" w:after="40"/>
              <w:rPr>
                <w:szCs w:val="24"/>
              </w:rPr>
            </w:pPr>
          </w:p>
        </w:tc>
        <w:tc>
          <w:tcPr>
            <w:tcW w:w="84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CA4CF9" w:rsidRDefault="006D08C7" w:rsidP="005F4C08">
            <w:pPr>
              <w:spacing w:before="40" w:after="40"/>
              <w:rPr>
                <w:szCs w:val="24"/>
              </w:rPr>
            </w:pPr>
          </w:p>
        </w:tc>
        <w:tc>
          <w:tcPr>
            <w:tcW w:w="181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CA4CF9" w:rsidRDefault="006D08C7" w:rsidP="005F4C08">
            <w:pPr>
              <w:spacing w:before="40" w:after="40"/>
              <w:rPr>
                <w:szCs w:val="24"/>
              </w:rPr>
            </w:pPr>
          </w:p>
        </w:tc>
      </w:tr>
      <w:tr w:rsidR="009164C8" w:rsidRPr="00CA4CF9" w:rsidTr="0004271C">
        <w:trPr>
          <w:gridAfter w:val="1"/>
          <w:wAfter w:w="39" w:type="dxa"/>
          <w:jc w:val="center"/>
        </w:trPr>
        <w:tc>
          <w:tcPr>
            <w:tcW w:w="9742" w:type="dxa"/>
            <w:gridSpan w:val="12"/>
          </w:tcPr>
          <w:p w:rsidR="006D08C7" w:rsidRPr="00CA4CF9" w:rsidRDefault="00772EA1" w:rsidP="005F4C08">
            <w:pPr>
              <w:pStyle w:val="AmColumnHeading"/>
              <w:keepNext/>
              <w:jc w:val="left"/>
              <w:rPr>
                <w:i w:val="0"/>
              </w:rPr>
            </w:pPr>
            <w:r w:rsidRPr="00CA4CF9">
              <w:rPr>
                <w:i w:val="0"/>
              </w:rPr>
              <w:t>(</w:t>
            </w:r>
            <w:r w:rsidRPr="00CA4CF9">
              <w:rPr>
                <w:i w:val="0"/>
                <w:vertAlign w:val="superscript"/>
              </w:rPr>
              <w:t>1</w:t>
            </w:r>
            <w:r w:rsidRPr="00CA4CF9">
              <w:rPr>
                <w:i w:val="0"/>
              </w:rPr>
              <w:t>)</w:t>
            </w:r>
            <w:r w:rsidR="00CA4CF9" w:rsidRPr="00CA4CF9">
              <w:rPr>
                <w:i w:val="0"/>
              </w:rPr>
              <w:t xml:space="preserve"> </w:t>
            </w:r>
            <w:r w:rsidRPr="00CA4CF9">
              <w:rPr>
                <w:i w:val="0"/>
              </w:rPr>
              <w:t>EF-nr., dvs. Einecs-, ELINCS- eller NLP-nummer, er det officielle nummer på stoffet i Den Europæiske Union som defineret i del 1, punkt 1.1.1.2, i bilag VI til forordning (EF) nr. 1272/2008.</w:t>
            </w:r>
          </w:p>
        </w:tc>
      </w:tr>
      <w:tr w:rsidR="009164C8" w:rsidRPr="00CA4CF9" w:rsidTr="0004271C">
        <w:trPr>
          <w:gridAfter w:val="1"/>
          <w:wAfter w:w="39" w:type="dxa"/>
          <w:jc w:val="center"/>
        </w:trPr>
        <w:tc>
          <w:tcPr>
            <w:tcW w:w="9742" w:type="dxa"/>
            <w:gridSpan w:val="12"/>
          </w:tcPr>
          <w:p w:rsidR="006D08C7" w:rsidRPr="00CA4CF9" w:rsidRDefault="00772EA1" w:rsidP="005F4C08">
            <w:pPr>
              <w:pStyle w:val="AmColumnHeading"/>
              <w:keepNext/>
              <w:jc w:val="left"/>
              <w:rPr>
                <w:rFonts w:eastAsia="Arial Unicode MS"/>
                <w:i w:val="0"/>
                <w:szCs w:val="24"/>
              </w:rPr>
            </w:pPr>
            <w:r w:rsidRPr="00CA4CF9">
              <w:rPr>
                <w:i w:val="0"/>
              </w:rPr>
              <w:t>(</w:t>
            </w:r>
            <w:r w:rsidRPr="00CA4CF9">
              <w:rPr>
                <w:i w:val="0"/>
                <w:vertAlign w:val="superscript"/>
              </w:rPr>
              <w:t>2</w:t>
            </w:r>
            <w:r w:rsidRPr="00CA4CF9">
              <w:rPr>
                <w:i w:val="0"/>
              </w:rPr>
              <w:t>)</w:t>
            </w:r>
            <w:r w:rsidR="00CA4CF9" w:rsidRPr="00CA4CF9">
              <w:rPr>
                <w:i w:val="0"/>
              </w:rPr>
              <w:t xml:space="preserve"> </w:t>
            </w:r>
            <w:r w:rsidRPr="00CA4CF9">
              <w:rPr>
                <w:i w:val="0"/>
              </w:rPr>
              <w:t xml:space="preserve">CAS-nr.: </w:t>
            </w:r>
            <w:r w:rsidRPr="00CA4CF9">
              <w:rPr>
                <w:i w:val="0"/>
              </w:rPr>
              <w:t>Chemical Abstracts Service-registreringsnummer.</w:t>
            </w:r>
          </w:p>
        </w:tc>
      </w:tr>
      <w:tr w:rsidR="009164C8" w:rsidRPr="00CA4CF9" w:rsidTr="0004271C">
        <w:trPr>
          <w:gridAfter w:val="1"/>
          <w:wAfter w:w="39" w:type="dxa"/>
          <w:jc w:val="center"/>
        </w:trPr>
        <w:tc>
          <w:tcPr>
            <w:tcW w:w="9742" w:type="dxa"/>
            <w:gridSpan w:val="12"/>
          </w:tcPr>
          <w:p w:rsidR="006D08C7" w:rsidRPr="00CA4CF9" w:rsidRDefault="00772EA1" w:rsidP="005F4C08">
            <w:pPr>
              <w:pStyle w:val="AmColumnHeading"/>
              <w:keepNext/>
              <w:jc w:val="left"/>
              <w:rPr>
                <w:rFonts w:eastAsia="Arial Unicode MS"/>
                <w:i w:val="0"/>
                <w:szCs w:val="24"/>
              </w:rPr>
            </w:pPr>
            <w:r w:rsidRPr="00CA4CF9">
              <w:rPr>
                <w:i w:val="0"/>
              </w:rPr>
              <w:t>(</w:t>
            </w:r>
            <w:r w:rsidRPr="00CA4CF9">
              <w:rPr>
                <w:i w:val="0"/>
                <w:vertAlign w:val="superscript"/>
              </w:rPr>
              <w:t>3</w:t>
            </w:r>
            <w:r w:rsidRPr="00CA4CF9">
              <w:rPr>
                <w:i w:val="0"/>
              </w:rPr>
              <w:t>)</w:t>
            </w:r>
            <w:r w:rsidR="00CA4CF9" w:rsidRPr="00CA4CF9">
              <w:rPr>
                <w:i w:val="0"/>
              </w:rPr>
              <w:t xml:space="preserve"> </w:t>
            </w:r>
            <w:r w:rsidRPr="00CA4CF9">
              <w:rPr>
                <w:i w:val="0"/>
              </w:rPr>
              <w:t>Målt eller beregnet i forhold til en referenceperiode på et tidsvægtet gennemsnit på otte timer.</w:t>
            </w:r>
          </w:p>
        </w:tc>
      </w:tr>
      <w:tr w:rsidR="009164C8" w:rsidRPr="00CA4CF9" w:rsidTr="0004271C">
        <w:trPr>
          <w:gridAfter w:val="1"/>
          <w:wAfter w:w="39" w:type="dxa"/>
          <w:jc w:val="center"/>
        </w:trPr>
        <w:tc>
          <w:tcPr>
            <w:tcW w:w="9742" w:type="dxa"/>
            <w:gridSpan w:val="12"/>
          </w:tcPr>
          <w:p w:rsidR="006D08C7" w:rsidRPr="00CA4CF9" w:rsidRDefault="00772EA1" w:rsidP="005F4C08">
            <w:pPr>
              <w:pStyle w:val="AmColumnHeading"/>
              <w:keepNext/>
              <w:jc w:val="left"/>
              <w:rPr>
                <w:rFonts w:eastAsia="Arial Unicode MS"/>
                <w:i w:val="0"/>
                <w:szCs w:val="24"/>
              </w:rPr>
            </w:pPr>
            <w:r w:rsidRPr="00CA4CF9">
              <w:rPr>
                <w:i w:val="0"/>
              </w:rPr>
              <w:t>(</w:t>
            </w:r>
            <w:r w:rsidRPr="00CA4CF9">
              <w:rPr>
                <w:i w:val="0"/>
                <w:vertAlign w:val="superscript"/>
              </w:rPr>
              <w:t>4</w:t>
            </w:r>
            <w:r w:rsidRPr="00CA4CF9">
              <w:rPr>
                <w:i w:val="0"/>
              </w:rPr>
              <w:t>)</w:t>
            </w:r>
            <w:r w:rsidR="00CA4CF9" w:rsidRPr="00CA4CF9">
              <w:rPr>
                <w:i w:val="0"/>
              </w:rPr>
              <w:t xml:space="preserve"> </w:t>
            </w:r>
            <w:r w:rsidRPr="00CA4CF9">
              <w:rPr>
                <w:i w:val="0"/>
              </w:rPr>
              <w:t xml:space="preserve">Grænseværdi for kortvarig eksponering (STEL). En grænseværdi, som eksponeringen ikke bør </w:t>
            </w:r>
            <w:r w:rsidRPr="00CA4CF9">
              <w:rPr>
                <w:i w:val="0"/>
              </w:rPr>
              <w:t>overskride, og som er baseret på en 15-minutters periode, medmindre andet er anført.</w:t>
            </w:r>
          </w:p>
        </w:tc>
      </w:tr>
      <w:tr w:rsidR="009164C8" w:rsidRPr="00CA4CF9" w:rsidTr="0004271C">
        <w:trPr>
          <w:gridAfter w:val="1"/>
          <w:wAfter w:w="39" w:type="dxa"/>
          <w:jc w:val="center"/>
        </w:trPr>
        <w:tc>
          <w:tcPr>
            <w:tcW w:w="9742" w:type="dxa"/>
            <w:gridSpan w:val="12"/>
          </w:tcPr>
          <w:p w:rsidR="006D08C7" w:rsidRPr="00CA4CF9" w:rsidRDefault="00772EA1" w:rsidP="005F4C08">
            <w:pPr>
              <w:pStyle w:val="AmColumnHeading"/>
              <w:keepNext/>
              <w:jc w:val="left"/>
              <w:rPr>
                <w:rFonts w:eastAsia="Arial Unicode MS"/>
                <w:i w:val="0"/>
                <w:szCs w:val="24"/>
              </w:rPr>
            </w:pPr>
            <w:r w:rsidRPr="00CA4CF9">
              <w:rPr>
                <w:i w:val="0"/>
              </w:rPr>
              <w:t>(</w:t>
            </w:r>
            <w:r w:rsidRPr="00CA4CF9">
              <w:rPr>
                <w:i w:val="0"/>
                <w:vertAlign w:val="superscript"/>
              </w:rPr>
              <w:t>5</w:t>
            </w:r>
            <w:r w:rsidRPr="00CA4CF9">
              <w:rPr>
                <w:i w:val="0"/>
              </w:rPr>
              <w:t>)</w:t>
            </w:r>
            <w:r w:rsidR="00CA4CF9" w:rsidRPr="00CA4CF9">
              <w:rPr>
                <w:i w:val="0"/>
              </w:rPr>
              <w:t xml:space="preserve"> </w:t>
            </w:r>
            <w:r w:rsidRPr="00CA4CF9">
              <w:rPr>
                <w:i w:val="0"/>
              </w:rPr>
              <w:t>mg/m</w:t>
            </w:r>
            <w:r w:rsidRPr="00CA4CF9">
              <w:rPr>
                <w:i w:val="0"/>
                <w:vertAlign w:val="superscript"/>
              </w:rPr>
              <w:t>3</w:t>
            </w:r>
            <w:r w:rsidRPr="00CA4CF9">
              <w:rPr>
                <w:i w:val="0"/>
              </w:rPr>
              <w:t xml:space="preserve"> = milligram pr. kubikmeter luft ved 20 °C og 101,3 kPa (760 mm kviksølv).</w:t>
            </w:r>
          </w:p>
        </w:tc>
      </w:tr>
      <w:tr w:rsidR="009164C8" w:rsidRPr="00CA4CF9" w:rsidTr="0004271C">
        <w:trPr>
          <w:gridAfter w:val="1"/>
          <w:wAfter w:w="39" w:type="dxa"/>
          <w:jc w:val="center"/>
        </w:trPr>
        <w:tc>
          <w:tcPr>
            <w:tcW w:w="9742" w:type="dxa"/>
            <w:gridSpan w:val="12"/>
          </w:tcPr>
          <w:p w:rsidR="006D08C7" w:rsidRPr="00CA4CF9" w:rsidRDefault="00772EA1" w:rsidP="005F4C08">
            <w:pPr>
              <w:pStyle w:val="AmColumnHeading"/>
              <w:keepNext/>
              <w:jc w:val="left"/>
              <w:rPr>
                <w:rFonts w:eastAsia="Arial Unicode MS"/>
                <w:i w:val="0"/>
                <w:szCs w:val="24"/>
              </w:rPr>
            </w:pPr>
            <w:r w:rsidRPr="00CA4CF9">
              <w:rPr>
                <w:i w:val="0"/>
              </w:rPr>
              <w:t>(</w:t>
            </w:r>
            <w:r w:rsidRPr="00CA4CF9">
              <w:rPr>
                <w:i w:val="0"/>
                <w:vertAlign w:val="superscript"/>
              </w:rPr>
              <w:t>6</w:t>
            </w:r>
            <w:r w:rsidRPr="00CA4CF9">
              <w:rPr>
                <w:i w:val="0"/>
              </w:rPr>
              <w:t>)</w:t>
            </w:r>
            <w:r w:rsidR="00CA4CF9" w:rsidRPr="00CA4CF9">
              <w:rPr>
                <w:i w:val="0"/>
              </w:rPr>
              <w:t xml:space="preserve"> </w:t>
            </w:r>
            <w:r w:rsidRPr="00CA4CF9">
              <w:rPr>
                <w:i w:val="0"/>
              </w:rPr>
              <w:t>ppm = dele pr. million pr. volumen i luften (ml/m</w:t>
            </w:r>
            <w:r w:rsidRPr="00CA4CF9">
              <w:rPr>
                <w:i w:val="0"/>
                <w:vertAlign w:val="superscript"/>
              </w:rPr>
              <w:t>3</w:t>
            </w:r>
            <w:r w:rsidRPr="00CA4CF9">
              <w:rPr>
                <w:i w:val="0"/>
              </w:rPr>
              <w:t>).</w:t>
            </w:r>
          </w:p>
        </w:tc>
      </w:tr>
      <w:tr w:rsidR="009164C8" w:rsidRPr="00CA4CF9" w:rsidTr="0004271C">
        <w:trPr>
          <w:gridAfter w:val="1"/>
          <w:wAfter w:w="39" w:type="dxa"/>
          <w:jc w:val="center"/>
        </w:trPr>
        <w:tc>
          <w:tcPr>
            <w:tcW w:w="9742" w:type="dxa"/>
            <w:gridSpan w:val="12"/>
          </w:tcPr>
          <w:p w:rsidR="006D08C7" w:rsidRPr="00CA4CF9" w:rsidRDefault="00772EA1" w:rsidP="005F4C08">
            <w:pPr>
              <w:pStyle w:val="AmColumnHeading"/>
              <w:keepNext/>
              <w:jc w:val="left"/>
              <w:rPr>
                <w:rFonts w:eastAsia="Arial Unicode MS"/>
                <w:i w:val="0"/>
                <w:szCs w:val="24"/>
              </w:rPr>
            </w:pPr>
            <w:r w:rsidRPr="00CA4CF9">
              <w:rPr>
                <w:i w:val="0"/>
              </w:rPr>
              <w:t>(</w:t>
            </w:r>
            <w:r w:rsidRPr="00CA4CF9">
              <w:rPr>
                <w:i w:val="0"/>
                <w:vertAlign w:val="superscript"/>
              </w:rPr>
              <w:t>7</w:t>
            </w:r>
            <w:r w:rsidRPr="00CA4CF9">
              <w:rPr>
                <w:i w:val="0"/>
              </w:rPr>
              <w:t>)</w:t>
            </w:r>
            <w:r w:rsidR="00CA4CF9" w:rsidRPr="00CA4CF9">
              <w:rPr>
                <w:i w:val="0"/>
              </w:rPr>
              <w:t xml:space="preserve"> </w:t>
            </w:r>
            <w:r w:rsidRPr="00CA4CF9">
              <w:rPr>
                <w:i w:val="0"/>
              </w:rPr>
              <w:t>f/ml = fibre p</w:t>
            </w:r>
            <w:r w:rsidRPr="00CA4CF9">
              <w:rPr>
                <w:i w:val="0"/>
              </w:rPr>
              <w:t>r. milliliter."</w:t>
            </w:r>
          </w:p>
        </w:tc>
      </w:tr>
    </w:tbl>
    <w:p w:rsidR="006D08C7" w:rsidRPr="00CA4CF9" w:rsidRDefault="00772EA1" w:rsidP="006D08C7">
      <w:pPr>
        <w:pStyle w:val="AmOrLang"/>
      </w:pPr>
      <w:r w:rsidRPr="00CA4CF9">
        <w:t xml:space="preserve">Or. </w:t>
      </w:r>
      <w:r w:rsidRPr="00CA4CF9">
        <w:rPr>
          <w:rStyle w:val="HideTWBExt"/>
          <w:rFonts w:eastAsiaTheme="majorEastAsia"/>
          <w:noProof w:val="0"/>
        </w:rPr>
        <w:t>&lt;Original&gt;</w:t>
      </w:r>
      <w:r w:rsidRPr="00CA4CF9">
        <w:rPr>
          <w:rStyle w:val="HideTWBInt"/>
        </w:rPr>
        <w:t>{EN}</w:t>
      </w:r>
      <w:r w:rsidRPr="00CA4CF9">
        <w:t>en</w:t>
      </w:r>
      <w:r w:rsidRPr="00CA4CF9">
        <w:rPr>
          <w:rStyle w:val="HideTWBExt"/>
          <w:rFonts w:eastAsiaTheme="majorEastAsia"/>
          <w:noProof w:val="0"/>
        </w:rPr>
        <w:t>&lt;/Original&gt;</w:t>
      </w:r>
    </w:p>
    <w:p w:rsidR="006D08C7" w:rsidRPr="00CA4CF9" w:rsidRDefault="00772EA1" w:rsidP="006D08C7">
      <w:r w:rsidRPr="00CA4CF9">
        <w:rPr>
          <w:rStyle w:val="HideTWBExt"/>
          <w:noProof w:val="0"/>
        </w:rPr>
        <w:t>&lt;/Amend&gt;</w:t>
      </w:r>
    </w:p>
    <w:p w:rsidR="00AE14C6" w:rsidRPr="00CA4CF9" w:rsidRDefault="00772EA1" w:rsidP="00AE14C6">
      <w:pPr>
        <w:pStyle w:val="AmNumberTabs"/>
        <w:keepNext/>
      </w:pPr>
      <w:r w:rsidRPr="00CA4CF9">
        <w:rPr>
          <w:rStyle w:val="HideTWBExt"/>
          <w:b w:val="0"/>
          <w:noProof w:val="0"/>
        </w:rPr>
        <w:t>&lt;Amend&gt;</w:t>
      </w:r>
      <w:r w:rsidRPr="00CA4CF9">
        <w:t>Ændringsforslag</w:t>
      </w:r>
      <w:r w:rsidRPr="00CA4CF9">
        <w:tab/>
      </w:r>
      <w:r w:rsidRPr="00CA4CF9">
        <w:tab/>
      </w:r>
      <w:r w:rsidRPr="00CA4CF9">
        <w:rPr>
          <w:rStyle w:val="HideTWBExt"/>
          <w:b w:val="0"/>
          <w:noProof w:val="0"/>
        </w:rPr>
        <w:t>&lt;NumAm&gt;</w:t>
      </w:r>
      <w:r w:rsidRPr="00CA4CF9">
        <w:t>34</w:t>
      </w:r>
      <w:r w:rsidRPr="00CA4CF9">
        <w:rPr>
          <w:rStyle w:val="HideTWBExt"/>
          <w:b w:val="0"/>
          <w:noProof w:val="0"/>
        </w:rPr>
        <w:t>&lt;/NumAm&gt;</w:t>
      </w:r>
    </w:p>
    <w:p w:rsidR="00AE14C6" w:rsidRPr="00CA4CF9" w:rsidRDefault="00772EA1" w:rsidP="00AE14C6">
      <w:pPr>
        <w:pStyle w:val="NormalBold12b"/>
        <w:keepNext/>
      </w:pPr>
      <w:r w:rsidRPr="00CA4CF9">
        <w:rPr>
          <w:rStyle w:val="HideTWBExt"/>
          <w:b w:val="0"/>
          <w:noProof w:val="0"/>
        </w:rPr>
        <w:t>&lt;DocAmend&gt;</w:t>
      </w:r>
      <w:r w:rsidRPr="00CA4CF9">
        <w:t>Forslag til direktiv</w:t>
      </w:r>
      <w:r w:rsidRPr="00CA4CF9">
        <w:rPr>
          <w:rStyle w:val="HideTWBExt"/>
          <w:b w:val="0"/>
          <w:noProof w:val="0"/>
        </w:rPr>
        <w:t>&lt;/DocAmend&gt;</w:t>
      </w:r>
    </w:p>
    <w:p w:rsidR="00AE14C6" w:rsidRPr="00CA4CF9" w:rsidRDefault="00772EA1" w:rsidP="00AE14C6">
      <w:pPr>
        <w:pStyle w:val="NormalBold"/>
        <w:keepNext/>
      </w:pPr>
      <w:r w:rsidRPr="00CA4CF9">
        <w:rPr>
          <w:rStyle w:val="HideTWBExt"/>
          <w:b w:val="0"/>
          <w:noProof w:val="0"/>
        </w:rPr>
        <w:t>&lt;Article&gt;</w:t>
      </w:r>
      <w:r w:rsidRPr="00CA4CF9">
        <w:t>Bilag II – punkt 2</w:t>
      </w:r>
      <w:r w:rsidRPr="00CA4CF9">
        <w:rPr>
          <w:rStyle w:val="HideTWBExt"/>
          <w:b w:val="0"/>
          <w:noProof w:val="0"/>
        </w:rPr>
        <w:t>&lt;/Article&gt;</w:t>
      </w:r>
    </w:p>
    <w:p w:rsidR="00AE14C6" w:rsidRPr="00CA4CF9" w:rsidRDefault="00772EA1" w:rsidP="00AE14C6">
      <w:pPr>
        <w:keepNext/>
      </w:pPr>
      <w:r w:rsidRPr="00CA4CF9">
        <w:rPr>
          <w:rStyle w:val="HideTWBExt"/>
          <w:noProof w:val="0"/>
        </w:rPr>
        <w:t>&lt;DocAmend2&gt;</w:t>
      </w:r>
      <w:r w:rsidRPr="00CA4CF9">
        <w:t>Direktiv 2004/37/EF</w:t>
      </w:r>
      <w:r w:rsidRPr="00CA4CF9">
        <w:rPr>
          <w:rStyle w:val="HideTWBExt"/>
          <w:noProof w:val="0"/>
        </w:rPr>
        <w:t>&lt;/DocAmend2&gt;</w:t>
      </w:r>
    </w:p>
    <w:p w:rsidR="00AE14C6" w:rsidRPr="00CA4CF9" w:rsidRDefault="00772EA1" w:rsidP="00AE14C6">
      <w:r w:rsidRPr="00CA4CF9">
        <w:rPr>
          <w:rStyle w:val="HideTWBExt"/>
          <w:noProof w:val="0"/>
        </w:rPr>
        <w:t>&lt;Article2&gt;</w:t>
      </w:r>
      <w:r w:rsidRPr="00CA4CF9">
        <w:t>Bilag IIIa</w:t>
      </w:r>
      <w:r w:rsidRPr="00CA4CF9">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64C8" w:rsidRPr="00CA4CF9" w:rsidTr="005F4C08">
        <w:trPr>
          <w:jc w:val="center"/>
        </w:trPr>
        <w:tc>
          <w:tcPr>
            <w:tcW w:w="9752" w:type="dxa"/>
            <w:gridSpan w:val="2"/>
          </w:tcPr>
          <w:p w:rsidR="00AE14C6" w:rsidRPr="00CA4CF9" w:rsidRDefault="00AE14C6" w:rsidP="005F4C08">
            <w:pPr>
              <w:keepNext/>
            </w:pPr>
          </w:p>
        </w:tc>
      </w:tr>
      <w:tr w:rsidR="009164C8" w:rsidRPr="00CA4CF9" w:rsidTr="005F4C08">
        <w:trPr>
          <w:jc w:val="center"/>
        </w:trPr>
        <w:tc>
          <w:tcPr>
            <w:tcW w:w="4876" w:type="dxa"/>
          </w:tcPr>
          <w:p w:rsidR="00AE14C6" w:rsidRPr="00CA4CF9" w:rsidRDefault="00772EA1" w:rsidP="005F4C08">
            <w:pPr>
              <w:pStyle w:val="AmColumnHeading"/>
              <w:keepNext/>
            </w:pPr>
            <w:r w:rsidRPr="00CA4CF9">
              <w:t>Kommissionens forslag</w:t>
            </w:r>
          </w:p>
        </w:tc>
        <w:tc>
          <w:tcPr>
            <w:tcW w:w="4876" w:type="dxa"/>
          </w:tcPr>
          <w:p w:rsidR="00AE14C6" w:rsidRPr="00CA4CF9" w:rsidRDefault="00772EA1" w:rsidP="005F4C08">
            <w:pPr>
              <w:pStyle w:val="AmColumnHeading"/>
              <w:keepNext/>
            </w:pPr>
            <w:r w:rsidRPr="00CA4CF9">
              <w:t>Ændringsforslag</w:t>
            </w:r>
          </w:p>
        </w:tc>
      </w:tr>
      <w:tr w:rsidR="009164C8" w:rsidRPr="00CA4CF9" w:rsidTr="005F4C08">
        <w:trPr>
          <w:jc w:val="center"/>
        </w:trPr>
        <w:tc>
          <w:tcPr>
            <w:tcW w:w="4876" w:type="dxa"/>
          </w:tcPr>
          <w:p w:rsidR="00AE14C6" w:rsidRPr="00CA4CF9" w:rsidRDefault="00772EA1" w:rsidP="00AE14C6">
            <w:pPr>
              <w:pStyle w:val="Normal6a"/>
            </w:pPr>
            <w:r w:rsidRPr="00CA4CF9">
              <w:t>2)</w:t>
            </w:r>
            <w:r w:rsidRPr="00CA4CF9">
              <w:tab/>
              <w:t>Bilag IIIa affattes således:</w:t>
            </w:r>
          </w:p>
        </w:tc>
        <w:tc>
          <w:tcPr>
            <w:tcW w:w="4876" w:type="dxa"/>
          </w:tcPr>
          <w:p w:rsidR="00AE14C6" w:rsidRPr="00CA4CF9" w:rsidRDefault="00772EA1" w:rsidP="00AE14C6">
            <w:pPr>
              <w:pStyle w:val="Normal6a"/>
            </w:pPr>
            <w:r w:rsidRPr="00CA4CF9">
              <w:t>2)</w:t>
            </w:r>
            <w:r w:rsidRPr="00CA4CF9">
              <w:tab/>
              <w:t>Bilag IIIa affattes således:</w:t>
            </w:r>
          </w:p>
        </w:tc>
      </w:tr>
      <w:tr w:rsidR="009164C8" w:rsidRPr="00CA4CF9" w:rsidTr="005F4C08">
        <w:trPr>
          <w:jc w:val="center"/>
        </w:trPr>
        <w:tc>
          <w:tcPr>
            <w:tcW w:w="4876" w:type="dxa"/>
          </w:tcPr>
          <w:p w:rsidR="002719EB" w:rsidRPr="00CA4CF9" w:rsidRDefault="00772EA1" w:rsidP="002719EB">
            <w:pPr>
              <w:pStyle w:val="Normal6a"/>
            </w:pPr>
            <w:r w:rsidRPr="00CA4CF9">
              <w:t>Bly og dets ionforbindelser</w:t>
            </w:r>
          </w:p>
        </w:tc>
        <w:tc>
          <w:tcPr>
            <w:tcW w:w="4876" w:type="dxa"/>
          </w:tcPr>
          <w:p w:rsidR="002719EB" w:rsidRPr="00CA4CF9" w:rsidRDefault="00772EA1" w:rsidP="002719EB">
            <w:pPr>
              <w:pStyle w:val="Normal6a"/>
            </w:pPr>
            <w:r w:rsidRPr="00CA4CF9">
              <w:t>Bly og dets ionforbindelser</w:t>
            </w:r>
          </w:p>
        </w:tc>
      </w:tr>
      <w:tr w:rsidR="009164C8" w:rsidRPr="00CA4CF9" w:rsidTr="005F4C08">
        <w:trPr>
          <w:jc w:val="center"/>
        </w:trPr>
        <w:tc>
          <w:tcPr>
            <w:tcW w:w="4876" w:type="dxa"/>
          </w:tcPr>
          <w:p w:rsidR="002719EB" w:rsidRPr="00CA4CF9" w:rsidRDefault="00772EA1" w:rsidP="002719EB">
            <w:pPr>
              <w:pStyle w:val="Normal6a"/>
            </w:pPr>
            <w:r w:rsidRPr="00CA4CF9">
              <w:t>Biomonitering skal omfatte måling af blyindholdet i blodet (PbB) under anvendelse af absorptio</w:t>
            </w:r>
            <w:r w:rsidRPr="00CA4CF9">
              <w:t>nsspektometri eller en metode, der giver tilsvarende resultater. Den bindende biologiske grænseværdi er:</w:t>
            </w:r>
          </w:p>
        </w:tc>
        <w:tc>
          <w:tcPr>
            <w:tcW w:w="4876" w:type="dxa"/>
          </w:tcPr>
          <w:p w:rsidR="002719EB" w:rsidRPr="00CA4CF9" w:rsidRDefault="00772EA1" w:rsidP="002719EB">
            <w:pPr>
              <w:pStyle w:val="Normal6a"/>
            </w:pPr>
            <w:r w:rsidRPr="00CA4CF9">
              <w:t>Biomonitering skal omfatte måling af blyindholdet i blodet (PbB) under anvendelse af absorptionsspektometri eller en metode, der giver tilsvarende resu</w:t>
            </w:r>
            <w:r w:rsidRPr="00CA4CF9">
              <w:t>ltater. Den bindende biologiske grænseværdi er:</w:t>
            </w:r>
          </w:p>
        </w:tc>
      </w:tr>
      <w:tr w:rsidR="009164C8" w:rsidRPr="00CA4CF9" w:rsidTr="005F4C08">
        <w:trPr>
          <w:jc w:val="center"/>
        </w:trPr>
        <w:tc>
          <w:tcPr>
            <w:tcW w:w="4876" w:type="dxa"/>
          </w:tcPr>
          <w:p w:rsidR="002719EB" w:rsidRPr="00CA4CF9" w:rsidRDefault="00772EA1" w:rsidP="002719EB">
            <w:pPr>
              <w:pStyle w:val="Normal6a"/>
            </w:pPr>
            <w:r w:rsidRPr="00CA4CF9">
              <w:rPr>
                <w:b/>
                <w:i/>
              </w:rPr>
              <w:t>15</w:t>
            </w:r>
            <w:r w:rsidRPr="00CA4CF9">
              <w:t xml:space="preserve"> μg Pb/100 ml blod(</w:t>
            </w:r>
            <w:r w:rsidRPr="00CA4CF9">
              <w:rPr>
                <w:vertAlign w:val="superscript"/>
              </w:rPr>
              <w:t>1</w:t>
            </w:r>
            <w:r w:rsidRPr="00CA4CF9">
              <w:t>)</w:t>
            </w:r>
          </w:p>
        </w:tc>
        <w:tc>
          <w:tcPr>
            <w:tcW w:w="4876" w:type="dxa"/>
          </w:tcPr>
          <w:p w:rsidR="002719EB" w:rsidRPr="00CA4CF9" w:rsidRDefault="00772EA1" w:rsidP="002719EB">
            <w:pPr>
              <w:pStyle w:val="Normal6a"/>
            </w:pPr>
            <w:r w:rsidRPr="00CA4CF9">
              <w:rPr>
                <w:b/>
                <w:i/>
              </w:rPr>
              <w:t xml:space="preserve">4,5 </w:t>
            </w:r>
            <w:r w:rsidRPr="00CA4CF9">
              <w:t>μg Pb/100 ml blod</w:t>
            </w:r>
            <w:r w:rsidRPr="00CA4CF9">
              <w:rPr>
                <w:b/>
                <w:i/>
                <w:vertAlign w:val="superscript"/>
              </w:rPr>
              <w:t>(1)</w:t>
            </w:r>
          </w:p>
        </w:tc>
      </w:tr>
      <w:tr w:rsidR="009164C8" w:rsidRPr="00CA4CF9" w:rsidTr="005F4C08">
        <w:trPr>
          <w:jc w:val="center"/>
        </w:trPr>
        <w:tc>
          <w:tcPr>
            <w:tcW w:w="4876" w:type="dxa"/>
          </w:tcPr>
          <w:p w:rsidR="002719EB" w:rsidRPr="00CA4CF9" w:rsidRDefault="00772EA1" w:rsidP="00945BF3">
            <w:pPr>
              <w:pStyle w:val="Normal6"/>
            </w:pPr>
            <w:r w:rsidRPr="00CA4CF9">
              <w:t xml:space="preserve">Der foretages lægekontrol, hvis eksponeringen for en blykoncentration i luften er større end </w:t>
            </w:r>
            <w:r w:rsidRPr="00CA4CF9">
              <w:rPr>
                <w:b/>
                <w:i/>
              </w:rPr>
              <w:t>0,015</w:t>
            </w:r>
            <w:r w:rsidRPr="00CA4CF9">
              <w:t xml:space="preserve"> mg/m3 beregnet som et tidsvægtet gennemsnit over 40 timer om ugen, eller hvis der måles et blyindhold i blodet på over </w:t>
            </w:r>
            <w:r w:rsidRPr="00CA4CF9">
              <w:rPr>
                <w:b/>
                <w:i/>
              </w:rPr>
              <w:t>9</w:t>
            </w:r>
            <w:r w:rsidRPr="00CA4CF9">
              <w:t xml:space="preserve"> μg Pb/100 ml blod hos de enkelte arbejdstagere.</w:t>
            </w:r>
          </w:p>
        </w:tc>
        <w:tc>
          <w:tcPr>
            <w:tcW w:w="4876" w:type="dxa"/>
          </w:tcPr>
          <w:p w:rsidR="002719EB" w:rsidRPr="00CA4CF9" w:rsidRDefault="00772EA1" w:rsidP="008C7BDF">
            <w:pPr>
              <w:pStyle w:val="Normal6a"/>
              <w:rPr>
                <w:rFonts w:eastAsia="Arial Unicode MS"/>
                <w:szCs w:val="24"/>
              </w:rPr>
            </w:pPr>
            <w:r w:rsidRPr="00CA4CF9">
              <w:t>Der foretages lægekontrol, hvis eksponeringen for en blykoncentration i luften er stør</w:t>
            </w:r>
            <w:r w:rsidRPr="00CA4CF9">
              <w:t xml:space="preserve">re end </w:t>
            </w:r>
            <w:r w:rsidRPr="00CA4CF9">
              <w:rPr>
                <w:b/>
                <w:i/>
              </w:rPr>
              <w:t>0,002</w:t>
            </w:r>
            <w:r w:rsidRPr="00CA4CF9">
              <w:t xml:space="preserve"> mg/m3 beregnet som et tidsvægtet gennemsnit over 40 timer om ugen, eller hvis der måles et blyindhold i blodet på over</w:t>
            </w:r>
            <w:r w:rsidRPr="00CA4CF9">
              <w:rPr>
                <w:b/>
                <w:i/>
              </w:rPr>
              <w:t xml:space="preserve"> 2,7 </w:t>
            </w:r>
            <w:r w:rsidRPr="00CA4CF9">
              <w:t>μg Pb/100 ml blod hos de enkelte arbejdstagere.</w:t>
            </w:r>
          </w:p>
        </w:tc>
      </w:tr>
      <w:tr w:rsidR="009164C8" w:rsidRPr="00CA4CF9" w:rsidTr="005F4C08">
        <w:trPr>
          <w:jc w:val="center"/>
        </w:trPr>
        <w:tc>
          <w:tcPr>
            <w:tcW w:w="4876" w:type="dxa"/>
          </w:tcPr>
          <w:p w:rsidR="002719EB" w:rsidRPr="00CA4CF9" w:rsidRDefault="002719EB" w:rsidP="002719EB">
            <w:pPr>
              <w:pStyle w:val="Normal6a"/>
            </w:pPr>
          </w:p>
        </w:tc>
        <w:tc>
          <w:tcPr>
            <w:tcW w:w="4876" w:type="dxa"/>
          </w:tcPr>
          <w:p w:rsidR="002719EB" w:rsidRPr="00CA4CF9" w:rsidRDefault="00772EA1" w:rsidP="007C2624">
            <w:pPr>
              <w:pStyle w:val="Normal6a"/>
              <w:rPr>
                <w:rFonts w:eastAsia="Arial Unicode MS"/>
                <w:b/>
                <w:i/>
                <w:szCs w:val="24"/>
              </w:rPr>
            </w:pPr>
            <w:r w:rsidRPr="00CA4CF9">
              <w:rPr>
                <w:b/>
                <w:i/>
              </w:rPr>
              <w:t xml:space="preserve">Hvis resultaterne af den lægelige overvågning viser, at en </w:t>
            </w:r>
            <w:r w:rsidRPr="00CA4CF9">
              <w:rPr>
                <w:b/>
                <w:i/>
              </w:rPr>
              <w:t xml:space="preserve">arbejdstagers blyindhold i blodet er større end den biologiske grænseværdi på grund af historisk erhvervsmæssig eksponering for bly, skal arbejdsgiveren og den myndighed, der er ansvarlig for sundhedsovervågningen af den pågældende arbejdstager, træffe de </w:t>
            </w:r>
            <w:r w:rsidRPr="00CA4CF9">
              <w:rPr>
                <w:b/>
                <w:i/>
              </w:rPr>
              <w:t>nødvendige foranstaltninger for at sikre et fald i arbejdstagerens blyniveau i blodet i overensstemmelse med retningslinjerne udviklet i henhold til artikel 18a.</w:t>
            </w:r>
          </w:p>
        </w:tc>
      </w:tr>
      <w:tr w:rsidR="009164C8" w:rsidRPr="00CA4CF9" w:rsidTr="005F4C08">
        <w:trPr>
          <w:jc w:val="center"/>
        </w:trPr>
        <w:tc>
          <w:tcPr>
            <w:tcW w:w="4876" w:type="dxa"/>
          </w:tcPr>
          <w:p w:rsidR="002719EB" w:rsidRPr="00CA4CF9" w:rsidRDefault="00772EA1" w:rsidP="002719EB">
            <w:pPr>
              <w:pStyle w:val="Normal6a"/>
              <w:rPr>
                <w:rFonts w:eastAsia="Arial Unicode MS"/>
                <w:b/>
                <w:i/>
                <w:szCs w:val="24"/>
              </w:rPr>
            </w:pPr>
            <w:r w:rsidRPr="00CA4CF9">
              <w:rPr>
                <w:b/>
                <w:i/>
                <w:vertAlign w:val="superscript"/>
              </w:rPr>
              <w:t>(1)</w:t>
            </w:r>
            <w:r w:rsidRPr="00CA4CF9">
              <w:rPr>
                <w:b/>
                <w:i/>
              </w:rPr>
              <w:tab/>
              <w:t>Det anbefales, at blyniveauet i blodet hos kvinder i den fødedygtige alder ikke overstige</w:t>
            </w:r>
            <w:r w:rsidRPr="00CA4CF9">
              <w:rPr>
                <w:b/>
                <w:i/>
              </w:rPr>
              <w:t xml:space="preserve">r referenceværdierne for den almindelige befolkning, der ikke er udsat for bly, i den pågældende medlemsstat. Hvis der ikke foreligger nationale referenceniveauer, anbefales det, at blyindholdet i blodet hos kvinder i den fødedygtige alder ikke overstiger </w:t>
            </w:r>
            <w:r w:rsidRPr="00CA4CF9">
              <w:rPr>
                <w:b/>
                <w:i/>
              </w:rPr>
              <w:t>værdien i den biologiske vejledende værdi på 4.5 µg/100 ml.</w:t>
            </w:r>
          </w:p>
        </w:tc>
        <w:tc>
          <w:tcPr>
            <w:tcW w:w="4876" w:type="dxa"/>
          </w:tcPr>
          <w:p w:rsidR="002719EB" w:rsidRPr="00CA4CF9" w:rsidRDefault="002719EB" w:rsidP="002719EB">
            <w:pPr>
              <w:pStyle w:val="Normal6a"/>
              <w:rPr>
                <w:rFonts w:eastAsia="Arial Unicode MS"/>
                <w:b/>
                <w:i/>
                <w:szCs w:val="24"/>
              </w:rPr>
            </w:pPr>
          </w:p>
        </w:tc>
      </w:tr>
    </w:tbl>
    <w:p w:rsidR="00AE14C6" w:rsidRPr="00CA4CF9" w:rsidRDefault="00772EA1" w:rsidP="00AE14C6">
      <w:pPr>
        <w:pStyle w:val="AmOrLang"/>
      </w:pPr>
      <w:r w:rsidRPr="00CA4CF9">
        <w:t xml:space="preserve">Or. </w:t>
      </w:r>
      <w:r w:rsidRPr="00CA4CF9">
        <w:rPr>
          <w:rStyle w:val="HideTWBExt"/>
          <w:noProof w:val="0"/>
        </w:rPr>
        <w:t>&lt;Original&gt;</w:t>
      </w:r>
      <w:r w:rsidRPr="00CA4CF9">
        <w:rPr>
          <w:rStyle w:val="HideTWBInt"/>
        </w:rPr>
        <w:t>{EN}</w:t>
      </w:r>
      <w:r w:rsidRPr="00CA4CF9">
        <w:t>en</w:t>
      </w:r>
      <w:r w:rsidRPr="00CA4CF9">
        <w:rPr>
          <w:rStyle w:val="HideTWBExt"/>
          <w:noProof w:val="0"/>
        </w:rPr>
        <w:t>&lt;/Original&gt;</w:t>
      </w:r>
    </w:p>
    <w:p w:rsidR="002669B6" w:rsidRPr="00CA4CF9" w:rsidRDefault="00772EA1" w:rsidP="002669B6">
      <w:r w:rsidRPr="00CA4CF9">
        <w:rPr>
          <w:rStyle w:val="HideTWBExt"/>
          <w:noProof w:val="0"/>
        </w:rPr>
        <w:t>&lt;/Amend&gt;&lt;/RepeatBlock-Amend&gt;</w:t>
      </w:r>
    </w:p>
    <w:p w:rsidR="001F4EDD" w:rsidRPr="00CA4CF9" w:rsidRDefault="00772EA1">
      <w:pPr>
        <w:widowControl/>
      </w:pPr>
      <w:r w:rsidRPr="00CA4CF9">
        <w:br w:type="page"/>
      </w:r>
    </w:p>
    <w:p w:rsidR="001F4EDD" w:rsidRPr="00CA4CF9" w:rsidRDefault="00772EA1" w:rsidP="001F4EDD">
      <w:pPr>
        <w:pStyle w:val="PageHeading"/>
      </w:pPr>
      <w:bookmarkStart w:id="2" w:name="_Toc135813426"/>
      <w:r w:rsidRPr="00CA4CF9">
        <w:t>BEGRUNDELSE</w:t>
      </w:r>
      <w:bookmarkEnd w:id="2"/>
    </w:p>
    <w:p w:rsidR="00CC3AEF" w:rsidRPr="00CA4CF9" w:rsidRDefault="00772EA1" w:rsidP="00CA4CF9">
      <w:pPr>
        <w:spacing w:after="240"/>
      </w:pPr>
      <w:r w:rsidRPr="00CA4CF9">
        <w:t xml:space="preserve">Beskyttelsen af arbejdstagernes sundhed og sikkerhed er nedfældet i traktaterne og chartret om grundlæggende </w:t>
      </w:r>
      <w:r w:rsidRPr="00CA4CF9">
        <w:t>rettigheder og er et nøgleelement i en EU-økonomi, der arbejder for mennesker. Retten til et højt niveau af beskyttelse af sundhed og sikkerhed på arbejdspladsen afspejles i princip 10 i den europæiske søjle for sociale rettigheder og er afgørende for at n</w:t>
      </w:r>
      <w:r w:rsidRPr="00CA4CF9">
        <w:t xml:space="preserve">å FN's verdensmål for bæredygtig udvikling. </w:t>
      </w:r>
    </w:p>
    <w:p w:rsidR="00CC3AEF" w:rsidRPr="00CA4CF9" w:rsidRDefault="00772EA1" w:rsidP="00CA4CF9">
      <w:pPr>
        <w:spacing w:after="240"/>
      </w:pPr>
      <w:r w:rsidRPr="00CA4CF9">
        <w:t>Ingen bør udsættes for jobrelaterede dødsfald, sygdomme eller ulykker. EU's lovgivning om sundhed og sikkerhed på arbejdspladsen (OSH) er derfor et stort reguleringsområde, der vedrører næsten 170 mio. arbejdst</w:t>
      </w:r>
      <w:r w:rsidRPr="00CA4CF9">
        <w:t>agere i EU. Politiske initiativer såsom den europæiske grønne pagt eller initiativet om kritiske råstoffer fremmer den bæredygtige udvikling, som kræver en balance mellem miljømæssige, økonomiske og sociale hensyn. Ved at indføre bindende grænseværdier for</w:t>
      </w:r>
      <w:r w:rsidRPr="00CA4CF9">
        <w:t xml:space="preserve"> erhvervsmæssig eksponering mod kræftfremkaldende stoffer, mutagener og reproduktionstoksiske stoffer er arbejdstagere bedre beskyttet mod skader og kan fortsætte med at arbejde så sikkert som muligt i industrier, der producerer kritiske råstoffer eller bi</w:t>
      </w:r>
      <w:r w:rsidRPr="00CA4CF9">
        <w:t>drager til den grønne økonomi. Dette fremmer på sin side en retfærdig omstilling ved at sikre, at arbejdstagernes sundhed ikke kompromitteres på bekostning af Unionens økonomiske og miljømæssige mål. Beskyttelse af arbejdstagere mod eksponering for farlige</w:t>
      </w:r>
      <w:r w:rsidRPr="00CA4CF9">
        <w:t xml:space="preserve"> stoffer bidrager også til målene for Europas plan for bekæmpelse af kræft.</w:t>
      </w:r>
    </w:p>
    <w:p w:rsidR="00CC3AEF" w:rsidRPr="00CA4CF9" w:rsidRDefault="00772EA1" w:rsidP="00CA4CF9">
      <w:pPr>
        <w:spacing w:after="240"/>
      </w:pPr>
      <w:r w:rsidRPr="00CA4CF9">
        <w:t>I den nye ramme for sundhed og sikkerhed på arbejdspladsen i 2021-2027 forpligter Unionen sig til nye beskyttende grænseværdier for diisocyanater og bly, som i kemikaliestrategien</w:t>
      </w:r>
      <w:r w:rsidRPr="00CA4CF9">
        <w:t xml:space="preserve"> for 2020 er blevet udpeget som nogle af de mest skadelige kemiske stoffer, der skal handles på.</w:t>
      </w:r>
    </w:p>
    <w:p w:rsidR="00CC3AEF" w:rsidRPr="00CA4CF9" w:rsidRDefault="00772EA1" w:rsidP="00CA4CF9">
      <w:pPr>
        <w:spacing w:after="240"/>
        <w:rPr>
          <w:b/>
        </w:rPr>
      </w:pPr>
      <w:r w:rsidRPr="00CA4CF9">
        <w:rPr>
          <w:b/>
        </w:rPr>
        <w:t>Diisocyanater</w:t>
      </w:r>
    </w:p>
    <w:p w:rsidR="00CC3AEF" w:rsidRPr="00CA4CF9" w:rsidRDefault="00772EA1" w:rsidP="00CA4CF9">
      <w:pPr>
        <w:spacing w:after="240"/>
      </w:pPr>
      <w:r w:rsidRPr="00CA4CF9">
        <w:t>Diisocyanater bruges til at fremstille polyuretan, et nøglemateriale til en række anvendelser såsom isolering i bygninger og apparater, som bidr</w:t>
      </w:r>
      <w:r w:rsidRPr="00CA4CF9">
        <w:t>ager til de europæiske mål for den grønne pagt ved at reducere CO</w:t>
      </w:r>
      <w:r w:rsidRPr="00CA4CF9">
        <w:rPr>
          <w:vertAlign w:val="subscript"/>
        </w:rPr>
        <w:t>2</w:t>
      </w:r>
      <w:r w:rsidRPr="00CA4CF9">
        <w:t>-emissioner gennem energieffektivitet. Diisocyanater er dog farlige kemiske stoffer, der kan forårsage erhvervsbetinget astma og erhvervsrelaterede hudsygdomme – allergiske reaktioner, der k</w:t>
      </w:r>
      <w:r w:rsidRPr="00CA4CF9">
        <w:t xml:space="preserve">an opstå på grund af eksponering for sådanne stoffer. Ifølge skøn er ca. 4,2 mio. arbejdstagere udsat for diisocyanater, hvilket gør diisocyanater til en af ​de mest almindelige årsager til erhvervsbetinget astma, og mere end 2,4 mio. virksomheder i EU er </w:t>
      </w:r>
      <w:r w:rsidRPr="00CA4CF9">
        <w:t>omfattet.</w:t>
      </w:r>
    </w:p>
    <w:p w:rsidR="00CC3AEF" w:rsidRPr="00CA4CF9" w:rsidRDefault="00772EA1" w:rsidP="00CA4CF9">
      <w:pPr>
        <w:spacing w:after="240"/>
        <w:rPr>
          <w:b/>
        </w:rPr>
      </w:pPr>
      <w:r w:rsidRPr="00CA4CF9">
        <w:rPr>
          <w:b/>
        </w:rPr>
        <w:t>Tre</w:t>
      </w:r>
      <w:r>
        <w:rPr>
          <w:b/>
        </w:rPr>
        <w:t>partskonsensus om grænseværdier</w:t>
      </w:r>
      <w:bookmarkStart w:id="3" w:name="_GoBack"/>
      <w:bookmarkEnd w:id="3"/>
    </w:p>
    <w:p w:rsidR="00CC3AEF" w:rsidRPr="00CA4CF9" w:rsidRDefault="00772EA1" w:rsidP="00CA4CF9">
      <w:pPr>
        <w:spacing w:after="240"/>
      </w:pPr>
      <w:r w:rsidRPr="00CA4CF9">
        <w:t>Grænseværdierne (erhvervsmæssig eksponeringsgrænse og korttidseksponeringsgrænse) for diisocyanater, som nu foreslås for første gang på EU-plan, støttes af Det Rådgivende Udvalg for Sikkerhed og Sundhed på Arb</w:t>
      </w:r>
      <w:r w:rsidRPr="00CA4CF9">
        <w:t>ejdspladsen (ACSH), bestående af nationale regeringer og arbejdstager- og arbejdsgiverorganisationer. I denne betænkning foreslås det derfor at vedtage disse grænseværdier uændret for at støtte og fremme løsninger, som er blevet aftalt mellem arbejdsmarked</w:t>
      </w:r>
      <w:r w:rsidRPr="00CA4CF9">
        <w:t>ets parter i fællesskab med de nationale administrationer.</w:t>
      </w:r>
    </w:p>
    <w:p w:rsidR="00CC3AEF" w:rsidRPr="00CA4CF9" w:rsidRDefault="00772EA1" w:rsidP="00CA4CF9">
      <w:pPr>
        <w:spacing w:after="240"/>
        <w:rPr>
          <w:b/>
        </w:rPr>
      </w:pPr>
      <w:r w:rsidRPr="00CA4CF9">
        <w:rPr>
          <w:b/>
        </w:rPr>
        <w:t>Bly</w:t>
      </w:r>
    </w:p>
    <w:p w:rsidR="00CC3AEF" w:rsidRPr="00CA4CF9" w:rsidRDefault="00772EA1" w:rsidP="00CA4CF9">
      <w:pPr>
        <w:spacing w:after="240"/>
      </w:pPr>
      <w:r w:rsidRPr="00CA4CF9">
        <w:t>Bly har i øjeblikket en lang række industrielle anvendelser. Bly er et erhvervsmæssigt reproduktionstoksisk stof, der ophobes i kroppen på grund af eksponering og kan påvirke både mænds og kvi</w:t>
      </w:r>
      <w:r w:rsidRPr="00CA4CF9">
        <w:t>nders seksuelle funktioner og forplantningsevne samt udviklingen af ​​fosteret eller afkommet (udviklingstoksicitet). Eksponering for bly kan medføre nedsat forplantningsevne, aborter eller alvorlige fødselsdefekter samt andre skadelige virkninger såsom ne</w:t>
      </w:r>
      <w:r w:rsidRPr="00CA4CF9">
        <w:t>urotoksicitet, nyretoksicitet, kardiovaskulære virkninger og hæmatologiske virkninger. Bly tegner sig for ca. halvdelen af al erhvervsmæssig eksponering for reproduktionstoksiske stoffer og dermed forbundne tilfælde af reproduktiv sygdom. I øjeblikket ansl</w:t>
      </w:r>
      <w:r w:rsidRPr="00CA4CF9">
        <w:t xml:space="preserve">ås det, at ca. 50 000-150 000 arbejdstagere i EU er udsat for bly. Den nuværende EU-bindende grænseværdi for erhvervsmæssig eksponering (OEL) og biologisk grænseværdi (BLV) er ikke blevet opdateret i over 40 år. </w:t>
      </w:r>
    </w:p>
    <w:p w:rsidR="00CC3AEF" w:rsidRPr="00CA4CF9" w:rsidRDefault="00772EA1" w:rsidP="00CA4CF9">
      <w:pPr>
        <w:spacing w:after="240"/>
      </w:pPr>
      <w:r w:rsidRPr="00CA4CF9">
        <w:t>I mangel af konsensus i ACSH om grænseværd</w:t>
      </w:r>
      <w:r w:rsidRPr="00CA4CF9">
        <w:t xml:space="preserve">ierne for bly anser denne betænkning det for nødvendigt at ændre Kommissionens forslag på en række punkter, især BLV for så vidt angår kvinder i den fødedygtige alder. </w:t>
      </w:r>
    </w:p>
    <w:p w:rsidR="00CC3AEF" w:rsidRPr="00CA4CF9" w:rsidRDefault="00772EA1" w:rsidP="00CA4CF9">
      <w:pPr>
        <w:spacing w:after="240"/>
        <w:rPr>
          <w:b/>
        </w:rPr>
      </w:pPr>
      <w:r w:rsidRPr="00CA4CF9">
        <w:rPr>
          <w:b/>
        </w:rPr>
        <w:t>Kvinder i den fødedygtige alder og ikkediskrimination</w:t>
      </w:r>
    </w:p>
    <w:p w:rsidR="00CC3AEF" w:rsidRPr="00CA4CF9" w:rsidRDefault="00772EA1" w:rsidP="00CA4CF9">
      <w:pPr>
        <w:spacing w:after="240"/>
      </w:pPr>
      <w:r w:rsidRPr="00CA4CF9">
        <w:t xml:space="preserve">Efter en udtalelse fra Udvalget </w:t>
      </w:r>
      <w:r w:rsidRPr="00CA4CF9">
        <w:t>for Risikovurdering (RAC) fra Det Europæiske Kemikalieagentur (ECHA) har Kommissionen foreslået at sænke BLV til 15 µg Pb/100 ml. RAC konkluderede imidlertid også, at BLV ikke er beskyttende for afkom af kvindelige blyeksponerede arbejdstagere i den fødedy</w:t>
      </w:r>
      <w:r w:rsidRPr="00CA4CF9">
        <w:t>gtige alder. RAC anbefalede, at blyniveauet i blod hos kvinder i den fødedygtige alder ikke måtte overstige referenceværdierne for den generelle befolkning, der ikke er erhvervsmæssigt eksponeret for bly i det pågældende EU-land - og hvis nationale referen</w:t>
      </w:r>
      <w:r w:rsidRPr="00CA4CF9">
        <w:t xml:space="preserve">ceniveauer ikke er tilgængelige, bør blyniveauer i blod hos kvinder i den fødedygtige alder ikke overstige 4,5 μg Pb/100 ml, som er den maksimale europæiske referenceværdi. </w:t>
      </w:r>
    </w:p>
    <w:p w:rsidR="00CC3AEF" w:rsidRPr="00CA4CF9" w:rsidRDefault="00772EA1" w:rsidP="00CA4CF9">
      <w:pPr>
        <w:spacing w:after="240"/>
      </w:pPr>
      <w:r w:rsidRPr="00CA4CF9">
        <w:t>På den baggrund har Kommissionen foreslået at ledsage det bindende BLV med en ikk</w:t>
      </w:r>
      <w:r w:rsidRPr="00CA4CF9">
        <w:t>ebindende biologisk vejledende værdi på 4,5 μg Pb/100 ml for kvinder i den fødedygtige alder. Mens direktiv 92/85/EØF indeholder bestemmelser om beskyttelse af gravide arbejdstageres sundhed og sikkerhed på arbejdspladsen, finder dets beskyttelsesforanstal</w:t>
      </w:r>
      <w:r w:rsidRPr="00CA4CF9">
        <w:t xml:space="preserve">tninger ikke anvendelse, før sådanne arbejdstagere informerer deres arbejdsgiver om deres tilstand. </w:t>
      </w:r>
    </w:p>
    <w:p w:rsidR="00CC3AEF" w:rsidRPr="00CA4CF9" w:rsidRDefault="00772EA1" w:rsidP="00CA4CF9">
      <w:pPr>
        <w:spacing w:after="240"/>
      </w:pPr>
      <w:r w:rsidRPr="00CA4CF9">
        <w:t xml:space="preserve">I Vind INI-beslutningen af 9. februar 2022 om en ny EU-strategisk ramme for sundhed og sikkerhed på arbejdspladsen efter 2020 (herunder bedre beskyttelse </w:t>
      </w:r>
      <w:r w:rsidRPr="00CA4CF9">
        <w:t>af arbejdstagere mod eksponering for skadelige stoffer,</w:t>
      </w:r>
      <w:r w:rsidR="00CA4CF9">
        <w:t xml:space="preserve"> </w:t>
      </w:r>
      <w:r w:rsidRPr="00CA4CF9">
        <w:t xml:space="preserve">stress </w:t>
      </w:r>
      <w:r w:rsidRPr="00CA4CF9">
        <w:t xml:space="preserve">på arbejdet og gentagne bevægelsesskader) bemærkede Europa-Parlamentet, at RAC-anbefalingen om en BLV på 15µg Pb/100ml ikke beskytter kvinder og især gravide kvinder ordentligt. Det opfordrede </w:t>
      </w:r>
      <w:r w:rsidRPr="00CA4CF9">
        <w:t>ligeledes Kommissionen til at sikre, at ethvert forslag om reviderede eksponeringsgrænseværdier for bly og dets forbindelser giver lige beskyttelse for alle arbejdstagere uanset køn.</w:t>
      </w:r>
    </w:p>
    <w:p w:rsidR="00CC3AEF" w:rsidRPr="00CA4CF9" w:rsidRDefault="00772EA1" w:rsidP="00CA4CF9">
      <w:pPr>
        <w:spacing w:after="240"/>
      </w:pPr>
      <w:r w:rsidRPr="00CA4CF9">
        <w:t>Ifølge denne betænkning er en ikkebindende vejledende værdi ikke egnet t</w:t>
      </w:r>
      <w:r w:rsidRPr="00CA4CF9">
        <w:t>il at sikre beskyttelsen af arbejdstagernes sundhed og sikkerhed under forhold med ligestilling og ikkeforskelsbehandling, især med hensyn til blyeksponerede kvindelige arbejdstagere. For at nå direktivets erklærede mål om et højt beskyttelsesniveau for ar</w:t>
      </w:r>
      <w:r w:rsidRPr="00CA4CF9">
        <w:t xml:space="preserve">bejdstagernes sundhed og sikkerhed er det nødvendigt med en bindende biologisk grænseværdi, som giver tilstrækkelig beskyttelse for både kvindelige og mandlige arbejdstagere. </w:t>
      </w:r>
    </w:p>
    <w:p w:rsidR="00CC3AEF" w:rsidRPr="00CA4CF9" w:rsidRDefault="00772EA1" w:rsidP="00AD5320">
      <w:pPr>
        <w:keepNext/>
        <w:keepLines/>
        <w:spacing w:after="240"/>
        <w:rPr>
          <w:b/>
        </w:rPr>
      </w:pPr>
      <w:r w:rsidRPr="00CA4CF9">
        <w:rPr>
          <w:b/>
        </w:rPr>
        <w:t>Historisk eksponering</w:t>
      </w:r>
    </w:p>
    <w:p w:rsidR="00CC3AEF" w:rsidRPr="00CA4CF9" w:rsidRDefault="00772EA1" w:rsidP="00CA4CF9">
      <w:pPr>
        <w:spacing w:after="240"/>
      </w:pPr>
      <w:r w:rsidRPr="00CA4CF9">
        <w:t xml:space="preserve">Arbejdstagere, der har været erhvervsmæssigt eksponeret </w:t>
      </w:r>
      <w:r w:rsidRPr="00CA4CF9">
        <w:t>for bly over flere år, kan allerede have akkumuleret blyniveauer i blodet, der er langt over enhver ny BLV. I sådanne situationer er det ikke acceptabelt, at disse arbejdstagere fortsat bliver eksponeret, og alle nødvendige foranstaltninger skal træffes fo</w:t>
      </w:r>
      <w:r w:rsidRPr="00CA4CF9">
        <w:t>r at sikre, at blodniveauerne hos sådanne arbejdstagere falder så hurtigt som muligt.</w:t>
      </w:r>
    </w:p>
    <w:p w:rsidR="00CC3AEF" w:rsidRPr="00CA4CF9" w:rsidRDefault="00772EA1" w:rsidP="00CC3AEF">
      <w:pPr>
        <w:widowControl/>
      </w:pPr>
      <w:r w:rsidRPr="00CA4CF9">
        <w:br w:type="page"/>
      </w:r>
    </w:p>
    <w:p w:rsidR="00C31798" w:rsidRPr="00CA4CF9" w:rsidRDefault="00772EA1" w:rsidP="00D17DA8">
      <w:pPr>
        <w:pStyle w:val="PageHeading"/>
        <w:spacing w:after="0"/>
      </w:pPr>
      <w:bookmarkStart w:id="4" w:name="_Toc124932583"/>
      <w:bookmarkStart w:id="5" w:name="_Toc135813427"/>
      <w:r w:rsidRPr="00CA4CF9">
        <w:t>BILAG: LISTE OVER ENHEDER OG/ELLER PERSONER, SOM ORDFØREREN HAR MODTAGET INPUT FRA</w:t>
      </w:r>
      <w:bookmarkEnd w:id="4"/>
      <w:bookmarkEnd w:id="5"/>
    </w:p>
    <w:p w:rsidR="00D17DA8" w:rsidRPr="00CA4CF9" w:rsidRDefault="00D17DA8" w:rsidP="00D17DA8">
      <w:pPr>
        <w:spacing w:before="9" w:line="500" w:lineRule="atLeast"/>
        <w:ind w:left="80" w:right="159" w:hanging="97"/>
        <w:jc w:val="center"/>
        <w:rPr>
          <w:rFonts w:eastAsia="Calibri"/>
          <w:sz w:val="22"/>
          <w:szCs w:val="22"/>
        </w:rPr>
      </w:pPr>
    </w:p>
    <w:p w:rsidR="00D17DA8" w:rsidRPr="00CA4CF9" w:rsidRDefault="00772EA1" w:rsidP="00D17DA8">
      <w:pPr>
        <w:spacing w:before="9" w:line="360" w:lineRule="auto"/>
        <w:ind w:right="159"/>
        <w:rPr>
          <w:rFonts w:eastAsia="Calibri"/>
          <w:sz w:val="22"/>
          <w:szCs w:val="22"/>
        </w:rPr>
      </w:pPr>
      <w:r w:rsidRPr="00CA4CF9">
        <w:rPr>
          <w:sz w:val="22"/>
        </w:rPr>
        <w:t xml:space="preserve">Følgende liste er udarbejdet på et rent frivilligt grundlag under ordførerens </w:t>
      </w:r>
      <w:r w:rsidRPr="00CA4CF9">
        <w:rPr>
          <w:sz w:val="22"/>
        </w:rPr>
        <w:t>eneansvar. Ordføreren har modtaget bidrag fra følgende enheder eller personer i forbindelse med udarbejdelsen af [udkast til betænkning/betænkning, indtil den er vedtaget i udvalget]:</w:t>
      </w:r>
    </w:p>
    <w:p w:rsidR="00D17DA8" w:rsidRPr="00CA4CF9" w:rsidRDefault="00D17DA8" w:rsidP="00D17DA8">
      <w:pPr>
        <w:spacing w:line="200" w:lineRule="exact"/>
      </w:pPr>
    </w:p>
    <w:p w:rsidR="00D17DA8" w:rsidRPr="00CA4CF9" w:rsidRDefault="00D17DA8" w:rsidP="00D17DA8">
      <w:pPr>
        <w:spacing w:line="200" w:lineRule="exact"/>
      </w:pPr>
    </w:p>
    <w:tbl>
      <w:tblPr>
        <w:tblW w:w="9067" w:type="dxa"/>
        <w:tblInd w:w="98" w:type="dxa"/>
        <w:tblLayout w:type="fixed"/>
        <w:tblCellMar>
          <w:left w:w="0" w:type="dxa"/>
          <w:right w:w="0" w:type="dxa"/>
        </w:tblCellMar>
        <w:tblLook w:val="01E0" w:firstRow="1" w:lastRow="1" w:firstColumn="1" w:lastColumn="1" w:noHBand="0" w:noVBand="0"/>
      </w:tblPr>
      <w:tblGrid>
        <w:gridCol w:w="9067"/>
      </w:tblGrid>
      <w:tr w:rsidR="009164C8" w:rsidRPr="00CA4CF9"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CA4CF9" w:rsidRDefault="00772EA1">
            <w:pPr>
              <w:spacing w:line="260" w:lineRule="exact"/>
              <w:ind w:left="3567" w:right="3563"/>
              <w:jc w:val="both"/>
              <w:rPr>
                <w:rFonts w:eastAsia="Calibri"/>
                <w:b/>
                <w:sz w:val="22"/>
                <w:szCs w:val="22"/>
              </w:rPr>
            </w:pPr>
            <w:r w:rsidRPr="00CA4CF9">
              <w:rPr>
                <w:b/>
                <w:sz w:val="22"/>
              </w:rPr>
              <w:t>Enhed og/eller person</w:t>
            </w:r>
          </w:p>
        </w:tc>
      </w:tr>
      <w:tr w:rsidR="009164C8" w:rsidRPr="00CA4CF9"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CA4CF9" w:rsidRDefault="00772EA1">
            <w:pPr>
              <w:jc w:val="center"/>
            </w:pPr>
            <w:r w:rsidRPr="00CA4CF9">
              <w:t>BusinessEurope</w:t>
            </w:r>
          </w:p>
        </w:tc>
      </w:tr>
      <w:tr w:rsidR="009164C8" w:rsidRPr="00CA4CF9"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CA4CF9" w:rsidRDefault="00772EA1">
            <w:pPr>
              <w:jc w:val="center"/>
            </w:pPr>
            <w:r w:rsidRPr="00CA4CF9">
              <w:t>European Trade Union Confederat</w:t>
            </w:r>
            <w:r w:rsidRPr="00CA4CF9">
              <w:t>ion - ETUC</w:t>
            </w:r>
          </w:p>
        </w:tc>
      </w:tr>
      <w:tr w:rsidR="009164C8" w:rsidRPr="00CA4CF9" w:rsidTr="00E80FD8">
        <w:trPr>
          <w:trHeight w:val="278"/>
        </w:trPr>
        <w:tc>
          <w:tcPr>
            <w:tcW w:w="9067" w:type="dxa"/>
            <w:tcBorders>
              <w:top w:val="single" w:sz="4" w:space="0" w:color="000000"/>
              <w:left w:val="single" w:sz="4" w:space="0" w:color="000000"/>
              <w:bottom w:val="single" w:sz="4" w:space="0" w:color="000000"/>
              <w:right w:val="single" w:sz="4" w:space="0" w:color="000000"/>
            </w:tcBorders>
          </w:tcPr>
          <w:p w:rsidR="00D17DA8" w:rsidRPr="00CA4CF9" w:rsidRDefault="00772EA1" w:rsidP="00D17DA8">
            <w:pPr>
              <w:jc w:val="center"/>
            </w:pPr>
            <w:r w:rsidRPr="00CA4CF9">
              <w:t>SMEUnited - European Association of Craft, Small and Medium Sized Enterprises</w:t>
            </w:r>
          </w:p>
        </w:tc>
      </w:tr>
      <w:tr w:rsidR="009164C8" w:rsidRPr="00CA4CF9"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CA4CF9" w:rsidRDefault="00772EA1">
            <w:pPr>
              <w:jc w:val="center"/>
            </w:pPr>
            <w:r w:rsidRPr="00CA4CF9">
              <w:t xml:space="preserve">European Federation of Public Service Unions - EPSU </w:t>
            </w:r>
          </w:p>
        </w:tc>
      </w:tr>
      <w:tr w:rsidR="009164C8" w:rsidRPr="00CA4CF9"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CA4CF9" w:rsidRDefault="00772EA1">
            <w:pPr>
              <w:jc w:val="center"/>
            </w:pPr>
            <w:r w:rsidRPr="00CA4CF9">
              <w:t>SGI Europe - European Centre of Employers and Enterprises providing Public Services</w:t>
            </w:r>
          </w:p>
        </w:tc>
      </w:tr>
      <w:tr w:rsidR="009164C8" w:rsidRPr="00CA4CF9"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CA4CF9" w:rsidRDefault="00772EA1">
            <w:pPr>
              <w:jc w:val="center"/>
            </w:pPr>
            <w:r w:rsidRPr="00CA4CF9">
              <w:t xml:space="preserve">European Trade Union </w:t>
            </w:r>
            <w:r w:rsidRPr="00CA4CF9">
              <w:t>Institute - ETUI</w:t>
            </w:r>
          </w:p>
        </w:tc>
      </w:tr>
      <w:tr w:rsidR="009164C8" w:rsidRPr="00CA4CF9"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CA4CF9" w:rsidRDefault="00772EA1">
            <w:pPr>
              <w:jc w:val="center"/>
            </w:pPr>
            <w:r w:rsidRPr="00CA4CF9">
              <w:t xml:space="preserve">ISOPA </w:t>
            </w:r>
          </w:p>
        </w:tc>
      </w:tr>
      <w:tr w:rsidR="009164C8" w:rsidRPr="00CA4CF9"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CA4CF9" w:rsidRDefault="00772EA1">
            <w:pPr>
              <w:jc w:val="center"/>
            </w:pPr>
            <w:r w:rsidRPr="00CA4CF9">
              <w:t>ALIPA</w:t>
            </w:r>
          </w:p>
        </w:tc>
      </w:tr>
      <w:tr w:rsidR="009164C8" w:rsidRPr="00CA4CF9"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CA4CF9" w:rsidRDefault="00772EA1">
            <w:pPr>
              <w:jc w:val="center"/>
            </w:pPr>
            <w:r w:rsidRPr="00CA4CF9">
              <w:t>Danish Trade Union Confederation - FH</w:t>
            </w:r>
          </w:p>
        </w:tc>
      </w:tr>
      <w:tr w:rsidR="009164C8" w:rsidRPr="00CA4CF9"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CA4CF9" w:rsidRDefault="00772EA1">
            <w:pPr>
              <w:jc w:val="center"/>
            </w:pPr>
            <w:r w:rsidRPr="00CA4CF9">
              <w:t>European Commission</w:t>
            </w:r>
          </w:p>
        </w:tc>
      </w:tr>
    </w:tbl>
    <w:p w:rsidR="002669B6" w:rsidRPr="00CA4CF9" w:rsidRDefault="002669B6" w:rsidP="00E80FD8"/>
    <w:sectPr w:rsidR="002669B6" w:rsidRPr="00CA4CF9" w:rsidSect="00F56031">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56031" w:rsidRDefault="00772EA1">
      <w:r w:rsidRPr="00F56031">
        <w:separator/>
      </w:r>
    </w:p>
  </w:endnote>
  <w:endnote w:type="continuationSeparator" w:id="0">
    <w:p w:rsidR="00000000" w:rsidRPr="00F56031" w:rsidRDefault="00772EA1">
      <w:r w:rsidRPr="00F560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6031" w:rsidRPr="00F56031" w:rsidRDefault="00F56031" w:rsidP="00F56031">
    <w:pPr>
      <w:pStyle w:val="EPFooter"/>
    </w:pPr>
    <w:r w:rsidRPr="00F56031">
      <w:t>PE</w:t>
    </w:r>
    <w:r w:rsidRPr="00F56031">
      <w:rPr>
        <w:rStyle w:val="HideTWBExt"/>
      </w:rPr>
      <w:t>&lt;NoPE&gt;</w:t>
    </w:r>
    <w:r w:rsidRPr="00F56031">
      <w:t>746.964</w:t>
    </w:r>
    <w:r w:rsidRPr="00F56031">
      <w:rPr>
        <w:rStyle w:val="HideTWBExt"/>
      </w:rPr>
      <w:t>&lt;/NoPE&gt;&lt;Version&gt;</w:t>
    </w:r>
    <w:r w:rsidRPr="00F56031">
      <w:t>v01-00</w:t>
    </w:r>
    <w:r w:rsidRPr="00F56031">
      <w:rPr>
        <w:rStyle w:val="HideTWBExt"/>
      </w:rPr>
      <w:t>&lt;/Version&gt;</w:t>
    </w:r>
    <w:r w:rsidRPr="00F56031">
      <w:tab/>
    </w:r>
    <w:r w:rsidRPr="00F56031">
      <w:fldChar w:fldCharType="begin"/>
    </w:r>
    <w:r w:rsidRPr="00F56031">
      <w:instrText xml:space="preserve"> PAGE  \* MERGEFORMAT </w:instrText>
    </w:r>
    <w:r w:rsidRPr="00F56031">
      <w:fldChar w:fldCharType="separate"/>
    </w:r>
    <w:r w:rsidR="00772EA1">
      <w:rPr>
        <w:noProof/>
      </w:rPr>
      <w:t>32</w:t>
    </w:r>
    <w:r w:rsidRPr="00F56031">
      <w:fldChar w:fldCharType="end"/>
    </w:r>
    <w:r w:rsidRPr="00F56031">
      <w:t>/</w:t>
    </w:r>
    <w:fldSimple w:instr=" NUMPAGES  \* MERGEFORMAT ">
      <w:r w:rsidR="00772EA1">
        <w:rPr>
          <w:noProof/>
        </w:rPr>
        <w:t>35</w:t>
      </w:r>
    </w:fldSimple>
    <w:r w:rsidRPr="00F56031">
      <w:tab/>
    </w:r>
    <w:r w:rsidRPr="00F56031">
      <w:rPr>
        <w:rStyle w:val="HideTWBExt"/>
      </w:rPr>
      <w:t>&lt;PathFdR&gt;</w:t>
    </w:r>
    <w:r w:rsidRPr="00F56031">
      <w:t>PR\1278028DA.docx</w:t>
    </w:r>
    <w:r w:rsidRPr="00F56031">
      <w:rPr>
        <w:rStyle w:val="HideTWBExt"/>
      </w:rPr>
      <w:t>&lt;/PathFdR&gt;</w:t>
    </w:r>
  </w:p>
  <w:p w:rsidR="00792141" w:rsidRPr="00F56031" w:rsidRDefault="00F56031" w:rsidP="00F56031">
    <w:pPr>
      <w:pStyle w:val="EPFooter2"/>
    </w:pPr>
    <w:r w:rsidRPr="00F56031">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6031" w:rsidRPr="00F56031" w:rsidRDefault="00F56031" w:rsidP="00F56031">
    <w:pPr>
      <w:pStyle w:val="EPFooter"/>
    </w:pPr>
    <w:r w:rsidRPr="00F56031">
      <w:rPr>
        <w:rStyle w:val="HideTWBExt"/>
      </w:rPr>
      <w:t>&lt;PathFdR&gt;</w:t>
    </w:r>
    <w:r w:rsidRPr="00F56031">
      <w:t>PR\1278028DA.docx</w:t>
    </w:r>
    <w:r w:rsidRPr="00F56031">
      <w:rPr>
        <w:rStyle w:val="HideTWBExt"/>
      </w:rPr>
      <w:t>&lt;/PathFdR&gt;</w:t>
    </w:r>
    <w:r w:rsidRPr="00F56031">
      <w:tab/>
    </w:r>
    <w:r w:rsidRPr="00F56031">
      <w:fldChar w:fldCharType="begin"/>
    </w:r>
    <w:r w:rsidRPr="00F56031">
      <w:instrText xml:space="preserve"> PAGE  \* MERGEFORMAT </w:instrText>
    </w:r>
    <w:r w:rsidRPr="00F56031">
      <w:fldChar w:fldCharType="separate"/>
    </w:r>
    <w:r w:rsidR="00772EA1">
      <w:rPr>
        <w:noProof/>
      </w:rPr>
      <w:t>33</w:t>
    </w:r>
    <w:r w:rsidRPr="00F56031">
      <w:fldChar w:fldCharType="end"/>
    </w:r>
    <w:r w:rsidRPr="00F56031">
      <w:t>/</w:t>
    </w:r>
    <w:fldSimple w:instr=" NUMPAGES  \* MERGEFORMAT ">
      <w:r w:rsidR="00772EA1">
        <w:rPr>
          <w:noProof/>
        </w:rPr>
        <w:t>35</w:t>
      </w:r>
    </w:fldSimple>
    <w:r w:rsidRPr="00F56031">
      <w:tab/>
      <w:t>PE</w:t>
    </w:r>
    <w:r w:rsidRPr="00F56031">
      <w:rPr>
        <w:rStyle w:val="HideTWBExt"/>
      </w:rPr>
      <w:t>&lt;NoPE&gt;</w:t>
    </w:r>
    <w:r w:rsidRPr="00F56031">
      <w:t>746.964</w:t>
    </w:r>
    <w:r w:rsidRPr="00F56031">
      <w:rPr>
        <w:rStyle w:val="HideTWBExt"/>
      </w:rPr>
      <w:t>&lt;/NoPE&gt;&lt;Version&gt;</w:t>
    </w:r>
    <w:r w:rsidRPr="00F56031">
      <w:t>v01-00</w:t>
    </w:r>
    <w:r w:rsidRPr="00F56031">
      <w:rPr>
        <w:rStyle w:val="HideTWBExt"/>
      </w:rPr>
      <w:t>&lt;/Version&gt;</w:t>
    </w:r>
  </w:p>
  <w:p w:rsidR="00792141" w:rsidRPr="00F56031" w:rsidRDefault="00F56031" w:rsidP="00F56031">
    <w:pPr>
      <w:pStyle w:val="EPFooter2"/>
    </w:pPr>
    <w:r w:rsidRPr="00F56031">
      <w:tab/>
    </w:r>
    <w:r w:rsidRPr="00F56031">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6031" w:rsidRPr="00F56031" w:rsidRDefault="00F56031" w:rsidP="00F56031">
    <w:pPr>
      <w:pStyle w:val="EPFooter"/>
    </w:pPr>
    <w:r w:rsidRPr="00F56031">
      <w:rPr>
        <w:rStyle w:val="HideTWBExt"/>
      </w:rPr>
      <w:t>&lt;PathFdR&gt;</w:t>
    </w:r>
    <w:r w:rsidRPr="00F56031">
      <w:t>PR\1278028DA.docx</w:t>
    </w:r>
    <w:r w:rsidRPr="00F56031">
      <w:rPr>
        <w:rStyle w:val="HideTWBExt"/>
      </w:rPr>
      <w:t>&lt;/PathFdR&gt;</w:t>
    </w:r>
    <w:r w:rsidRPr="00F56031">
      <w:tab/>
    </w:r>
    <w:r w:rsidRPr="00F56031">
      <w:tab/>
      <w:t>PE</w:t>
    </w:r>
    <w:r w:rsidRPr="00F56031">
      <w:rPr>
        <w:rStyle w:val="HideTWBExt"/>
      </w:rPr>
      <w:t>&lt;NoPE&gt;</w:t>
    </w:r>
    <w:r w:rsidRPr="00F56031">
      <w:t>746.964</w:t>
    </w:r>
    <w:r w:rsidRPr="00F56031">
      <w:rPr>
        <w:rStyle w:val="HideTWBExt"/>
      </w:rPr>
      <w:t>&lt;/NoPE&gt;&lt;Version&gt;</w:t>
    </w:r>
    <w:r w:rsidRPr="00F56031">
      <w:t>v01-00</w:t>
    </w:r>
    <w:r w:rsidRPr="00F56031">
      <w:rPr>
        <w:rStyle w:val="HideTWBExt"/>
      </w:rPr>
      <w:t>&lt;/Version&gt;</w:t>
    </w:r>
  </w:p>
  <w:p w:rsidR="00792141" w:rsidRPr="00F56031" w:rsidRDefault="00F56031" w:rsidP="00F56031">
    <w:pPr>
      <w:pStyle w:val="EPFooter2"/>
    </w:pPr>
    <w:r w:rsidRPr="00F56031">
      <w:t>DA</w:t>
    </w:r>
    <w:r w:rsidRPr="00F56031">
      <w:tab/>
    </w:r>
    <w:r w:rsidRPr="00F56031">
      <w:rPr>
        <w:b w:val="0"/>
        <w:i/>
        <w:color w:val="C0C0C0"/>
        <w:sz w:val="22"/>
      </w:rPr>
      <w:t>Forenet i mangfoldighed</w:t>
    </w:r>
    <w:r w:rsidRPr="00F56031">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141" w:rsidRPr="00F56031" w:rsidRDefault="00772EA1">
      <w:r w:rsidRPr="00F56031">
        <w:separator/>
      </w:r>
    </w:p>
  </w:footnote>
  <w:footnote w:type="continuationSeparator" w:id="0">
    <w:p w:rsidR="00792141" w:rsidRPr="00F56031" w:rsidRDefault="00772EA1">
      <w:r w:rsidRPr="00F56031">
        <w:continuationSeparator/>
      </w:r>
    </w:p>
  </w:footnote>
  <w:footnote w:id="1">
    <w:p w:rsidR="00792141" w:rsidRPr="00F56031" w:rsidRDefault="00772EA1" w:rsidP="00A15B92">
      <w:pPr>
        <w:pStyle w:val="FootnoteText"/>
      </w:pPr>
      <w:r w:rsidRPr="00F56031">
        <w:rPr>
          <w:rStyle w:val="FootnoteReference"/>
        </w:rPr>
        <w:footnoteRef/>
      </w:r>
      <w:r w:rsidRPr="00F56031">
        <w:t xml:space="preserve"> EUT C xxx, xx.xx.xxxx, s. x.</w:t>
      </w:r>
      <w:r w:rsidRPr="00F56031">
        <w:rPr>
          <w:sz w:val="24"/>
        </w:rPr>
        <w:t xml:space="preserve"> </w:t>
      </w:r>
      <w:r w:rsidRPr="00F56031">
        <w:t>/endnu ikke offentliggjort i Den Europæiske Unions Tidende.</w:t>
      </w:r>
    </w:p>
  </w:footnote>
  <w:footnote w:id="2">
    <w:p w:rsidR="00792141" w:rsidRPr="00F56031" w:rsidRDefault="00772EA1" w:rsidP="00410920">
      <w:pPr>
        <w:pStyle w:val="FootnoteText"/>
      </w:pPr>
      <w:r w:rsidRPr="00F56031">
        <w:rPr>
          <w:rStyle w:val="FootnoteReference"/>
        </w:rPr>
        <w:footnoteRef/>
      </w:r>
      <w:r w:rsidRPr="00F56031">
        <w:t xml:space="preserve"> EUT C xxx, xx.xx.xxxx, s. x. /endnu ikke offentliggjort i Den Europæiske Unions </w:t>
      </w:r>
      <w:r w:rsidRPr="00F56031">
        <w:t>Tidende.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CF9" w:rsidRDefault="00CA4C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CF9" w:rsidRDefault="00CA4C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CF9" w:rsidRDefault="00CA4C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0816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3332ED"/>
    <w:multiLevelType w:val="hybridMultilevel"/>
    <w:tmpl w:val="104C71B4"/>
    <w:lvl w:ilvl="0" w:tplc="F49A457E">
      <w:start w:val="1"/>
      <w:numFmt w:val="decimal"/>
      <w:lvlText w:val="(%1)"/>
      <w:lvlJc w:val="left"/>
      <w:pPr>
        <w:ind w:left="720" w:hanging="360"/>
      </w:pPr>
      <w:rPr>
        <w:rFonts w:hint="default"/>
      </w:rPr>
    </w:lvl>
    <w:lvl w:ilvl="1" w:tplc="782A53F6" w:tentative="1">
      <w:start w:val="1"/>
      <w:numFmt w:val="lowerLetter"/>
      <w:lvlText w:val="%2."/>
      <w:lvlJc w:val="left"/>
      <w:pPr>
        <w:ind w:left="1440" w:hanging="360"/>
      </w:pPr>
    </w:lvl>
    <w:lvl w:ilvl="2" w:tplc="6DB8A688" w:tentative="1">
      <w:start w:val="1"/>
      <w:numFmt w:val="lowerRoman"/>
      <w:lvlText w:val="%3."/>
      <w:lvlJc w:val="right"/>
      <w:pPr>
        <w:ind w:left="2160" w:hanging="180"/>
      </w:pPr>
    </w:lvl>
    <w:lvl w:ilvl="3" w:tplc="222A0A30" w:tentative="1">
      <w:start w:val="1"/>
      <w:numFmt w:val="decimal"/>
      <w:lvlText w:val="%4."/>
      <w:lvlJc w:val="left"/>
      <w:pPr>
        <w:ind w:left="2880" w:hanging="360"/>
      </w:pPr>
    </w:lvl>
    <w:lvl w:ilvl="4" w:tplc="51048A56" w:tentative="1">
      <w:start w:val="1"/>
      <w:numFmt w:val="lowerLetter"/>
      <w:lvlText w:val="%5."/>
      <w:lvlJc w:val="left"/>
      <w:pPr>
        <w:ind w:left="3600" w:hanging="360"/>
      </w:pPr>
    </w:lvl>
    <w:lvl w:ilvl="5" w:tplc="AD06624E" w:tentative="1">
      <w:start w:val="1"/>
      <w:numFmt w:val="lowerRoman"/>
      <w:lvlText w:val="%6."/>
      <w:lvlJc w:val="right"/>
      <w:pPr>
        <w:ind w:left="4320" w:hanging="180"/>
      </w:pPr>
    </w:lvl>
    <w:lvl w:ilvl="6" w:tplc="B652FEA0" w:tentative="1">
      <w:start w:val="1"/>
      <w:numFmt w:val="decimal"/>
      <w:lvlText w:val="%7."/>
      <w:lvlJc w:val="left"/>
      <w:pPr>
        <w:ind w:left="5040" w:hanging="360"/>
      </w:pPr>
    </w:lvl>
    <w:lvl w:ilvl="7" w:tplc="E910BDFE" w:tentative="1">
      <w:start w:val="1"/>
      <w:numFmt w:val="lowerLetter"/>
      <w:lvlText w:val="%8."/>
      <w:lvlJc w:val="left"/>
      <w:pPr>
        <w:ind w:left="5760" w:hanging="360"/>
      </w:pPr>
    </w:lvl>
    <w:lvl w:ilvl="8" w:tplc="5A56F362" w:tentative="1">
      <w:start w:val="1"/>
      <w:numFmt w:val="lowerRoman"/>
      <w:lvlText w:val="%9."/>
      <w:lvlJc w:val="right"/>
      <w:pPr>
        <w:ind w:left="6480" w:hanging="180"/>
      </w:pPr>
    </w:lvl>
  </w:abstractNum>
  <w:abstractNum w:abstractNumId="11" w15:restartNumberingAfterBreak="0">
    <w:nsid w:val="08AB3E96"/>
    <w:multiLevelType w:val="hybridMultilevel"/>
    <w:tmpl w:val="469C47B6"/>
    <w:lvl w:ilvl="0" w:tplc="DA7EA18E">
      <w:start w:val="1"/>
      <w:numFmt w:val="decimal"/>
      <w:lvlText w:val="%1."/>
      <w:lvlJc w:val="left"/>
      <w:pPr>
        <w:ind w:left="720" w:hanging="360"/>
      </w:pPr>
      <w:rPr>
        <w:rFonts w:hint="default"/>
      </w:rPr>
    </w:lvl>
    <w:lvl w:ilvl="1" w:tplc="3BBE3578" w:tentative="1">
      <w:start w:val="1"/>
      <w:numFmt w:val="lowerLetter"/>
      <w:lvlText w:val="%2."/>
      <w:lvlJc w:val="left"/>
      <w:pPr>
        <w:ind w:left="1440" w:hanging="360"/>
      </w:pPr>
    </w:lvl>
    <w:lvl w:ilvl="2" w:tplc="83EECA1C" w:tentative="1">
      <w:start w:val="1"/>
      <w:numFmt w:val="lowerRoman"/>
      <w:lvlText w:val="%3."/>
      <w:lvlJc w:val="right"/>
      <w:pPr>
        <w:ind w:left="2160" w:hanging="180"/>
      </w:pPr>
    </w:lvl>
    <w:lvl w:ilvl="3" w:tplc="3A4AB37A" w:tentative="1">
      <w:start w:val="1"/>
      <w:numFmt w:val="decimal"/>
      <w:lvlText w:val="%4."/>
      <w:lvlJc w:val="left"/>
      <w:pPr>
        <w:ind w:left="2880" w:hanging="360"/>
      </w:pPr>
    </w:lvl>
    <w:lvl w:ilvl="4" w:tplc="F02673C8" w:tentative="1">
      <w:start w:val="1"/>
      <w:numFmt w:val="lowerLetter"/>
      <w:lvlText w:val="%5."/>
      <w:lvlJc w:val="left"/>
      <w:pPr>
        <w:ind w:left="3600" w:hanging="360"/>
      </w:pPr>
    </w:lvl>
    <w:lvl w:ilvl="5" w:tplc="1A209762" w:tentative="1">
      <w:start w:val="1"/>
      <w:numFmt w:val="lowerRoman"/>
      <w:lvlText w:val="%6."/>
      <w:lvlJc w:val="right"/>
      <w:pPr>
        <w:ind w:left="4320" w:hanging="180"/>
      </w:pPr>
    </w:lvl>
    <w:lvl w:ilvl="6" w:tplc="FE42F2A2" w:tentative="1">
      <w:start w:val="1"/>
      <w:numFmt w:val="decimal"/>
      <w:lvlText w:val="%7."/>
      <w:lvlJc w:val="left"/>
      <w:pPr>
        <w:ind w:left="5040" w:hanging="360"/>
      </w:pPr>
    </w:lvl>
    <w:lvl w:ilvl="7" w:tplc="D61A296E" w:tentative="1">
      <w:start w:val="1"/>
      <w:numFmt w:val="lowerLetter"/>
      <w:lvlText w:val="%8."/>
      <w:lvlJc w:val="left"/>
      <w:pPr>
        <w:ind w:left="5760" w:hanging="360"/>
      </w:pPr>
    </w:lvl>
    <w:lvl w:ilvl="8" w:tplc="E9F84DC4" w:tentative="1">
      <w:start w:val="1"/>
      <w:numFmt w:val="lowerRoman"/>
      <w:lvlText w:val="%9."/>
      <w:lvlJc w:val="right"/>
      <w:pPr>
        <w:ind w:left="6480" w:hanging="180"/>
      </w:pPr>
    </w:lvl>
  </w:abstractNum>
  <w:abstractNum w:abstractNumId="12" w15:restartNumberingAfterBreak="0">
    <w:nsid w:val="39D7239F"/>
    <w:multiLevelType w:val="hybridMultilevel"/>
    <w:tmpl w:val="BD120572"/>
    <w:lvl w:ilvl="0" w:tplc="E88ABE14">
      <w:start w:val="1"/>
      <w:numFmt w:val="decimal"/>
      <w:lvlText w:val="%1."/>
      <w:lvlJc w:val="left"/>
      <w:pPr>
        <w:ind w:left="720" w:hanging="360"/>
      </w:pPr>
      <w:rPr>
        <w:rFonts w:hint="default"/>
        <w:color w:val="333333"/>
        <w:sz w:val="27"/>
      </w:rPr>
    </w:lvl>
    <w:lvl w:ilvl="1" w:tplc="990E573C" w:tentative="1">
      <w:start w:val="1"/>
      <w:numFmt w:val="lowerLetter"/>
      <w:lvlText w:val="%2."/>
      <w:lvlJc w:val="left"/>
      <w:pPr>
        <w:ind w:left="1440" w:hanging="360"/>
      </w:pPr>
    </w:lvl>
    <w:lvl w:ilvl="2" w:tplc="1318EB44" w:tentative="1">
      <w:start w:val="1"/>
      <w:numFmt w:val="lowerRoman"/>
      <w:lvlText w:val="%3."/>
      <w:lvlJc w:val="right"/>
      <w:pPr>
        <w:ind w:left="2160" w:hanging="180"/>
      </w:pPr>
    </w:lvl>
    <w:lvl w:ilvl="3" w:tplc="0E7C1FF8" w:tentative="1">
      <w:start w:val="1"/>
      <w:numFmt w:val="decimal"/>
      <w:lvlText w:val="%4."/>
      <w:lvlJc w:val="left"/>
      <w:pPr>
        <w:ind w:left="2880" w:hanging="360"/>
      </w:pPr>
    </w:lvl>
    <w:lvl w:ilvl="4" w:tplc="DDEA080E" w:tentative="1">
      <w:start w:val="1"/>
      <w:numFmt w:val="lowerLetter"/>
      <w:lvlText w:val="%5."/>
      <w:lvlJc w:val="left"/>
      <w:pPr>
        <w:ind w:left="3600" w:hanging="360"/>
      </w:pPr>
    </w:lvl>
    <w:lvl w:ilvl="5" w:tplc="80BC55AA" w:tentative="1">
      <w:start w:val="1"/>
      <w:numFmt w:val="lowerRoman"/>
      <w:lvlText w:val="%6."/>
      <w:lvlJc w:val="right"/>
      <w:pPr>
        <w:ind w:left="4320" w:hanging="180"/>
      </w:pPr>
    </w:lvl>
    <w:lvl w:ilvl="6" w:tplc="CA64D64E" w:tentative="1">
      <w:start w:val="1"/>
      <w:numFmt w:val="decimal"/>
      <w:lvlText w:val="%7."/>
      <w:lvlJc w:val="left"/>
      <w:pPr>
        <w:ind w:left="5040" w:hanging="360"/>
      </w:pPr>
    </w:lvl>
    <w:lvl w:ilvl="7" w:tplc="E996A932" w:tentative="1">
      <w:start w:val="1"/>
      <w:numFmt w:val="lowerLetter"/>
      <w:lvlText w:val="%8."/>
      <w:lvlJc w:val="left"/>
      <w:pPr>
        <w:ind w:left="5760" w:hanging="360"/>
      </w:pPr>
    </w:lvl>
    <w:lvl w:ilvl="8" w:tplc="4ECEA6FE"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2"/>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COMKEY" w:val="EMPL"/>
    <w:docVar w:name="CopyToNetwork" w:val="-1"/>
    <w:docVar w:name="CVar" w:val="2"/>
    <w:docVar w:name="DOCMNU" w:val=" 2"/>
    <w:docVar w:name="iNoAmend" w:val="2"/>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99275 HideTWBExt;}{\*\cs18 \additive \v\f1\fs20\cf15 _x000d__x000a_\spriority0 \styrsid5599275 HideTWBInt;}{\s19\ql \li0\ri0\sa120\nowidctlpar\wrapdefault\aspalpha\aspnum\faauto\adjustright\rin0\lin0\itap0 \rtlch\fcs1 \af0\afs20\alang1025 \ltrch\fcs0 \fs24\lang2057\langfe2057\cgrid\langnp2057\langfenp2057 _x000d__x000a_\sbasedon0 \snext19 \spriority0 \styrsid5599275 Normal6a;}{\s20\ql \li0\ri0\nowidctlpar\wrapdefault\aspalpha\aspnum\faauto\adjustright\rin0\lin0\itap0 \rtlch\fcs1 \af0\afs20\alang1025 \ltrch\fcs0 \b\fs24\lang2057\langfe2057\cgrid\langnp2057\langfenp2057 _x000d__x000a_\sbasedon0 \snext20 \spriority0 \styrsid5599275 NormalBold;}{\s21\ql \li0\ri0\sa240\nowidctlpar\wrapdefault\aspalpha\aspnum\faauto\adjustright\rin0\lin0\itap0 \rtlch\fcs1 \af0\afs20\alang1025 \ltrch\fcs0 _x000d__x000a_\i\fs24\lang2057\langfe2057\cgrid\langnp2057\langfenp2057 \sbasedon0 \snext21 \spriority0 \styrsid5599275 AmJustText;}{\s22\qc \li0\ri0\sb240\sa240\nowidctlpar\wrapdefault\aspalpha\aspnum\faauto\adjustright\rin0\lin0\itap0 \rtlch\fcs1 _x000d__x000a_\af0\afs20\alang1025 \ltrch\fcs0 \i\fs24\lang2057\langfe2057\cgrid\langnp2057\langfenp2057 \sbasedon0 \snext22 \spriority0 \styrsid5599275 AmCrossRef;}{_x000d__x000a_\s23\qc \li0\ri0\sb240\sa240\keepn\nowidctlpar\wrapdefault\aspalpha\aspnum\faauto\adjustright\rin0\lin0\itap0 \rtlch\fcs1 \af0\afs20\alang1025 \ltrch\fcs0 \i\fs24\lang2057\langfe2057\cgrid\langnp2057\langfenp2057 _x000d__x000a_\sbasedon0 \snext21 \spriority0 \styrsid5599275 AmJustTitle;}{\s24\qr \li0\ri0\sb240\sa240\nowidctlpar\wrapdefault\aspalpha\aspnum\faauto\adjustright\rin0\lin0\itap0 \rtlch\fcs1 \af0\afs20\alang1025 \ltrch\fcs0 _x000d__x000a_\fs24\lang2057\langfe2057\cgrid\langnp2057\langfenp2057 \sbasedon0 \snext24 \spriority0 \styrsid5599275 AmOrLang;}{\s25\qc \li0\ri0\sa240\nowidctlpar\wrapdefault\aspalpha\aspnum\faauto\adjustright\rin0\lin0\itap0 \rtlch\fcs1 \af0\afs20\alang1025 _x000d__x000a_\ltrch\fcs0 \i\fs24\lang2057\langfe2057\cgrid\langnp2057\langfenp2057 \sbasedon0 \snext25 \spriority0 \styrsid55992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599275 AmNumberTabs;}{\s27\ql \li0\ri0\sb240\nowidctlpar\wrapdefault\aspalpha\aspnum\faauto\adjustright\rin0\lin0\itap0 \rtlch\fcs1 _x000d__x000a_\af0\afs20\alang1025 \ltrch\fcs0 \b\fs24\lang2057\langfe2057\cgrid\langnp2057\langfenp2057 \sbasedon0 \snext27 \spriority0 \styrsid5599275 NormalBold12b;}}{\*\rsidtbl \rsid24658\rsid223860\rsid735077\rsid1718133\rsid2892074\rsid3565327\rsid4666813_x000d__x000a_\rsid5599275\rsid6641733\rsid7823322\rsid9636012\rsid9984721\rsid10377208\rsid11215221\rsid11549030\rsid12154954\rsid14382809\rsid14424199\rsid15204470\rsid15285974\rsid15950462\rsid16324206\rsid16662270}{\mmathPr\mmathFont34\mbrkBin0\mbrkBinSub0_x000d__x000a_\msmallFrac0\mdispDef1\mlMargin0\mrMargin0\mdefJc1\mwrapIndent1440\mintLim0\mnaryLim1}{\info{\author ARAMINA Irena}{\operator ARAMINA Irena}{\creatim\yr2023\mo5\dy2\hr15\min38}{\revtim\yr2023\mo5\dy2\hr15\min38}{\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99275\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9984721 \chftnsep _x000d__x000a_\par }}{\*\ftnsepc \ltrpar \pard\plain \ltrpar\ql \li0\ri0\widctlpar\wrapdefault\aspalpha\aspnum\faauto\adjustright\rin0\lin0\itap0 \rtlch\fcs1 \af0\afs20\alang1025 \ltrch\fcs0 \fs24\lang2057\langfe2057\cgrid\langnp2057\langfenp2057 {\rtlch\fcs1 \af0 _x000d__x000a_\ltrch\fcs0 \insrsid9984721 \chftnsepc _x000d__x000a_\par }}{\*\aftnsep \ltrpar \pard\plain \ltrpar\ql \li0\ri0\widctlpar\wrapdefault\aspalpha\aspnum\faauto\adjustright\rin0\lin0\itap0 \rtlch\fcs1 \af0\afs20\alang1025 \ltrch\fcs0 \fs24\lang2057\langfe2057\cgrid\langnp2057\langfenp2057 {\rtlch\fcs1 \af0 _x000d__x000a_\ltrch\fcs0 \insrsid9984721 \chftnsep _x000d__x000a_\par }}{\*\aftnsepc \ltrpar \pard\plain \ltrpar\ql \li0\ri0\widctlpar\wrapdefault\aspalpha\aspnum\faauto\adjustright\rin0\lin0\itap0 \rtlch\fcs1 \af0\afs20\alang1025 \ltrch\fcs0 \fs24\lang2057\langfe2057\cgrid\langnp2057\langfenp2057 {\rtlch\fcs1 \af0 _x000d__x000a_\ltrch\fcs0 \insrsid99847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599275 \rtlch\fcs1 _x000d__x000a_\af0\afs20\alang1025 \ltrch\fcs0 \b\fs24\lang2057\langfe2057\cgrid\langnp2057\langfenp2057 {\rtlch\fcs1 \af0 \ltrch\fcs0 \cs17\b0\v\fs20\cf9\lang1024\langfe1024\loch\af1\hich\af1\dbch\af31501\noproof\insrsid5599275\charrsid3740549 {\*\bkmkstart restart}_x000d__x000a_\hich\af1\dbch\af31501\loch\f1 &lt;Amend&gt;}{\rtlch\fcs1 \af0 \ltrch\fcs0 \insrsid5599275\charrsid3740549 Amendment\tab \tab }{\rtlch\fcs1 \af0 \ltrch\fcs0 _x000d__x000a_\cs17\b0\v\fs20\cf9\lang1024\langfe1024\loch\af1\hich\af1\dbch\af31501\noproof\insrsid5599275\charrsid3740549 \hich\af1\dbch\af31501\loch\f1 &lt;NumAm&gt;}{\rtlch\fcs1 \af0 \ltrch\fcs0 \insrsid5599275\charrsid3740549 #}{\rtlch\fcs1 \af1 \ltrch\fcs0 _x000d__x000a_\cs18\v\f1\fs20\cf15\insrsid5599275\charrsid3740549 ENMIENDA@NRAM@}{\rtlch\fcs1 \af0 \ltrch\fcs0 \insrsid5599275\charrsid3740549 #}{\rtlch\fcs1 \af0 \ltrch\fcs0 _x000d__x000a_\cs17\b0\v\fs20\cf9\lang1024\langfe1024\loch\af1\hich\af1\dbch\af31501\noproof\insrsid5599275\charrsid3740549 \hich\af1\dbch\af31501\loch\f1 &lt;/NumAm&gt;}{\rtlch\fcs1 \af0 \ltrch\fcs0 \insrsid5599275\charrsid3740549 _x000d__x000a_\par }\pard\plain \ltrpar\s27\ql \li0\ri0\sb240\keepn\nowidctlpar\wrapdefault\aspalpha\aspnum\faauto\adjustright\rin0\lin0\itap0\pararsid5599275 \rtlch\fcs1 \af0\afs20\alang1025 \ltrch\fcs0 \b\fs24\lang2057\langfe2057\cgrid\langnp2057\langfenp2057 {_x000d__x000a_\rtlch\fcs1 \af0 \ltrch\fcs0 \cs17\b0\v\fs20\cf9\lang1024\langfe1024\loch\af1\hich\af1\dbch\af31501\noproof\insrsid5599275\charrsid3740549 \hich\af1\dbch\af31501\loch\f1 &lt;DocAmend&gt;}{\rtlch\fcs1 \af0 \ltrch\fcs0 \insrsid5599275\charrsid3740549 _x000d__x000a_Proposal for a #}{\rtlch\fcs1 \af1 \ltrch\fcs0 \cs18\v\f1\fs20\cf15\insrsid5599275\charrsid3740549 MNU[DOC1][DOC2][DOC3]@DOCMSG@DOCMNU}{\rtlch\fcs1 \af0 \ltrch\fcs0 \insrsid5599275\charrsid3740549 ##}{\rtlch\fcs1 \af1 \ltrch\fcs0 _x000d__x000a_\cs18\v\f1\fs20\cf15\insrsid5599275\charrsid3740549 MNU[AMACTYES][NOTAPP]@CHOICE@AMACTMNU}{\rtlch\fcs1 \af0 \ltrch\fcs0 \insrsid5599275\charrsid3740549 #}{\rtlch\fcs1 \af0 \ltrch\fcs0 _x000d__x000a_\cs17\b0\v\fs20\cf9\lang1024\langfe1024\loch\af1\hich\af1\dbch\af31501\noproof\insrsid5599275\charrsid3740549 \hich\af1\dbch\af31501\loch\f1 &lt;/DocAmend&gt;}{\rtlch\fcs1 \af0 \ltrch\fcs0 \insrsid5599275\charrsid3740549 _x000d__x000a_\par }\pard\plain \ltrpar\s20\ql \li0\ri0\keepn\nowidctlpar\wrapdefault\aspalpha\aspnum\faauto\adjustright\rin0\lin0\itap0\pararsid5599275 \rtlch\fcs1 \af0\afs20\alang1025 \ltrch\fcs0 \b\fs24\lang2057\langfe2057\cgrid\langnp2057\langfenp2057 {\rtlch\fcs1 \af0 _x000d__x000a_\ltrch\fcs0 \cs17\b0\v\fs20\cf9\lang1024\langfe1024\loch\af1\hich\af1\dbch\af31501\noproof\insrsid5599275\charrsid3740549 \hich\af1\dbch\af31501\loch\f1 &lt;Article&gt;}{\rtlch\fcs1 \af0 \ltrch\fcs0 \insrsid5599275\charrsid3740549 #}{\rtlch\fcs1 \af1 _x000d__x000a_\ltrch\fcs0 \cs18\v\f1\fs20\cf15\insrsid5599275\charrsid3740549 MNU[AMACTPARTYES][AMACTPARTNO]@CHOICE@AMACTMNU}{\rtlch\fcs1 \af0 \ltrch\fcs0 \insrsid5599275\charrsid3740549 #}{\rtlch\fcs1 \af0 \ltrch\fcs0 _x000d__x000a_\cs17\b0\v\fs20\cf9\lang1024\langfe1024\loch\af1\hich\af1\dbch\af31501\noproof\insrsid5599275\charrsid3740549 \hich\af1\dbch\af31501\loch\f1 &lt;/Article&gt;}{\rtlch\fcs1 \af0 \ltrch\fcs0 \insrsid5599275\charrsid3740549 _x000d__x000a_\par }\pard\plain \ltrpar\ql \li0\ri0\keepn\widctlpar\wrapdefault\aspalpha\aspnum\faauto\adjustright\rin0\lin0\itap0\pararsid5599275 \rtlch\fcs1 \af0\afs20\alang1025 \ltrch\fcs0 \fs24\lang2057\langfe2057\cgrid\langnp2057\langfenp2057 {\rtlch\fcs1 \af0 _x000d__x000a_\ltrch\fcs0 \cs17\v\fs20\cf9\lang1024\langfe1024\loch\af1\hich\af1\dbch\af31501\noproof\insrsid5599275\charrsid3740549 \hich\af1\dbch\af31501\loch\f1 &lt;DocAmend2&gt;&lt;OptDel&gt;}{\rtlch\fcs1 \af0 \ltrch\fcs0 \insrsid5599275\charrsid3740549 #}{\rtlch\fcs1 \af1 _x000d__x000a_\ltrch\fcs0 \cs18\v\f1\fs20\cf15\insrsid5599275\charrsid3740549 MNU[OPTNRACTYES][NOTAPP]@CHOICE@AMACTMNU}{\rtlch\fcs1 \af0 \ltrch\fcs0 \insrsid5599275\charrsid3740549 #}{\rtlch\fcs1 \af0 \ltrch\fcs0 _x000d__x000a_\cs17\v\fs20\cf9\lang1024\langfe1024\loch\af1\hich\af1\dbch\af31501\noproof\insrsid5599275\charrsid3740549 \hich\af1\dbch\af31501\loch\f1 &lt;/OptDel&gt;&lt;/DocAmend2&gt;}{\rtlch\fcs1 \af0 \ltrch\fcs0 \insrsid5599275\charrsid3740549 _x000d__x000a_\par }\pard \ltrpar\ql \li0\ri0\widctlpar\wrapdefault\aspalpha\aspnum\faauto\adjustright\rin0\lin0\itap0\pararsid5599275 {\rtlch\fcs1 \af0 \ltrch\fcs0 \cs17\v\fs20\cf9\lang1024\langfe1024\loch\af1\hich\af1\dbch\af31501\noproof\insrsid5599275\charrsid3740549 _x000d__x000a_\hich\af1\dbch\af31501\loch\f1 &lt;Article2&gt;&lt;OptDel&gt;}{\rtlch\fcs1 \af0 \ltrch\fcs0 \insrsid5599275\charrsid3740549 #}{\rtlch\fcs1 \af1 \ltrch\fcs0 \cs18\v\f1\fs20\cf15\insrsid5599275\charrsid3740549 MNU[OPTACTPARTYES][NOTAPP]@CHOICE@AMACTMNU}{\rtlch\fcs1 _x000d__x000a_\af0 \ltrch\fcs0 \insrsid5599275\charrsid3740549 #}{\rtlch\fcs1 \af0 \ltrch\fcs0 \cs17\v\fs20\cf9\lang1024\langfe1024\loch\af1\hich\af1\dbch\af31501\noproof\insrsid5599275\charrsid3740549 \hich\af1\dbch\af31501\loch\f1 &lt;/OptDel&gt;&lt;/Article2&gt;}{\rtlch\fcs1 _x000d__x000a_\af0 \ltrch\fcs0 \insrsid5599275\charrsid3740549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5599275\charrsid3740549 \cell }\pard\plain \ltrpar\ql \li0\ri0\widctlpar\intbl\wrapdefault\aspalpha\aspnum\faauto\adjustright\rin0\lin0 \rtlch\fcs1 _x000d__x000a_\af0\afs20\alang1025 \ltrch\fcs0 \fs24\lang2057\langfe2057\cgrid\langnp2057\langfenp2057 {\rtlch\fcs1 \af0 \ltrch\fcs0 \insrsid5599275\charrsid3740549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5599275\charrsid3740549 #}{\rtlch\fcs1 \af1 \ltrch\fcs0 \cs18\v\f1\fs20\cf15\insrsid5599275\charrsid3740549 MNU[OPTLEFTAMACT][LEFTPROP]@CHOICE@AMACTMNU}{\rtlch\fcs1 \af0 \ltrch\fcs0 \insrsid5599275\charrsid3740549 #\cell Amendment\cell _x000d__x000a_}\pard\plain \ltrpar\ql \li0\ri0\widctlpar\intbl\wrapdefault\aspalpha\aspnum\faauto\adjustright\rin0\lin0 \rtlch\fcs1 \af0\afs20\alang1025 \ltrch\fcs0 \fs24\lang2057\langfe2057\cgrid\langnp2057\langfenp2057 {\rtlch\fcs1 \af0 \ltrch\fcs0 _x000d__x000a_\insrsid5599275\charrsid3740549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5599275\charrsid3740549 ##\cell ##}{\rtlch\fcs1 \af0\afs24 \ltrch\fcs0 \insrsid5599275\charrsid3740549 \cell }\pard\plain \ltrpar\ql \li0\ri0\widctlpar\intbl\wrapdefault\aspalpha\aspnum\faauto\adjustright\rin0\lin0 \rtlch\fcs1 _x000d__x000a_\af0\afs20\alang1025 \ltrch\fcs0 \fs24\lang2057\langfe2057\cgrid\langnp2057\langfenp2057 {\rtlch\fcs1 \af0 \ltrch\fcs0 \insrsid5599275\charrsid3740549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599275 \rtlch\fcs1 \af0\afs20\alang1025 \ltrch\fcs0 \fs24\lang2057\langfe2057\cgrid\langnp2057\langfenp2057 {\rtlch\fcs1 \af0 \ltrch\fcs0 _x000d__x000a_\insrsid5599275\charrsid3740549 Or. }{\rtlch\fcs1 \af0 \ltrch\fcs0 \cs17\v\fs20\cf9\lang1024\langfe1024\loch\af1\hich\af1\dbch\af31501\noproof\insrsid5599275\charrsid3740549 \hich\af1\dbch\af31501\loch\f1 &lt;Original&gt;}{\rtlch\fcs1 \af0 \ltrch\fcs0 _x000d__x000a_\insrsid5599275\charrsid3740549 #}{\rtlch\fcs1 \af1 \ltrch\fcs0 \cs18\v\f1\fs20\cf15\insrsid5599275\charrsid3740549 MNU[ORLANGONE][ORLANGMORE]@CHOICE@ORLANGMNU}{\rtlch\fcs1 \af0 \ltrch\fcs0 \insrsid5599275\charrsid3740549 #}{\rtlch\fcs1 \af0 \ltrch\fcs0 _x000d__x000a_\cs17\v\fs20\cf9\lang1024\langfe1024\loch\af1\hich\af1\dbch\af31501\noproof\insrsid5599275\charrsid3740549 \hich\af1\dbch\af31501\loch\f1 &lt;/Original&gt;}{\rtlch\fcs1 \af0 \ltrch\fcs0 \insrsid5599275\charrsid3740549 _x000d__x000a_\par }\pard\plain \ltrpar\s22\qc \li0\ri0\sb240\sa240\nowidctlpar\wrapdefault\aspalpha\aspnum\faauto\adjustright\rin0\lin0\itap0\pararsid5599275 \rtlch\fcs1 \af0\afs20\alang1025 \ltrch\fcs0 \i\fs24\lang2057\langfe2057\cgrid\langnp2057\langfenp2057 {_x000d__x000a_\rtlch\fcs1 \af0 \ltrch\fcs0 \cs17\i0\v\fs20\cf9\lang1024\langfe1024\loch\af1\hich\af1\dbch\af31501\noproof\insrsid5599275\charrsid3740549 \hich\af1\dbch\af31501\loch\f1 &lt;OptDel&gt;}{\rtlch\fcs1 \af0 \ltrch\fcs0 \insrsid5599275\charrsid3740549 #}{_x000d__x000a_\rtlch\fcs1 \af1 \ltrch\fcs0 \cs18\v\f1\fs20\cf15\insrsid5599275\charrsid3740549 MNU[CROSSREFNO][CROSSREFYES]@CHOICE@}{\rtlch\fcs1 \af0 \ltrch\fcs0 \insrsid5599275\charrsid3740549 #}{\rtlch\fcs1 \af0 \ltrch\fcs0 _x000d__x000a_\cs17\i0\v\fs20\cf9\lang1024\langfe1024\loch\af1\hich\af1\dbch\af31501\noproof\insrsid5599275\charrsid3740549 \hich\af1\dbch\af31501\loch\f1 &lt;/OptDel&gt;}{\rtlch\fcs1 \af0 \ltrch\fcs0 \insrsid5599275\charrsid3740549 _x000d__x000a_\par }\pard\plain \ltrpar\s23\qc \li0\ri0\sb240\sa240\keepn\nowidctlpar\wrapdefault\aspalpha\aspnum\faauto\adjustright\rin0\lin0\itap0\pararsid5599275 \rtlch\fcs1 \af0\afs20\alang1025 \ltrch\fcs0 \i\fs24\lang2057\langfe2057\cgrid\langnp2057\langfenp2057 {_x000d__x000a_\rtlch\fcs1 \af0 \ltrch\fcs0 \cs17\i0\v\fs20\cf9\lang1024\langfe1024\loch\af1\hich\af1\dbch\af31501\noproof\insrsid5599275\charrsid3740549 \hich\af1\dbch\af31501\loch\f1 &lt;TitreJust&gt;}{\rtlch\fcs1 \af0 \ltrch\fcs0 \insrsid5599275\charrsid3740549 _x000d__x000a_Justification}{\rtlch\fcs1 \af0 \ltrch\fcs0 \cs17\i0\v\fs20\cf9\lang1024\langfe1024\loch\af1\hich\af1\dbch\af31501\noproof\insrsid5599275\charrsid3740549 \hich\af1\dbch\af31501\loch\f1 &lt;/TitreJust&gt;}{\rtlch\fcs1 \af0 \ltrch\fcs0 _x000d__x000a_\insrsid5599275\charrsid3740549 _x000d__x000a_\par }\pard\plain \ltrpar\s21\ql \li0\ri0\sa240\nowidctlpar\wrapdefault\aspalpha\aspnum\faauto\adjustright\rin0\lin0\itap0\pararsid5599275 \rtlch\fcs1 \af0\afs20\alang1025 \ltrch\fcs0 \i\fs24\lang2057\langfe2057\cgrid\langnp2057\langfenp2057 {\rtlch\fcs1 \af0 _x000d__x000a_\ltrch\fcs0 \cs17\i0\v\fs20\cf9\lang1024\langfe1024\loch\af1\hich\af1\dbch\af31501\noproof\insrsid5599275\charrsid3740549 \hich\af1\dbch\af31501\loch\f1 &lt;OptDelPrev&gt;}{\rtlch\fcs1 \af0 \ltrch\fcs0 \insrsid5599275\charrsid3740549 #}{\rtlch\fcs1 \af1 _x000d__x000a_\ltrch\fcs0 \cs18\v\f1\fs20\cf15\insrsid5599275\charrsid3740549 MNU[TEXTJUSTYES][TEXTJUSTNO]@CHOICE@}{\rtlch\fcs1 \af0 \ltrch\fcs0 \insrsid5599275\charrsid3740549 #}{\rtlch\fcs1 \af0 \ltrch\fcs0 _x000d__x000a_\cs17\i0\v\fs20\cf9\lang1024\langfe1024\loch\af1\hich\af1\dbch\af31501\noproof\insrsid5599275\charrsid3740549 \hich\af1\dbch\af31501\loch\f1 &lt;/OptDelPrev&gt;}{\rtlch\fcs1 \af0 \ltrch\fcs0 \insrsid5599275\charrsid3740549 _x000d__x000a_\par }\pard\plain \ltrpar\ql \li0\ri0\widctlpar\wrapdefault\aspalpha\aspnum\faauto\adjustright\rin0\lin0\itap0\pararsid5599275 \rtlch\fcs1 \af0\afs20\alang1025 \ltrch\fcs0 \fs24\lang2057\langfe2057\cgrid\langnp2057\langfenp2057 {\rtlch\fcs1 \af0 \ltrch\fcs0 _x000d__x000a_\cs17\v\fs20\cf9\lang1024\langfe1024\loch\af1\hich\af1\dbch\af31501\noproof\insrsid5599275\charrsid374054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8_x000d__x000a_b552fb7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78"/>
    <w:docVar w:name="TVTACTPART" w:val="Article"/>
    <w:docVar w:name="TVTAMACTPART" w:val="Recital"/>
    <w:docVar w:name="TXTAUTHOR" w:val="Nikolaj Villumsen"/>
    <w:docVar w:name="TXTLANGUE" w:val="DA"/>
    <w:docVar w:name="TXTLANGUEMIN" w:val="da"/>
    <w:docVar w:name="TXTNRC" w:val="0022/2023"/>
    <w:docVar w:name="TXTNRCOD" w:val="2023/0033"/>
    <w:docVar w:name="TXTNRCOM" w:val="92023-00071"/>
    <w:docVar w:name="TXTNRDIR" w:val="2004/37/EC"/>
    <w:docVar w:name="TXTNRFIRSTAM" w:val="1"/>
    <w:docVar w:name="TXTNRLASTAM" w:val="34"/>
    <w:docVar w:name="TXTNRPE" w:val="746.964"/>
    <w:docVar w:name="TXTPEorAP" w:val="PE"/>
    <w:docVar w:name="TXTROUTE" w:val="PR\1278028DA.docx"/>
    <w:docVar w:name="TXTTITLE" w:val="Amending Council Directive 98/24/EC and Directive 2004/37/EC of the European Parliament and of the Council as regards the limit values for lead and its inorganic compounds and diisocyanates"/>
    <w:docVar w:name="TXTVERSION" w:val="01-00"/>
  </w:docVars>
  <w:rsids>
    <w:rsidRoot w:val="00391385"/>
    <w:rsid w:val="0000204B"/>
    <w:rsid w:val="00011AAB"/>
    <w:rsid w:val="00012351"/>
    <w:rsid w:val="000139E5"/>
    <w:rsid w:val="00037CB9"/>
    <w:rsid w:val="0004271C"/>
    <w:rsid w:val="00075760"/>
    <w:rsid w:val="00084DD2"/>
    <w:rsid w:val="00084E89"/>
    <w:rsid w:val="000B7489"/>
    <w:rsid w:val="000E6DAC"/>
    <w:rsid w:val="000F1096"/>
    <w:rsid w:val="00105F9B"/>
    <w:rsid w:val="0011298A"/>
    <w:rsid w:val="00120948"/>
    <w:rsid w:val="0012111E"/>
    <w:rsid w:val="0012174F"/>
    <w:rsid w:val="00123DD5"/>
    <w:rsid w:val="001277AE"/>
    <w:rsid w:val="00134911"/>
    <w:rsid w:val="00142215"/>
    <w:rsid w:val="001767E2"/>
    <w:rsid w:val="00187008"/>
    <w:rsid w:val="00191E1C"/>
    <w:rsid w:val="001B3829"/>
    <w:rsid w:val="001C1F32"/>
    <w:rsid w:val="001C5592"/>
    <w:rsid w:val="001C5B44"/>
    <w:rsid w:val="001C6FFC"/>
    <w:rsid w:val="001E5C03"/>
    <w:rsid w:val="001F4EDD"/>
    <w:rsid w:val="001F7C7C"/>
    <w:rsid w:val="00212B84"/>
    <w:rsid w:val="00215ED0"/>
    <w:rsid w:val="00225D5A"/>
    <w:rsid w:val="002346B0"/>
    <w:rsid w:val="002667C3"/>
    <w:rsid w:val="002669B6"/>
    <w:rsid w:val="002719EB"/>
    <w:rsid w:val="002732A8"/>
    <w:rsid w:val="00290BED"/>
    <w:rsid w:val="002C4A99"/>
    <w:rsid w:val="002C4EE0"/>
    <w:rsid w:val="002D13EE"/>
    <w:rsid w:val="002E33EE"/>
    <w:rsid w:val="002F3C9D"/>
    <w:rsid w:val="002F40BB"/>
    <w:rsid w:val="002F4B02"/>
    <w:rsid w:val="00323EF8"/>
    <w:rsid w:val="00325286"/>
    <w:rsid w:val="00330214"/>
    <w:rsid w:val="003316DD"/>
    <w:rsid w:val="003664AE"/>
    <w:rsid w:val="00366A46"/>
    <w:rsid w:val="00370AC3"/>
    <w:rsid w:val="003733DC"/>
    <w:rsid w:val="003824EE"/>
    <w:rsid w:val="00391385"/>
    <w:rsid w:val="003926BD"/>
    <w:rsid w:val="003B4689"/>
    <w:rsid w:val="003C2068"/>
    <w:rsid w:val="003C37CF"/>
    <w:rsid w:val="003D192E"/>
    <w:rsid w:val="003D4C09"/>
    <w:rsid w:val="003F63AD"/>
    <w:rsid w:val="004100B1"/>
    <w:rsid w:val="00410920"/>
    <w:rsid w:val="00413B1F"/>
    <w:rsid w:val="004215D0"/>
    <w:rsid w:val="00426E47"/>
    <w:rsid w:val="00442DA7"/>
    <w:rsid w:val="00455743"/>
    <w:rsid w:val="00461601"/>
    <w:rsid w:val="0047376E"/>
    <w:rsid w:val="0047594C"/>
    <w:rsid w:val="004C0915"/>
    <w:rsid w:val="004D424E"/>
    <w:rsid w:val="004E07A5"/>
    <w:rsid w:val="004E42C8"/>
    <w:rsid w:val="004E733D"/>
    <w:rsid w:val="004F3FA5"/>
    <w:rsid w:val="00504A84"/>
    <w:rsid w:val="0051271F"/>
    <w:rsid w:val="00521F46"/>
    <w:rsid w:val="0052409B"/>
    <w:rsid w:val="005273FD"/>
    <w:rsid w:val="00547170"/>
    <w:rsid w:val="00551111"/>
    <w:rsid w:val="00551123"/>
    <w:rsid w:val="00570A6A"/>
    <w:rsid w:val="00586E50"/>
    <w:rsid w:val="0059583D"/>
    <w:rsid w:val="005A42D9"/>
    <w:rsid w:val="005C2BEF"/>
    <w:rsid w:val="005D1A99"/>
    <w:rsid w:val="005D7609"/>
    <w:rsid w:val="005D7EE8"/>
    <w:rsid w:val="005F4C08"/>
    <w:rsid w:val="00602C0A"/>
    <w:rsid w:val="00604B47"/>
    <w:rsid w:val="0061698C"/>
    <w:rsid w:val="00642325"/>
    <w:rsid w:val="006621A9"/>
    <w:rsid w:val="00672B31"/>
    <w:rsid w:val="00684721"/>
    <w:rsid w:val="006A2F5D"/>
    <w:rsid w:val="006D08C7"/>
    <w:rsid w:val="006F6282"/>
    <w:rsid w:val="006F7907"/>
    <w:rsid w:val="0071661D"/>
    <w:rsid w:val="00743189"/>
    <w:rsid w:val="00743D33"/>
    <w:rsid w:val="00772EA1"/>
    <w:rsid w:val="00792141"/>
    <w:rsid w:val="007932B3"/>
    <w:rsid w:val="00793EA9"/>
    <w:rsid w:val="0079442D"/>
    <w:rsid w:val="007C2624"/>
    <w:rsid w:val="007D6F68"/>
    <w:rsid w:val="007F6F4F"/>
    <w:rsid w:val="00816B78"/>
    <w:rsid w:val="00823E6B"/>
    <w:rsid w:val="008248AD"/>
    <w:rsid w:val="00826780"/>
    <w:rsid w:val="00837CCD"/>
    <w:rsid w:val="008633CC"/>
    <w:rsid w:val="00865190"/>
    <w:rsid w:val="008719B9"/>
    <w:rsid w:val="00872C76"/>
    <w:rsid w:val="00873F1C"/>
    <w:rsid w:val="00886DE8"/>
    <w:rsid w:val="00894ECE"/>
    <w:rsid w:val="00896BB4"/>
    <w:rsid w:val="008A4475"/>
    <w:rsid w:val="008A7FB8"/>
    <w:rsid w:val="008C7BDF"/>
    <w:rsid w:val="009022B8"/>
    <w:rsid w:val="00914537"/>
    <w:rsid w:val="009164C8"/>
    <w:rsid w:val="00917CC4"/>
    <w:rsid w:val="00936AAC"/>
    <w:rsid w:val="00945BF3"/>
    <w:rsid w:val="00947DEB"/>
    <w:rsid w:val="009763DA"/>
    <w:rsid w:val="009913EB"/>
    <w:rsid w:val="009975B3"/>
    <w:rsid w:val="009A216D"/>
    <w:rsid w:val="009B4B93"/>
    <w:rsid w:val="009F24BE"/>
    <w:rsid w:val="009F6C2F"/>
    <w:rsid w:val="009F767A"/>
    <w:rsid w:val="00A04DDD"/>
    <w:rsid w:val="00A13F3A"/>
    <w:rsid w:val="00A15B92"/>
    <w:rsid w:val="00A22533"/>
    <w:rsid w:val="00A2274C"/>
    <w:rsid w:val="00A26F46"/>
    <w:rsid w:val="00A34FD3"/>
    <w:rsid w:val="00A36929"/>
    <w:rsid w:val="00A50548"/>
    <w:rsid w:val="00A60EE7"/>
    <w:rsid w:val="00A63479"/>
    <w:rsid w:val="00A710F3"/>
    <w:rsid w:val="00A910C9"/>
    <w:rsid w:val="00A962FF"/>
    <w:rsid w:val="00AA35B0"/>
    <w:rsid w:val="00AD18C8"/>
    <w:rsid w:val="00AD5320"/>
    <w:rsid w:val="00AD7FA6"/>
    <w:rsid w:val="00AE14C6"/>
    <w:rsid w:val="00AE4643"/>
    <w:rsid w:val="00AF0416"/>
    <w:rsid w:val="00AF2604"/>
    <w:rsid w:val="00B10CB4"/>
    <w:rsid w:val="00B13D6F"/>
    <w:rsid w:val="00B1558A"/>
    <w:rsid w:val="00B23B72"/>
    <w:rsid w:val="00B42702"/>
    <w:rsid w:val="00B57887"/>
    <w:rsid w:val="00B57B8B"/>
    <w:rsid w:val="00B85407"/>
    <w:rsid w:val="00B95702"/>
    <w:rsid w:val="00BC6489"/>
    <w:rsid w:val="00BD480C"/>
    <w:rsid w:val="00BE2E9F"/>
    <w:rsid w:val="00BF2756"/>
    <w:rsid w:val="00C20954"/>
    <w:rsid w:val="00C23324"/>
    <w:rsid w:val="00C31798"/>
    <w:rsid w:val="00C42A41"/>
    <w:rsid w:val="00C45A79"/>
    <w:rsid w:val="00C47E74"/>
    <w:rsid w:val="00C5402B"/>
    <w:rsid w:val="00C56A9D"/>
    <w:rsid w:val="00C57A72"/>
    <w:rsid w:val="00C730C7"/>
    <w:rsid w:val="00C73602"/>
    <w:rsid w:val="00C77141"/>
    <w:rsid w:val="00CA0BF4"/>
    <w:rsid w:val="00CA1930"/>
    <w:rsid w:val="00CA4CF9"/>
    <w:rsid w:val="00CC3AEF"/>
    <w:rsid w:val="00CF60C8"/>
    <w:rsid w:val="00D04A06"/>
    <w:rsid w:val="00D17DA8"/>
    <w:rsid w:val="00D30DE2"/>
    <w:rsid w:val="00D32924"/>
    <w:rsid w:val="00D503A3"/>
    <w:rsid w:val="00D62A6C"/>
    <w:rsid w:val="00D637A7"/>
    <w:rsid w:val="00D9167F"/>
    <w:rsid w:val="00DA2307"/>
    <w:rsid w:val="00DA6ED0"/>
    <w:rsid w:val="00DB62B6"/>
    <w:rsid w:val="00DC5011"/>
    <w:rsid w:val="00DE2B36"/>
    <w:rsid w:val="00DF6DCD"/>
    <w:rsid w:val="00DF7819"/>
    <w:rsid w:val="00E171B6"/>
    <w:rsid w:val="00E52776"/>
    <w:rsid w:val="00E63CF0"/>
    <w:rsid w:val="00E7095B"/>
    <w:rsid w:val="00E72695"/>
    <w:rsid w:val="00E74205"/>
    <w:rsid w:val="00E80FD8"/>
    <w:rsid w:val="00E9395F"/>
    <w:rsid w:val="00E941BF"/>
    <w:rsid w:val="00EB1753"/>
    <w:rsid w:val="00EB6CFF"/>
    <w:rsid w:val="00EC2EAE"/>
    <w:rsid w:val="00ED612E"/>
    <w:rsid w:val="00EE3996"/>
    <w:rsid w:val="00EF6F40"/>
    <w:rsid w:val="00F07062"/>
    <w:rsid w:val="00F143F7"/>
    <w:rsid w:val="00F22F47"/>
    <w:rsid w:val="00F23CFC"/>
    <w:rsid w:val="00F35C87"/>
    <w:rsid w:val="00F433E2"/>
    <w:rsid w:val="00F4607D"/>
    <w:rsid w:val="00F56031"/>
    <w:rsid w:val="00F6648A"/>
    <w:rsid w:val="00F669E1"/>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6A5836"/>
  <w15:chartTrackingRefBased/>
  <w15:docId w15:val="{C4F557B6-7DF6-484A-871F-F22997AD3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footer" w:semiHidden="1"/>
    <w:lsdException w:name="caption" w:semiHidden="1" w:unhideWhenUsed="1" w:qFormat="1"/>
    <w:lsdException w:name="footnote reference" w:uiPriority="99"/>
    <w:lsdException w:name="annotation reference" w:uiPriority="99"/>
    <w:lsdException w:name="List Bullet 2"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886DE8"/>
    <w:pPr>
      <w:tabs>
        <w:tab w:val="right" w:pos="454"/>
        <w:tab w:val="left" w:pos="737"/>
      </w:tabs>
      <w:ind w:left="737" w:hanging="737"/>
    </w:pPr>
    <w:rPr>
      <w:snapToGrid w:val="0"/>
      <w:sz w:val="18"/>
      <w:lang w:eastAsia="en-US"/>
    </w:rPr>
  </w:style>
  <w:style w:type="paragraph" w:customStyle="1" w:styleId="Lgendetitre">
    <w:name w:val="Légende titre"/>
    <w:basedOn w:val="Normal"/>
    <w:rsid w:val="00886DE8"/>
    <w:pPr>
      <w:spacing w:before="240" w:after="240"/>
    </w:pPr>
    <w:rPr>
      <w:b/>
      <w:i/>
      <w:snapToGrid w:val="0"/>
      <w:lang w:eastAsia="en-US"/>
    </w:rPr>
  </w:style>
  <w:style w:type="paragraph" w:customStyle="1" w:styleId="Lgendestandard">
    <w:name w:val="Légende standard"/>
    <w:basedOn w:val="Normal"/>
    <w:rsid w:val="00886DE8"/>
    <w:rPr>
      <w:sz w:val="18"/>
    </w:rPr>
  </w:style>
  <w:style w:type="paragraph" w:styleId="FootnoteText">
    <w:name w:val="footnote text"/>
    <w:basedOn w:val="Normal"/>
    <w:link w:val="FootnoteTextChar"/>
    <w:unhideWhenUsed/>
    <w:rsid w:val="00A15B92"/>
    <w:rPr>
      <w:sz w:val="20"/>
    </w:rPr>
  </w:style>
  <w:style w:type="character" w:customStyle="1" w:styleId="FootnoteTextChar">
    <w:name w:val="Footnote Text Char"/>
    <w:basedOn w:val="DefaultParagraphFont"/>
    <w:link w:val="FootnoteText"/>
    <w:rsid w:val="00A15B92"/>
  </w:style>
  <w:style w:type="character" w:styleId="FootnoteReference">
    <w:name w:val="footnote reference"/>
    <w:basedOn w:val="DefaultParagraphFont"/>
    <w:uiPriority w:val="99"/>
    <w:unhideWhenUsed/>
    <w:rsid w:val="00A15B92"/>
    <w:rPr>
      <w:vertAlign w:val="superscript"/>
    </w:rPr>
  </w:style>
  <w:style w:type="paragraph" w:customStyle="1" w:styleId="Normal6">
    <w:name w:val="Normal6"/>
    <w:basedOn w:val="Normal"/>
    <w:link w:val="Normal6Char"/>
    <w:rsid w:val="0052409B"/>
    <w:pPr>
      <w:spacing w:after="120"/>
    </w:pPr>
  </w:style>
  <w:style w:type="paragraph" w:customStyle="1" w:styleId="Normal12Italic">
    <w:name w:val="Normal12Italic"/>
    <w:basedOn w:val="Normal"/>
    <w:rsid w:val="0052409B"/>
    <w:pPr>
      <w:spacing w:after="240"/>
    </w:pPr>
    <w:rPr>
      <w:i/>
      <w:noProof/>
    </w:rPr>
  </w:style>
  <w:style w:type="paragraph" w:customStyle="1" w:styleId="doc-ti">
    <w:name w:val="doc-ti"/>
    <w:basedOn w:val="Normal"/>
    <w:rsid w:val="00105F9B"/>
    <w:pPr>
      <w:widowControl/>
      <w:spacing w:before="100" w:beforeAutospacing="1" w:after="100" w:afterAutospacing="1"/>
    </w:pPr>
    <w:rPr>
      <w:szCs w:val="24"/>
    </w:rPr>
  </w:style>
  <w:style w:type="paragraph" w:customStyle="1" w:styleId="Normal1">
    <w:name w:val="Normal1"/>
    <w:basedOn w:val="Normal"/>
    <w:rsid w:val="00105F9B"/>
    <w:pPr>
      <w:widowControl/>
      <w:spacing w:before="100" w:beforeAutospacing="1" w:after="100" w:afterAutospacing="1"/>
    </w:pPr>
    <w:rPr>
      <w:szCs w:val="24"/>
    </w:rPr>
  </w:style>
  <w:style w:type="character" w:styleId="Hyperlink">
    <w:name w:val="Hyperlink"/>
    <w:basedOn w:val="DefaultParagraphFont"/>
    <w:uiPriority w:val="99"/>
    <w:unhideWhenUsed/>
    <w:rsid w:val="00105F9B"/>
    <w:rPr>
      <w:color w:val="0000FF"/>
      <w:u w:val="single"/>
    </w:rPr>
  </w:style>
  <w:style w:type="character" w:customStyle="1" w:styleId="super">
    <w:name w:val="super"/>
    <w:basedOn w:val="DefaultParagraphFont"/>
    <w:rsid w:val="00105F9B"/>
  </w:style>
  <w:style w:type="character" w:styleId="CommentReference">
    <w:name w:val="annotation reference"/>
    <w:basedOn w:val="DefaultParagraphFont"/>
    <w:uiPriority w:val="99"/>
    <w:unhideWhenUsed/>
    <w:rsid w:val="00105F9B"/>
    <w:rPr>
      <w:sz w:val="16"/>
      <w:szCs w:val="16"/>
    </w:rPr>
  </w:style>
  <w:style w:type="paragraph" w:styleId="CommentText">
    <w:name w:val="annotation text"/>
    <w:basedOn w:val="Normal"/>
    <w:link w:val="CommentTextChar"/>
    <w:uiPriority w:val="99"/>
    <w:unhideWhenUsed/>
    <w:rsid w:val="00105F9B"/>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105F9B"/>
    <w:rPr>
      <w:rFonts w:eastAsiaTheme="minorHAnsi"/>
      <w:lang w:eastAsia="en-US"/>
    </w:rPr>
  </w:style>
  <w:style w:type="paragraph" w:styleId="BalloonText">
    <w:name w:val="Balloon Text"/>
    <w:basedOn w:val="Normal"/>
    <w:link w:val="BalloonTextChar"/>
    <w:semiHidden/>
    <w:unhideWhenUsed/>
    <w:rsid w:val="00105F9B"/>
    <w:rPr>
      <w:rFonts w:ascii="Segoe UI" w:hAnsi="Segoe UI" w:cs="Segoe UI"/>
      <w:sz w:val="18"/>
      <w:szCs w:val="18"/>
    </w:rPr>
  </w:style>
  <w:style w:type="character" w:customStyle="1" w:styleId="BalloonTextChar">
    <w:name w:val="Balloon Text Char"/>
    <w:basedOn w:val="DefaultParagraphFont"/>
    <w:link w:val="BalloonText"/>
    <w:semiHidden/>
    <w:rsid w:val="00105F9B"/>
    <w:rPr>
      <w:rFonts w:ascii="Segoe UI" w:hAnsi="Segoe UI" w:cs="Segoe UI"/>
      <w:sz w:val="18"/>
      <w:szCs w:val="18"/>
    </w:rPr>
  </w:style>
  <w:style w:type="paragraph" w:styleId="ListBullet2">
    <w:name w:val="List Bullet 2"/>
    <w:basedOn w:val="Normal"/>
    <w:uiPriority w:val="99"/>
    <w:unhideWhenUsed/>
    <w:rsid w:val="00F669E1"/>
    <w:pPr>
      <w:widowControl/>
      <w:tabs>
        <w:tab w:val="num" w:pos="643"/>
      </w:tabs>
      <w:spacing w:before="120" w:after="120"/>
      <w:ind w:left="643" w:hanging="360"/>
      <w:contextualSpacing/>
      <w:jc w:val="both"/>
    </w:pPr>
    <w:rPr>
      <w:rFonts w:eastAsiaTheme="minorHAnsi"/>
      <w:szCs w:val="22"/>
      <w:lang w:eastAsia="en-US"/>
    </w:rPr>
  </w:style>
  <w:style w:type="paragraph" w:customStyle="1" w:styleId="title-annex-1">
    <w:name w:val="title-annex-1"/>
    <w:basedOn w:val="Normal"/>
    <w:rsid w:val="00CA0BF4"/>
    <w:pPr>
      <w:widowControl/>
      <w:spacing w:before="100" w:beforeAutospacing="1" w:after="100" w:afterAutospacing="1"/>
    </w:pPr>
    <w:rPr>
      <w:szCs w:val="24"/>
    </w:rPr>
  </w:style>
  <w:style w:type="paragraph" w:customStyle="1" w:styleId="title-gr-seq-level-1">
    <w:name w:val="title-gr-seq-level-1"/>
    <w:basedOn w:val="Normal"/>
    <w:rsid w:val="00CA0BF4"/>
    <w:pPr>
      <w:widowControl/>
      <w:spacing w:before="100" w:beforeAutospacing="1" w:after="100" w:afterAutospacing="1"/>
    </w:pPr>
    <w:rPr>
      <w:szCs w:val="24"/>
    </w:rPr>
  </w:style>
  <w:style w:type="character" w:customStyle="1" w:styleId="boldface">
    <w:name w:val="boldface"/>
    <w:basedOn w:val="DefaultParagraphFont"/>
    <w:rsid w:val="00CA0BF4"/>
  </w:style>
  <w:style w:type="paragraph" w:customStyle="1" w:styleId="title-gr-seq-level-2">
    <w:name w:val="title-gr-seq-level-2"/>
    <w:basedOn w:val="Normal"/>
    <w:rsid w:val="00CA0BF4"/>
    <w:pPr>
      <w:widowControl/>
      <w:spacing w:before="100" w:beforeAutospacing="1" w:after="100" w:afterAutospacing="1"/>
    </w:pPr>
    <w:rPr>
      <w:szCs w:val="24"/>
    </w:rPr>
  </w:style>
  <w:style w:type="paragraph" w:styleId="Footer">
    <w:name w:val="footer"/>
    <w:basedOn w:val="Normal"/>
    <w:link w:val="FooterChar"/>
    <w:semiHidden/>
    <w:rsid w:val="00F6648A"/>
    <w:pPr>
      <w:tabs>
        <w:tab w:val="center" w:pos="4513"/>
        <w:tab w:val="right" w:pos="9026"/>
      </w:tabs>
    </w:pPr>
  </w:style>
  <w:style w:type="character" w:customStyle="1" w:styleId="FooterChar">
    <w:name w:val="Footer Char"/>
    <w:basedOn w:val="DefaultParagraphFont"/>
    <w:link w:val="Footer"/>
    <w:semiHidden/>
    <w:rsid w:val="00F6648A"/>
    <w:rPr>
      <w:sz w:val="24"/>
    </w:rPr>
  </w:style>
  <w:style w:type="character" w:customStyle="1" w:styleId="NormalBoldChar">
    <w:name w:val="NormalBold Char"/>
    <w:basedOn w:val="DefaultParagraphFont"/>
    <w:link w:val="NormalBold"/>
    <w:rsid w:val="0052409B"/>
    <w:rPr>
      <w:b/>
      <w:sz w:val="24"/>
    </w:rPr>
  </w:style>
  <w:style w:type="paragraph" w:customStyle="1" w:styleId="JustificationTitle">
    <w:name w:val="JustificationTitle"/>
    <w:basedOn w:val="Normal"/>
    <w:next w:val="Normal"/>
    <w:rsid w:val="0052409B"/>
    <w:pPr>
      <w:keepNext/>
      <w:spacing w:before="240" w:after="240"/>
      <w:jc w:val="center"/>
    </w:pPr>
    <w:rPr>
      <w:i/>
      <w:noProof/>
    </w:rPr>
  </w:style>
  <w:style w:type="character" w:customStyle="1" w:styleId="Normal6Char">
    <w:name w:val="Normal6 Char"/>
    <w:basedOn w:val="DefaultParagraphFont"/>
    <w:link w:val="Normal6"/>
    <w:rsid w:val="0052409B"/>
    <w:rPr>
      <w:sz w:val="24"/>
      <w:lang w:val="da-DK"/>
    </w:rPr>
  </w:style>
  <w:style w:type="paragraph" w:customStyle="1" w:styleId="ColumnHeading">
    <w:name w:val="ColumnHeading"/>
    <w:basedOn w:val="Normal"/>
    <w:rsid w:val="0052409B"/>
    <w:pPr>
      <w:spacing w:after="240"/>
      <w:jc w:val="center"/>
    </w:pPr>
    <w:rPr>
      <w:i/>
    </w:rPr>
  </w:style>
  <w:style w:type="paragraph" w:customStyle="1" w:styleId="AMNumberTabs0">
    <w:name w:val="AMNumberTabs"/>
    <w:basedOn w:val="Normal"/>
    <w:rsid w:val="005240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2409B"/>
    <w:pPr>
      <w:spacing w:before="240"/>
      <w:jc w:val="center"/>
    </w:pPr>
    <w:rPr>
      <w:i/>
    </w:rPr>
  </w:style>
  <w:style w:type="paragraph" w:customStyle="1" w:styleId="Olang">
    <w:name w:val="Olang"/>
    <w:rsid w:val="0052409B"/>
    <w:pPr>
      <w:jc w:val="right"/>
    </w:pPr>
  </w:style>
  <w:style w:type="character" w:customStyle="1" w:styleId="Footer2Middle">
    <w:name w:val="Footer2Middle"/>
    <w:rsid w:val="0052409B"/>
    <w:rPr>
      <w:rFonts w:ascii="Arial" w:cs="Arial"/>
      <w:b w:val="0"/>
      <w:i/>
      <w:color w:val="C0C0C0"/>
      <w:sz w:val="22"/>
    </w:rPr>
  </w:style>
  <w:style w:type="paragraph" w:customStyle="1" w:styleId="ManualConsidrant">
    <w:name w:val="Manual Considérant"/>
    <w:basedOn w:val="Normal"/>
    <w:rsid w:val="003D192E"/>
    <w:pPr>
      <w:widowControl/>
      <w:spacing w:before="120" w:after="120"/>
      <w:ind w:left="709" w:hanging="709"/>
      <w:jc w:val="both"/>
    </w:pPr>
    <w:rPr>
      <w:rFonts w:eastAsiaTheme="minorHAnsi"/>
      <w:szCs w:val="24"/>
      <w:lang w:eastAsia="en-US"/>
    </w:rPr>
  </w:style>
  <w:style w:type="paragraph" w:styleId="CommentSubject">
    <w:name w:val="annotation subject"/>
    <w:basedOn w:val="CommentText"/>
    <w:next w:val="CommentText"/>
    <w:link w:val="CommentSubjectChar"/>
    <w:semiHidden/>
    <w:unhideWhenUsed/>
    <w:rsid w:val="0047594C"/>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semiHidden/>
    <w:rsid w:val="0047594C"/>
    <w:rPr>
      <w:rFonts w:eastAsiaTheme="minorHAns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c.europa.eu/social/main.jsp?langId=en&amp;catId=89&amp;furtherNews=yes&amp;newsId=10564&amp;pk_source=newsletter&amp;pk_medium=email&amp;pk_campaign=eu_social_newslette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B7D90D-D7F5-4FB9-9CC9-4C5DFABF7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7506</Words>
  <Characters>46914</Characters>
  <Application>Microsoft Office Word</Application>
  <DocSecurity>0</DocSecurity>
  <Lines>1804</Lines>
  <Paragraphs>663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ARAMINA Irena</dc:creator>
  <cp:lastModifiedBy>HEINSOEE Katja</cp:lastModifiedBy>
  <cp:revision>2</cp:revision>
  <cp:lastPrinted>2004-11-04T09:41:00Z</cp:lastPrinted>
  <dcterms:created xsi:type="dcterms:W3CDTF">2023-05-24T07:37:00Z</dcterms:created>
  <dcterms:modified xsi:type="dcterms:W3CDTF">2023-05-24T07:37:00Z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1278028</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[20230301]</vt:lpwstr>
  </property>
  <property fmtid="{D5CDD505-2E9C-101B-9397-08002B2CF9AE}" pid="9" name="FooterPath">
    <vt:lpwstr>PR\1278028DA.docx</vt:lpwstr>
  </property>
  <property fmtid="{D5CDD505-2E9C-101B-9397-08002B2CF9AE}" pid="10" name="LastEdited with">
    <vt:lpwstr>9.14.1 Build [20230315]</vt:lpwstr>
  </property>
  <property fmtid="{D5CDD505-2E9C-101B-9397-08002B2CF9AE}" pid="11" name="PE number">
    <vt:lpwstr>746.964</vt:lpwstr>
  </property>
  <property fmtid="{D5CDD505-2E9C-101B-9397-08002B2CF9AE}" pid="12" name="SDLStudio">
    <vt:lpwstr/>
  </property>
  <property fmtid="{D5CDD505-2E9C-101B-9397-08002B2CF9AE}" pid="13" name="SendToEpades">
    <vt:lpwstr>OK(AMNUM) - 2023/05/08 07:41</vt:lpwstr>
  </property>
  <property fmtid="{D5CDD505-2E9C-101B-9397-08002B2CF9AE}" pid="14" name="Bookout">
    <vt:lpwstr>OK - 2023/05/24 09:36</vt:lpwstr>
  </property>
</Properties>
</file>