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76FF" w:rsidRPr="001F2E97" w:rsidTr="005F4C08">
        <w:trPr>
          <w:trHeight w:hRule="exact" w:val="1418"/>
        </w:trPr>
        <w:tc>
          <w:tcPr>
            <w:tcW w:w="6804" w:type="dxa"/>
            <w:shd w:val="clear" w:color="auto" w:fill="auto"/>
            <w:vAlign w:val="center"/>
          </w:tcPr>
          <w:p w:rsidR="00B13D6F" w:rsidRPr="001F2E97" w:rsidRDefault="00400F6B" w:rsidP="005F4C08">
            <w:pPr>
              <w:pStyle w:val="EPName"/>
            </w:pPr>
            <w:bookmarkStart w:id="0" w:name="_GoBack"/>
            <w:bookmarkEnd w:id="0"/>
            <w:r w:rsidRPr="001F2E97">
              <w:t>Parlamento europeo</w:t>
            </w:r>
          </w:p>
          <w:p w:rsidR="00B13D6F" w:rsidRPr="001F2E97" w:rsidRDefault="00400F6B" w:rsidP="00886DE8">
            <w:pPr>
              <w:pStyle w:val="EPTerm"/>
            </w:pPr>
            <w:r w:rsidRPr="001F2E97">
              <w:t>2019-2024</w:t>
            </w:r>
          </w:p>
        </w:tc>
        <w:tc>
          <w:tcPr>
            <w:tcW w:w="2268" w:type="dxa"/>
            <w:shd w:val="clear" w:color="auto" w:fill="auto"/>
          </w:tcPr>
          <w:p w:rsidR="00B13D6F" w:rsidRPr="001F2E97" w:rsidRDefault="00400F6B" w:rsidP="005F4C08">
            <w:pPr>
              <w:pStyle w:val="EPLogo"/>
            </w:pPr>
            <w:r w:rsidRPr="001F2E9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F2E97" w:rsidRDefault="00461601" w:rsidP="00461601">
      <w:pPr>
        <w:pStyle w:val="LineTop"/>
      </w:pPr>
    </w:p>
    <w:p w:rsidR="00461601" w:rsidRPr="001F2E97" w:rsidRDefault="00400F6B" w:rsidP="00461601">
      <w:pPr>
        <w:pStyle w:val="EPBody"/>
      </w:pPr>
      <w:r w:rsidRPr="001F2E97">
        <w:rPr>
          <w:rStyle w:val="HideTWBExt"/>
          <w:color w:val="auto"/>
        </w:rPr>
        <w:t>&lt;</w:t>
      </w:r>
      <w:r w:rsidRPr="001F2E97">
        <w:rPr>
          <w:rStyle w:val="HideTWBExt"/>
          <w:i w:val="0"/>
          <w:color w:val="auto"/>
        </w:rPr>
        <w:t>Commission</w:t>
      </w:r>
      <w:r w:rsidRPr="001F2E97">
        <w:rPr>
          <w:rStyle w:val="HideTWBExt"/>
          <w:color w:val="auto"/>
        </w:rPr>
        <w:t>&gt;</w:t>
      </w:r>
      <w:r w:rsidRPr="001F2E97">
        <w:rPr>
          <w:rStyle w:val="HideTWBInt"/>
          <w:color w:val="auto"/>
        </w:rPr>
        <w:t>{EMPL}</w:t>
      </w:r>
      <w:r w:rsidRPr="001F2E97">
        <w:t>Commissione per l'occupazione e gli affari sociali</w:t>
      </w:r>
      <w:r w:rsidRPr="001F2E97">
        <w:rPr>
          <w:rStyle w:val="HideTWBExt"/>
          <w:color w:val="auto"/>
        </w:rPr>
        <w:t>&lt;/</w:t>
      </w:r>
      <w:r w:rsidRPr="001F2E97">
        <w:rPr>
          <w:rStyle w:val="HideTWBExt"/>
          <w:i w:val="0"/>
          <w:color w:val="auto"/>
        </w:rPr>
        <w:t>Commission</w:t>
      </w:r>
      <w:r w:rsidRPr="001F2E97">
        <w:rPr>
          <w:rStyle w:val="HideTWBExt"/>
          <w:color w:val="auto"/>
        </w:rPr>
        <w:t>&gt;</w:t>
      </w:r>
    </w:p>
    <w:p w:rsidR="00461601" w:rsidRPr="001F2E97" w:rsidRDefault="00461601" w:rsidP="00461601">
      <w:pPr>
        <w:pStyle w:val="LineBottom"/>
      </w:pPr>
    </w:p>
    <w:p w:rsidR="00793EA9" w:rsidRPr="001F2E97" w:rsidRDefault="00400F6B">
      <w:pPr>
        <w:pStyle w:val="CoverReference"/>
      </w:pPr>
      <w:r w:rsidRPr="001F2E97">
        <w:rPr>
          <w:rStyle w:val="HideTWBExt"/>
          <w:b w:val="0"/>
          <w:color w:val="auto"/>
        </w:rPr>
        <w:t>&lt;RefProc&gt;</w:t>
      </w:r>
      <w:r w:rsidRPr="001F2E97">
        <w:t>2023/0033</w:t>
      </w:r>
      <w:r w:rsidRPr="001F2E97">
        <w:rPr>
          <w:rStyle w:val="HideTWBExt"/>
          <w:b w:val="0"/>
          <w:color w:val="auto"/>
        </w:rPr>
        <w:t>&lt;/RefProc&gt;&lt;RefTypeProc&gt;</w:t>
      </w:r>
      <w:r w:rsidRPr="001F2E97">
        <w:t>(COD)</w:t>
      </w:r>
      <w:r w:rsidRPr="001F2E97">
        <w:rPr>
          <w:rStyle w:val="HideTWBExt"/>
          <w:b w:val="0"/>
          <w:color w:val="auto"/>
        </w:rPr>
        <w:t>&lt;/RefTypeProc&gt;</w:t>
      </w:r>
    </w:p>
    <w:p w:rsidR="00793EA9" w:rsidRPr="001F2E97" w:rsidRDefault="00400F6B">
      <w:pPr>
        <w:pStyle w:val="CoverDate"/>
      </w:pPr>
      <w:r w:rsidRPr="001F2E97">
        <w:rPr>
          <w:rStyle w:val="HideTWBExt"/>
          <w:color w:val="auto"/>
        </w:rPr>
        <w:t>&lt;Date&gt;</w:t>
      </w:r>
      <w:r w:rsidRPr="001F2E97">
        <w:rPr>
          <w:rStyle w:val="HideTWBInt"/>
          <w:color w:val="auto"/>
        </w:rPr>
        <w:t>{08/05/2023}</w:t>
      </w:r>
      <w:r w:rsidRPr="001F2E97">
        <w:t>8.5.2023</w:t>
      </w:r>
      <w:r w:rsidRPr="001F2E97">
        <w:rPr>
          <w:rStyle w:val="HideTWBExt"/>
          <w:color w:val="auto"/>
        </w:rPr>
        <w:t>&lt;/Date&gt;</w:t>
      </w:r>
    </w:p>
    <w:p w:rsidR="00793EA9" w:rsidRPr="001F2E97" w:rsidRDefault="00400F6B">
      <w:pPr>
        <w:pStyle w:val="CoverDocType"/>
      </w:pPr>
      <w:r w:rsidRPr="001F2E97">
        <w:rPr>
          <w:rStyle w:val="HideTWBExt"/>
          <w:b w:val="0"/>
          <w:color w:val="auto"/>
        </w:rPr>
        <w:t>&lt;RefProcLect&gt;</w:t>
      </w:r>
      <w:r w:rsidRPr="001F2E97">
        <w:t>***I</w:t>
      </w:r>
      <w:r w:rsidRPr="001F2E97">
        <w:rPr>
          <w:rStyle w:val="HideTWBExt"/>
          <w:b w:val="0"/>
          <w:color w:val="auto"/>
        </w:rPr>
        <w:t>&lt;/RefProcLect&gt;</w:t>
      </w:r>
    </w:p>
    <w:p w:rsidR="00793EA9" w:rsidRPr="001F2E97" w:rsidRDefault="00400F6B">
      <w:pPr>
        <w:pStyle w:val="CoverDocType24a"/>
      </w:pPr>
      <w:r w:rsidRPr="001F2E97">
        <w:rPr>
          <w:rStyle w:val="HideTWBExt"/>
          <w:b w:val="0"/>
          <w:color w:val="auto"/>
        </w:rPr>
        <w:t>&lt;TitreType&gt;</w:t>
      </w:r>
      <w:r w:rsidRPr="001F2E97">
        <w:t>PROGETTO DI RELAZIONE</w:t>
      </w:r>
      <w:r w:rsidRPr="001F2E97">
        <w:rPr>
          <w:rStyle w:val="HideTWBExt"/>
          <w:b w:val="0"/>
          <w:color w:val="auto"/>
        </w:rPr>
        <w:t>&lt;/TitreType&gt;</w:t>
      </w:r>
    </w:p>
    <w:p w:rsidR="00793EA9" w:rsidRPr="001F2E97" w:rsidRDefault="00400F6B">
      <w:pPr>
        <w:pStyle w:val="CoverNormal"/>
      </w:pPr>
      <w:r w:rsidRPr="001F2E97">
        <w:rPr>
          <w:rStyle w:val="HideTWBExt"/>
          <w:color w:val="auto"/>
        </w:rPr>
        <w:t>&lt;Titre&gt;</w:t>
      </w:r>
      <w:r w:rsidRPr="001F2E97">
        <w:t>sulla proposta di direttiva del Parlamento europeo e del Consiglio recante modifica della direttiva 98/24/CE del Consiglio e della direttiva 2004/37/CE del Parlamento europeo e del Consiglio per quanto riguarda i va</w:t>
      </w:r>
      <w:r w:rsidRPr="001F2E97">
        <w:t>lori limite per il piombo e i suoi composti inorganici e i diisocianati</w:t>
      </w:r>
      <w:r w:rsidRPr="001F2E97">
        <w:rPr>
          <w:rStyle w:val="HideTWBExt"/>
          <w:color w:val="auto"/>
        </w:rPr>
        <w:t>&lt;/Titre&gt;</w:t>
      </w:r>
    </w:p>
    <w:p w:rsidR="00793EA9" w:rsidRPr="001F2E97" w:rsidRDefault="00400F6B">
      <w:pPr>
        <w:pStyle w:val="CoverNormal24a"/>
      </w:pPr>
      <w:r w:rsidRPr="001F2E97">
        <w:rPr>
          <w:rStyle w:val="HideTWBExt"/>
          <w:color w:val="auto"/>
        </w:rPr>
        <w:t>&lt;DocRef&gt;</w:t>
      </w:r>
      <w:r w:rsidRPr="001F2E97">
        <w:t>(COM(2023)0071 – C9</w:t>
      </w:r>
      <w:r w:rsidRPr="001F2E97">
        <w:noBreakHyphen/>
        <w:t>0022/2023 – 2023/0033(COD))</w:t>
      </w:r>
      <w:r w:rsidRPr="001F2E97">
        <w:rPr>
          <w:rStyle w:val="HideTWBExt"/>
          <w:color w:val="auto"/>
        </w:rPr>
        <w:t>&lt;/DocRef&gt;</w:t>
      </w:r>
    </w:p>
    <w:p w:rsidR="00793EA9" w:rsidRPr="001F2E97" w:rsidRDefault="00400F6B">
      <w:pPr>
        <w:pStyle w:val="CoverNormal24a"/>
      </w:pPr>
      <w:r w:rsidRPr="001F2E97">
        <w:rPr>
          <w:rStyle w:val="HideTWBExt"/>
          <w:color w:val="auto"/>
        </w:rPr>
        <w:t>&lt;Commission&gt;</w:t>
      </w:r>
      <w:r w:rsidRPr="001F2E97">
        <w:rPr>
          <w:rStyle w:val="HideTWBInt"/>
          <w:color w:val="auto"/>
        </w:rPr>
        <w:t>{EMPL}</w:t>
      </w:r>
      <w:r w:rsidRPr="001F2E97">
        <w:t>Commissione per l'occupazione e gli affari sociali</w:t>
      </w:r>
      <w:r w:rsidRPr="001F2E97">
        <w:rPr>
          <w:rStyle w:val="HideTWBExt"/>
          <w:color w:val="auto"/>
        </w:rPr>
        <w:t>&lt;/Commission&gt;</w:t>
      </w:r>
    </w:p>
    <w:p w:rsidR="00793EA9" w:rsidRPr="001F2E97" w:rsidRDefault="00400F6B">
      <w:pPr>
        <w:pStyle w:val="CoverNormal24a"/>
      </w:pPr>
      <w:r w:rsidRPr="001F2E97">
        <w:t xml:space="preserve">Relatore: </w:t>
      </w:r>
      <w:r w:rsidRPr="001F2E97">
        <w:rPr>
          <w:rStyle w:val="HideTWBExt"/>
          <w:color w:val="auto"/>
        </w:rPr>
        <w:t>&lt;Depute&gt;</w:t>
      </w:r>
      <w:r w:rsidRPr="001F2E97">
        <w:t>Nikolaj Villumsen</w:t>
      </w:r>
      <w:r w:rsidRPr="001F2E97">
        <w:rPr>
          <w:rStyle w:val="HideTWBExt"/>
          <w:color w:val="auto"/>
        </w:rPr>
        <w:t>&lt;/Depute&gt;</w:t>
      </w:r>
    </w:p>
    <w:p w:rsidR="001C5B44" w:rsidRPr="001F2E97" w:rsidRDefault="001C5B44" w:rsidP="001C5B44">
      <w:pPr>
        <w:pStyle w:val="CoverNormal"/>
      </w:pPr>
    </w:p>
    <w:p w:rsidR="00886DE8" w:rsidRPr="001F2E97" w:rsidRDefault="00400F6B" w:rsidP="005F4C08">
      <w:r w:rsidRPr="001F2E97">
        <w:br w:type="page"/>
      </w:r>
      <w:fldSimple w:instr=" TITLE  \* MERGEFORMAT ">
        <w:r>
          <w:t>PR_COD_1amCom</w:t>
        </w:r>
      </w:fldSimple>
    </w:p>
    <w:p w:rsidR="00886DE8" w:rsidRPr="001F2E97" w:rsidRDefault="00886DE8" w:rsidP="005F4C08"/>
    <w:p w:rsidR="00886DE8" w:rsidRPr="001F2E97" w:rsidRDefault="00886DE8" w:rsidP="005F4C0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F2E97" w:rsidRPr="001F2E97">
        <w:tc>
          <w:tcPr>
            <w:tcW w:w="5811" w:type="dxa"/>
          </w:tcPr>
          <w:p w:rsidR="00886DE8" w:rsidRPr="001F2E97" w:rsidRDefault="00400F6B" w:rsidP="005F4C08">
            <w:pPr>
              <w:pStyle w:val="Lgendetitre"/>
            </w:pPr>
            <w:r w:rsidRPr="001F2E97">
              <w:t>Significato dei simboli utilizzati</w:t>
            </w:r>
          </w:p>
        </w:tc>
      </w:tr>
      <w:tr w:rsidR="00C076FF" w:rsidRPr="001F2E97" w:rsidTr="005F4C08">
        <w:trPr>
          <w:cantSplit/>
          <w:trHeight w:val="1807"/>
        </w:trPr>
        <w:tc>
          <w:tcPr>
            <w:tcW w:w="5811" w:type="dxa"/>
            <w:tcBorders>
              <w:bottom w:val="single" w:sz="4" w:space="0" w:color="auto"/>
            </w:tcBorders>
          </w:tcPr>
          <w:p w:rsidR="00886DE8" w:rsidRPr="001F2E97" w:rsidRDefault="00400F6B" w:rsidP="005F4C08">
            <w:pPr>
              <w:pStyle w:val="Lgendesigne"/>
            </w:pPr>
            <w:r w:rsidRPr="001F2E97">
              <w:tab/>
              <w:t>*</w:t>
            </w:r>
            <w:r w:rsidRPr="001F2E97">
              <w:tab/>
              <w:t>Procedura di consultazione</w:t>
            </w:r>
          </w:p>
          <w:p w:rsidR="00886DE8" w:rsidRPr="001F2E97" w:rsidRDefault="00400F6B" w:rsidP="005F4C08">
            <w:pPr>
              <w:pStyle w:val="Lgendesigne"/>
            </w:pPr>
            <w:r w:rsidRPr="001F2E97">
              <w:tab/>
              <w:t>***</w:t>
            </w:r>
            <w:r w:rsidRPr="001F2E97">
              <w:tab/>
              <w:t>Procedura di approvazione</w:t>
            </w:r>
          </w:p>
          <w:p w:rsidR="00886DE8" w:rsidRPr="001F2E97" w:rsidRDefault="00400F6B" w:rsidP="005F4C08">
            <w:pPr>
              <w:pStyle w:val="Lgendesigne"/>
            </w:pPr>
            <w:r w:rsidRPr="001F2E97">
              <w:tab/>
              <w:t>***I</w:t>
            </w:r>
            <w:r w:rsidRPr="001F2E97">
              <w:tab/>
              <w:t>Procedura legislativa ordinaria (prima lettura)</w:t>
            </w:r>
          </w:p>
          <w:p w:rsidR="00886DE8" w:rsidRPr="001F2E97" w:rsidRDefault="00400F6B" w:rsidP="005F4C08">
            <w:pPr>
              <w:pStyle w:val="Lgendesigne"/>
            </w:pPr>
            <w:r w:rsidRPr="001F2E97">
              <w:tab/>
              <w:t>***II</w:t>
            </w:r>
            <w:r w:rsidRPr="001F2E97">
              <w:tab/>
            </w:r>
            <w:r w:rsidRPr="001F2E97">
              <w:t>Procedura legislativa ordinaria (seconda lettura)</w:t>
            </w:r>
          </w:p>
          <w:p w:rsidR="00886DE8" w:rsidRPr="001F2E97" w:rsidRDefault="00400F6B" w:rsidP="005F4C08">
            <w:pPr>
              <w:pStyle w:val="Lgendesigne"/>
            </w:pPr>
            <w:r w:rsidRPr="001F2E97">
              <w:tab/>
              <w:t>***III</w:t>
            </w:r>
            <w:r w:rsidRPr="001F2E97">
              <w:tab/>
              <w:t>Procedura legislativa ordinaria (terza lettura)</w:t>
            </w:r>
          </w:p>
          <w:p w:rsidR="00886DE8" w:rsidRPr="001F2E97" w:rsidRDefault="00886DE8" w:rsidP="005F4C08">
            <w:pPr>
              <w:pStyle w:val="Lgendestandard"/>
            </w:pPr>
          </w:p>
          <w:p w:rsidR="00886DE8" w:rsidRPr="001F2E97" w:rsidRDefault="00400F6B" w:rsidP="005F4C08">
            <w:pPr>
              <w:pStyle w:val="Lgendestandard"/>
            </w:pPr>
            <w:r w:rsidRPr="001F2E97">
              <w:t>(La procedura indicata dipende dalla base giuridica proposta nel progetto di atto.)</w:t>
            </w:r>
          </w:p>
          <w:p w:rsidR="00886DE8" w:rsidRPr="001F2E97" w:rsidRDefault="00886DE8" w:rsidP="005F4C08">
            <w:pPr>
              <w:pStyle w:val="Lgendestandard"/>
            </w:pPr>
          </w:p>
        </w:tc>
      </w:tr>
    </w:tbl>
    <w:p w:rsidR="00886DE8" w:rsidRPr="001F2E97" w:rsidRDefault="00886DE8" w:rsidP="005F4C08"/>
    <w:p w:rsidR="00886DE8" w:rsidRPr="001F2E97" w:rsidRDefault="00886DE8" w:rsidP="005F4C08"/>
    <w:p w:rsidR="00886DE8" w:rsidRPr="001F2E97" w:rsidRDefault="00886DE8" w:rsidP="005F4C08"/>
    <w:p w:rsidR="00886DE8" w:rsidRPr="001F2E97" w:rsidRDefault="00886DE8" w:rsidP="005F4C0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F2E97" w:rsidRPr="001F2E97">
        <w:tc>
          <w:tcPr>
            <w:tcW w:w="5811" w:type="dxa"/>
          </w:tcPr>
          <w:p w:rsidR="00886DE8" w:rsidRPr="001F2E97" w:rsidRDefault="00400F6B" w:rsidP="005F4C08">
            <w:pPr>
              <w:pStyle w:val="Lgendetitre"/>
            </w:pPr>
            <w:r w:rsidRPr="001F2E97">
              <w:t>Emendamenti a un progetto di atto</w:t>
            </w:r>
          </w:p>
        </w:tc>
      </w:tr>
      <w:tr w:rsidR="00C076FF" w:rsidRPr="001F2E97" w:rsidTr="005F4C08">
        <w:trPr>
          <w:trHeight w:val="4496"/>
        </w:trPr>
        <w:tc>
          <w:tcPr>
            <w:tcW w:w="5811" w:type="dxa"/>
          </w:tcPr>
          <w:p w:rsidR="00886DE8" w:rsidRPr="001F2E97" w:rsidRDefault="00400F6B" w:rsidP="005F4C08">
            <w:pPr>
              <w:pStyle w:val="Lgendestandard"/>
              <w:rPr>
                <w:szCs w:val="24"/>
              </w:rPr>
            </w:pPr>
            <w:r w:rsidRPr="001F2E97">
              <w:rPr>
                <w:b/>
              </w:rPr>
              <w:t>Emendamenti del Parlamento presentati su due colonne</w:t>
            </w:r>
          </w:p>
          <w:p w:rsidR="00886DE8" w:rsidRPr="001F2E97" w:rsidRDefault="00886DE8" w:rsidP="005F4C08">
            <w:pPr>
              <w:pStyle w:val="Lgendestandard"/>
              <w:rPr>
                <w:szCs w:val="24"/>
              </w:rPr>
            </w:pPr>
          </w:p>
          <w:p w:rsidR="00886DE8" w:rsidRPr="001F2E97" w:rsidRDefault="00400F6B" w:rsidP="005F4C08">
            <w:pPr>
              <w:pStyle w:val="Lgendestandard"/>
              <w:rPr>
                <w:szCs w:val="24"/>
              </w:rPr>
            </w:pPr>
            <w:r w:rsidRPr="001F2E97">
              <w:t xml:space="preserve">Le soppressioni sono evidenziate in </w:t>
            </w:r>
            <w:r w:rsidRPr="001F2E97">
              <w:rPr>
                <w:b/>
                <w:i/>
              </w:rPr>
              <w:t>corsivo grassetto</w:t>
            </w:r>
            <w:r w:rsidRPr="001F2E97">
              <w:t xml:space="preserve"> nella colonna di sinistra. Le sostituzioni sono evidenziate in </w:t>
            </w:r>
            <w:r w:rsidRPr="001F2E97">
              <w:rPr>
                <w:b/>
                <w:i/>
              </w:rPr>
              <w:t>corsivo grassetto</w:t>
            </w:r>
            <w:r w:rsidRPr="001F2E97">
              <w:t xml:space="preserve"> nelle due colonne. Il testo nuovo è evidenziato in </w:t>
            </w:r>
            <w:r w:rsidRPr="001F2E97">
              <w:rPr>
                <w:b/>
                <w:i/>
              </w:rPr>
              <w:t>corsivo grassett</w:t>
            </w:r>
            <w:r w:rsidRPr="001F2E97">
              <w:rPr>
                <w:b/>
                <w:i/>
              </w:rPr>
              <w:t>o</w:t>
            </w:r>
            <w:r w:rsidRPr="001F2E97">
              <w:t xml:space="preserve"> nella colonna di destra.</w:t>
            </w:r>
          </w:p>
          <w:p w:rsidR="00886DE8" w:rsidRPr="001F2E97" w:rsidRDefault="00886DE8" w:rsidP="005F4C08">
            <w:pPr>
              <w:pStyle w:val="Lgendestandard"/>
              <w:rPr>
                <w:szCs w:val="24"/>
              </w:rPr>
            </w:pPr>
          </w:p>
          <w:p w:rsidR="00886DE8" w:rsidRPr="001F2E97" w:rsidRDefault="00400F6B" w:rsidP="005F4C08">
            <w:pPr>
              <w:pStyle w:val="Lgendestandard"/>
              <w:rPr>
                <w:szCs w:val="24"/>
              </w:rPr>
            </w:pPr>
            <w:r w:rsidRPr="001F2E97">
              <w:t xml:space="preserve">La prima e la seconda riga del blocco d'informazione di ogni emendamento identificano la parte di testo interessata del progetto di atto in esame. </w:t>
            </w:r>
            <w:r w:rsidRPr="001F2E97">
              <w:t>Se un emendamento verte su un atto esistente che il progetto di atto intende modificare, il blocco d'informazione comprende anche una terza e una quarta riga che identificano rispettivamente l'atto esistente e la disposizione interessata di quest'ultimo.</w:t>
            </w:r>
          </w:p>
          <w:p w:rsidR="00886DE8" w:rsidRPr="001F2E97" w:rsidRDefault="00886DE8" w:rsidP="005F4C08">
            <w:pPr>
              <w:pStyle w:val="Lgendestandard"/>
              <w:rPr>
                <w:szCs w:val="24"/>
              </w:rPr>
            </w:pPr>
          </w:p>
          <w:p w:rsidR="00886DE8" w:rsidRPr="001F2E97" w:rsidRDefault="00400F6B" w:rsidP="005F4C08">
            <w:pPr>
              <w:pStyle w:val="Lgendestandard"/>
              <w:rPr>
                <w:b/>
                <w:szCs w:val="24"/>
              </w:rPr>
            </w:pPr>
            <w:r w:rsidRPr="001F2E97">
              <w:rPr>
                <w:b/>
              </w:rPr>
              <w:t>Emendamenti del Parlamento presentati in forma di testo consolidato</w:t>
            </w:r>
          </w:p>
          <w:p w:rsidR="00886DE8" w:rsidRPr="001F2E97" w:rsidRDefault="00886DE8" w:rsidP="005F4C08">
            <w:pPr>
              <w:pStyle w:val="Lgendestandard"/>
              <w:rPr>
                <w:szCs w:val="24"/>
              </w:rPr>
            </w:pPr>
          </w:p>
          <w:p w:rsidR="00886DE8" w:rsidRPr="001F2E97" w:rsidRDefault="00400F6B" w:rsidP="005F4C08">
            <w:pPr>
              <w:pStyle w:val="Lgendestandard"/>
              <w:rPr>
                <w:szCs w:val="24"/>
              </w:rPr>
            </w:pPr>
            <w:r w:rsidRPr="001F2E97">
              <w:t xml:space="preserve">Le parti di testo nuove sono evidenziate in </w:t>
            </w:r>
            <w:r w:rsidRPr="001F2E97">
              <w:rPr>
                <w:b/>
                <w:i/>
              </w:rPr>
              <w:t>corsivo grassetto</w:t>
            </w:r>
            <w:r w:rsidRPr="001F2E97">
              <w:t xml:space="preserve">. Le parti di testo soppresse sono indicate con il simbolo ▌o sono barrate. Le sostituzioni sono segnalate evidenziando in </w:t>
            </w:r>
            <w:r w:rsidRPr="001F2E97">
              <w:rPr>
                <w:b/>
                <w:i/>
              </w:rPr>
              <w:t>cor</w:t>
            </w:r>
            <w:r w:rsidRPr="001F2E97">
              <w:rPr>
                <w:b/>
                <w:i/>
              </w:rPr>
              <w:t>sivo grassetto</w:t>
            </w:r>
            <w:r w:rsidRPr="001F2E97">
              <w:t xml:space="preserve"> il testo nuovo ed eliminando o barrando il testo sostituito. </w:t>
            </w:r>
          </w:p>
          <w:p w:rsidR="00886DE8" w:rsidRPr="001F2E97" w:rsidRDefault="00400F6B" w:rsidP="005F4C08">
            <w:pPr>
              <w:pStyle w:val="Lgendestandard"/>
            </w:pPr>
            <w:r w:rsidRPr="001F2E97">
              <w:t>A titolo di eccezione, le modifiche di carattere strettamente tecnico apportate dai servizi in vista dell'elaborazione del testo finale non sono evidenziate.</w:t>
            </w:r>
          </w:p>
          <w:p w:rsidR="00886DE8" w:rsidRPr="001F2E97" w:rsidRDefault="00886DE8" w:rsidP="005F4C08">
            <w:pPr>
              <w:pStyle w:val="Lgendestandard"/>
            </w:pPr>
          </w:p>
        </w:tc>
      </w:tr>
    </w:tbl>
    <w:p w:rsidR="00886DE8" w:rsidRPr="001F2E97" w:rsidRDefault="00886DE8" w:rsidP="005F4C08"/>
    <w:p w:rsidR="00793EA9" w:rsidRPr="001F2E97" w:rsidRDefault="00793EA9" w:rsidP="00012351">
      <w:pPr>
        <w:widowControl/>
        <w:tabs>
          <w:tab w:val="center" w:pos="4677"/>
        </w:tabs>
      </w:pPr>
    </w:p>
    <w:p w:rsidR="00793EA9" w:rsidRPr="001F2E97" w:rsidRDefault="00400F6B">
      <w:pPr>
        <w:pStyle w:val="TOCHeading"/>
      </w:pPr>
      <w:r w:rsidRPr="001F2E97">
        <w:br w:type="page"/>
      </w:r>
      <w:r w:rsidRPr="001F2E97">
        <w:lastRenderedPageBreak/>
        <w:t>INDICE</w:t>
      </w:r>
    </w:p>
    <w:p w:rsidR="00793EA9" w:rsidRPr="001F2E97" w:rsidRDefault="00400F6B">
      <w:pPr>
        <w:pStyle w:val="TOCPage"/>
      </w:pPr>
      <w:r w:rsidRPr="001F2E97">
        <w:t>Pagina</w:t>
      </w:r>
    </w:p>
    <w:p w:rsidR="00400F6B" w:rsidRDefault="00400F6B">
      <w:pPr>
        <w:pStyle w:val="TOC1"/>
        <w:tabs>
          <w:tab w:val="right" w:leader="dot" w:pos="9060"/>
        </w:tabs>
        <w:rPr>
          <w:rFonts w:asciiTheme="minorHAnsi" w:eastAsiaTheme="minorEastAsia" w:hAnsiTheme="minorHAnsi" w:cstheme="minorBidi"/>
          <w:noProof/>
          <w:sz w:val="22"/>
          <w:szCs w:val="22"/>
          <w:lang w:val="en-GB"/>
        </w:rPr>
      </w:pPr>
      <w:r w:rsidRPr="001F2E97">
        <w:rPr>
          <w:b/>
        </w:rPr>
        <w:fldChar w:fldCharType="begin"/>
      </w:r>
      <w:r w:rsidRPr="001F2E97">
        <w:rPr>
          <w:b/>
        </w:rPr>
        <w:instrText xml:space="preserve"> T</w:instrText>
      </w:r>
      <w:r w:rsidRPr="001F2E97">
        <w:rPr>
          <w:b/>
        </w:rPr>
        <w:instrText>OC \t "PageHeading</w:instrText>
      </w:r>
      <w:r w:rsidR="0004271C" w:rsidRPr="001F2E97">
        <w:rPr>
          <w:b/>
        </w:rPr>
        <w:instrText>;</w:instrText>
      </w:r>
      <w:r w:rsidRPr="001F2E97">
        <w:rPr>
          <w:b/>
        </w:rPr>
        <w:instrText xml:space="preserve">1" </w:instrText>
      </w:r>
      <w:r w:rsidRPr="001F2E97">
        <w:rPr>
          <w:b/>
        </w:rPr>
        <w:fldChar w:fldCharType="separate"/>
      </w:r>
      <w:r>
        <w:rPr>
          <w:noProof/>
        </w:rPr>
        <w:t>PROGETTO DI RISOLUZIONE LEGISLATIVA DEL PARLAMENTO EUROPEO</w:t>
      </w:r>
      <w:r>
        <w:rPr>
          <w:noProof/>
        </w:rPr>
        <w:tab/>
      </w:r>
      <w:r>
        <w:rPr>
          <w:noProof/>
        </w:rPr>
        <w:fldChar w:fldCharType="begin"/>
      </w:r>
      <w:r>
        <w:rPr>
          <w:noProof/>
        </w:rPr>
        <w:instrText xml:space="preserve"> PAGEREF _Toc135745283 \h </w:instrText>
      </w:r>
      <w:r>
        <w:rPr>
          <w:noProof/>
        </w:rPr>
      </w:r>
      <w:r>
        <w:rPr>
          <w:noProof/>
        </w:rPr>
        <w:fldChar w:fldCharType="separate"/>
      </w:r>
      <w:r>
        <w:rPr>
          <w:noProof/>
        </w:rPr>
        <w:t>5</w:t>
      </w:r>
      <w:r>
        <w:rPr>
          <w:noProof/>
        </w:rPr>
        <w:fldChar w:fldCharType="end"/>
      </w:r>
    </w:p>
    <w:p w:rsidR="00400F6B" w:rsidRDefault="00400F6B">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_Toc135745284 \h </w:instrText>
      </w:r>
      <w:r>
        <w:rPr>
          <w:noProof/>
        </w:rPr>
      </w:r>
      <w:r>
        <w:rPr>
          <w:noProof/>
        </w:rPr>
        <w:fldChar w:fldCharType="separate"/>
      </w:r>
      <w:r>
        <w:rPr>
          <w:noProof/>
        </w:rPr>
        <w:t>33</w:t>
      </w:r>
      <w:r>
        <w:rPr>
          <w:noProof/>
        </w:rPr>
        <w:fldChar w:fldCharType="end"/>
      </w:r>
    </w:p>
    <w:p w:rsidR="00400F6B" w:rsidRDefault="00400F6B">
      <w:pPr>
        <w:pStyle w:val="TOC1"/>
        <w:tabs>
          <w:tab w:val="right" w:leader="dot" w:pos="9060"/>
        </w:tabs>
        <w:rPr>
          <w:rFonts w:asciiTheme="minorHAnsi" w:eastAsiaTheme="minorEastAsia" w:hAnsiTheme="minorHAnsi" w:cstheme="minorBidi"/>
          <w:noProof/>
          <w:sz w:val="22"/>
          <w:szCs w:val="22"/>
          <w:lang w:val="en-GB"/>
        </w:rPr>
      </w:pPr>
      <w:r>
        <w:rPr>
          <w:noProof/>
        </w:rPr>
        <w:t>ANNEX: LIST OF ENTITIES OR PERSONS FROM WHOM THE RAPPORTEUR HAS RECEIVED INPUT</w:t>
      </w:r>
      <w:r>
        <w:rPr>
          <w:noProof/>
        </w:rPr>
        <w:tab/>
      </w:r>
      <w:r>
        <w:rPr>
          <w:noProof/>
        </w:rPr>
        <w:fldChar w:fldCharType="begin"/>
      </w:r>
      <w:r>
        <w:rPr>
          <w:noProof/>
        </w:rPr>
        <w:instrText xml:space="preserve"> PAGEREF _Toc135745285 \h </w:instrText>
      </w:r>
      <w:r>
        <w:rPr>
          <w:noProof/>
        </w:rPr>
      </w:r>
      <w:r>
        <w:rPr>
          <w:noProof/>
        </w:rPr>
        <w:fldChar w:fldCharType="separate"/>
      </w:r>
      <w:r>
        <w:rPr>
          <w:noProof/>
        </w:rPr>
        <w:t>36</w:t>
      </w:r>
      <w:r>
        <w:rPr>
          <w:noProof/>
        </w:rPr>
        <w:fldChar w:fldCharType="end"/>
      </w:r>
    </w:p>
    <w:p w:rsidR="002346B0" w:rsidRPr="001F2E97" w:rsidRDefault="00400F6B" w:rsidP="00C23324">
      <w:r w:rsidRPr="001F2E97">
        <w:rPr>
          <w:b/>
        </w:rPr>
        <w:fldChar w:fldCharType="end"/>
      </w:r>
    </w:p>
    <w:p w:rsidR="00793EA9" w:rsidRPr="001F2E97" w:rsidRDefault="00400F6B">
      <w:pPr>
        <w:pStyle w:val="PageHeading"/>
      </w:pPr>
      <w:r w:rsidRPr="001F2E97">
        <w:br w:type="page"/>
      </w:r>
      <w:r w:rsidRPr="001F2E97">
        <w:lastRenderedPageBreak/>
        <w:br w:type="page"/>
      </w:r>
      <w:bookmarkStart w:id="1" w:name="_Toc135745283"/>
      <w:r w:rsidRPr="001F2E97">
        <w:lastRenderedPageBreak/>
        <w:t>PROGETTO DI RISOLUZIONE LEGISLATIVA DEL PARLAMENTO EUROPEO</w:t>
      </w:r>
      <w:bookmarkEnd w:id="1"/>
    </w:p>
    <w:p w:rsidR="00793EA9" w:rsidRPr="001F2E97" w:rsidRDefault="00400F6B">
      <w:pPr>
        <w:pStyle w:val="NormalBold"/>
      </w:pPr>
      <w:r w:rsidRPr="001F2E97">
        <w:t>sulla proposta di direttiva del Parlamento europeo e del Consiglio recante modifica della direttiva 98/24/CE del Consiglio e della direttiva 2004/37/CE del Parlamento europeo e del Consiglio per qu</w:t>
      </w:r>
      <w:r w:rsidRPr="001F2E97">
        <w:t>anto riguarda i valori limite per il piombo e i suoi composti inorganici e i diisocianati</w:t>
      </w:r>
    </w:p>
    <w:p w:rsidR="00793EA9" w:rsidRPr="001F2E97" w:rsidRDefault="00400F6B">
      <w:pPr>
        <w:pStyle w:val="NormalBold12a"/>
      </w:pPr>
      <w:r w:rsidRPr="001F2E97">
        <w:t>(COM(2023)0071 – C9</w:t>
      </w:r>
      <w:r w:rsidRPr="001F2E97">
        <w:noBreakHyphen/>
        <w:t>0022/2023 – 2023/0033(COD))</w:t>
      </w:r>
    </w:p>
    <w:p w:rsidR="00793EA9" w:rsidRPr="001F2E97" w:rsidRDefault="00400F6B" w:rsidP="00A910C9">
      <w:pPr>
        <w:pStyle w:val="NormalBold"/>
      </w:pPr>
      <w:r w:rsidRPr="001F2E97">
        <w:t>(Procedura legislativa ordinaria: prima lettura)</w:t>
      </w:r>
    </w:p>
    <w:p w:rsidR="00793EA9" w:rsidRPr="001F2E97" w:rsidRDefault="00400F6B" w:rsidP="00A910C9">
      <w:pPr>
        <w:pStyle w:val="EPComma"/>
      </w:pPr>
      <w:r w:rsidRPr="001F2E97">
        <w:rPr>
          <w:i/>
        </w:rPr>
        <w:t>Il Parlamento europeo</w:t>
      </w:r>
      <w:r w:rsidRPr="001F2E97">
        <w:t>,</w:t>
      </w:r>
    </w:p>
    <w:p w:rsidR="00793EA9" w:rsidRPr="001F2E97" w:rsidRDefault="00400F6B">
      <w:pPr>
        <w:pStyle w:val="NormalHanging12a"/>
      </w:pPr>
      <w:r w:rsidRPr="001F2E97">
        <w:t>–</w:t>
      </w:r>
      <w:r w:rsidRPr="001F2E97">
        <w:tab/>
        <w:t>vista la proposta della Commissione al Parla</w:t>
      </w:r>
      <w:r w:rsidRPr="001F2E97">
        <w:t>mento europeo e al Consiglio (COM(2023)0071),</w:t>
      </w:r>
    </w:p>
    <w:p w:rsidR="00A15B92" w:rsidRPr="001F2E97" w:rsidRDefault="00400F6B" w:rsidP="00A15B92">
      <w:pPr>
        <w:pStyle w:val="NormalHanging12a"/>
      </w:pPr>
      <w:r w:rsidRPr="001F2E97">
        <w:t>–</w:t>
      </w:r>
      <w:r w:rsidRPr="001F2E97">
        <w:tab/>
        <w:t>visti l'articolo 294, paragrafo 2, e l'articolo 153, paragrafo 2, lettera b), in combinato disposto con il paragrafo 1, lettera a), del trattato sul funzionamento dell'Unione europea, a norma dei quali la pro</w:t>
      </w:r>
      <w:r w:rsidRPr="001F2E97">
        <w:t>posta gli è stata presentata dalla Commissione (C9</w:t>
      </w:r>
      <w:r w:rsidRPr="001F2E97">
        <w:noBreakHyphen/>
        <w:t>0022/2023),</w:t>
      </w:r>
    </w:p>
    <w:p w:rsidR="00A15B92" w:rsidRPr="001F2E97" w:rsidRDefault="00400F6B" w:rsidP="00A15B92">
      <w:pPr>
        <w:pStyle w:val="NormalHanging12a"/>
      </w:pPr>
      <w:r w:rsidRPr="001F2E97">
        <w:t>–</w:t>
      </w:r>
      <w:r w:rsidRPr="001F2E97">
        <w:tab/>
        <w:t>visto l'articolo 294, paragrafo 3, del trattato sul funzionamento dell'Unione europea,</w:t>
      </w:r>
    </w:p>
    <w:p w:rsidR="00A15B92" w:rsidRPr="001F2E97" w:rsidRDefault="00400F6B" w:rsidP="00A15B92">
      <w:pPr>
        <w:pStyle w:val="NormalHanging12a"/>
      </w:pPr>
      <w:r w:rsidRPr="001F2E97">
        <w:t>–</w:t>
      </w:r>
      <w:r w:rsidRPr="001F2E97">
        <w:tab/>
        <w:t>visto il parere del Comitato economico e sociale del 22 marzo 2023</w:t>
      </w:r>
      <w:r w:rsidRPr="001F2E97">
        <w:rPr>
          <w:vertAlign w:val="superscript"/>
        </w:rPr>
        <w:footnoteReference w:id="1"/>
      </w:r>
      <w:r w:rsidRPr="001F2E97">
        <w:rPr>
          <w:vertAlign w:val="superscript"/>
        </w:rPr>
        <w:t xml:space="preserve"> </w:t>
      </w:r>
      <w:r w:rsidRPr="001F2E97">
        <w:t>e l'opinione del Comitato delle re</w:t>
      </w:r>
      <w:r w:rsidRPr="001F2E97">
        <w:t>gioni del xx.xx.2023</w:t>
      </w:r>
      <w:r w:rsidRPr="001F2E97">
        <w:rPr>
          <w:vertAlign w:val="superscript"/>
        </w:rPr>
        <w:footnoteReference w:id="2"/>
      </w:r>
      <w:r w:rsidRPr="001F2E97">
        <w:t>,</w:t>
      </w:r>
    </w:p>
    <w:p w:rsidR="00A15B92" w:rsidRPr="001F2E97" w:rsidRDefault="00400F6B" w:rsidP="00A15B92">
      <w:pPr>
        <w:pStyle w:val="NormalHanging12a"/>
      </w:pPr>
      <w:r w:rsidRPr="001F2E97">
        <w:t>–</w:t>
      </w:r>
      <w:r w:rsidRPr="001F2E97">
        <w:tab/>
        <w:t>visto l'articolo 59 del suo regolamento,</w:t>
      </w:r>
    </w:p>
    <w:p w:rsidR="00A15B92" w:rsidRPr="001F2E97" w:rsidRDefault="00400F6B" w:rsidP="00A15B92">
      <w:pPr>
        <w:pStyle w:val="NormalHanging12a"/>
      </w:pPr>
      <w:r w:rsidRPr="001F2E97">
        <w:t>–</w:t>
      </w:r>
      <w:r w:rsidRPr="001F2E97">
        <w:tab/>
        <w:t>vista la relazione della commissione per l'occupazione e gli affari sociali (A9</w:t>
      </w:r>
      <w:r w:rsidRPr="001F2E97">
        <w:noBreakHyphen/>
        <w:t>0000/2023),</w:t>
      </w:r>
    </w:p>
    <w:p w:rsidR="00A15B92" w:rsidRPr="001F2E97" w:rsidRDefault="00400F6B" w:rsidP="00A15B92">
      <w:pPr>
        <w:pStyle w:val="NormalHanging12a"/>
      </w:pPr>
      <w:r w:rsidRPr="001F2E97">
        <w:t>1.</w:t>
      </w:r>
      <w:r w:rsidRPr="001F2E97">
        <w:tab/>
        <w:t>adotta la posizione in prima lettura figurante in appresso;</w:t>
      </w:r>
    </w:p>
    <w:p w:rsidR="00A15B92" w:rsidRPr="001F2E97" w:rsidRDefault="00400F6B" w:rsidP="00A15B92">
      <w:pPr>
        <w:pStyle w:val="NormalHanging12a"/>
      </w:pPr>
      <w:r w:rsidRPr="001F2E97">
        <w:t>2.</w:t>
      </w:r>
      <w:r w:rsidRPr="001F2E97">
        <w:tab/>
        <w:t>chiede alla Commissione di pre</w:t>
      </w:r>
      <w:r w:rsidRPr="001F2E97">
        <w:t>sentargli nuovamente la proposta qualora la sostituisca, la modifichi sostanzialmente o intenda modificarla sostanzialmente;</w:t>
      </w:r>
    </w:p>
    <w:p w:rsidR="00A15B92" w:rsidRPr="001F2E97" w:rsidRDefault="00400F6B" w:rsidP="00A15B92">
      <w:pPr>
        <w:pStyle w:val="NormalHanging12a"/>
      </w:pPr>
      <w:r w:rsidRPr="001F2E97">
        <w:t>3.</w:t>
      </w:r>
      <w:r w:rsidRPr="001F2E97">
        <w:tab/>
        <w:t>incarica la sua Presidente di trasmettere la posizione del Parlamento al Consiglio e alla Commissione nonché ai parlamenti nazio</w:t>
      </w:r>
      <w:r w:rsidRPr="001F2E97">
        <w:t>nali.</w:t>
      </w:r>
    </w:p>
    <w:p w:rsidR="00A15B92" w:rsidRPr="001F2E97" w:rsidRDefault="00400F6B">
      <w:pPr>
        <w:widowControl/>
      </w:pPr>
      <w:r w:rsidRPr="001F2E97">
        <w:br w:type="page"/>
      </w:r>
    </w:p>
    <w:p w:rsidR="0052409B" w:rsidRPr="001F2E97" w:rsidRDefault="00400F6B" w:rsidP="0052409B">
      <w:pPr>
        <w:pStyle w:val="AMNumberTabs0"/>
        <w:keepNext/>
      </w:pPr>
      <w:bookmarkStart w:id="2" w:name="restart"/>
      <w:r w:rsidRPr="001F2E97">
        <w:rPr>
          <w:rStyle w:val="HideTWBExt"/>
          <w:b w:val="0"/>
          <w:color w:val="auto"/>
        </w:rPr>
        <w:lastRenderedPageBreak/>
        <w:t>&lt;RepeatBlock-Amend&gt;&lt;Amend&gt;</w:t>
      </w:r>
      <w:r w:rsidRPr="001F2E97">
        <w:t>Emendamento</w:t>
      </w:r>
      <w:r w:rsidRPr="001F2E97">
        <w:tab/>
      </w:r>
      <w:r w:rsidRPr="001F2E97">
        <w:tab/>
      </w:r>
      <w:r w:rsidRPr="001F2E97">
        <w:rPr>
          <w:rStyle w:val="HideTWBExt"/>
          <w:b w:val="0"/>
          <w:color w:val="auto"/>
        </w:rPr>
        <w:t>&lt;NumAm&gt;</w:t>
      </w:r>
      <w:r w:rsidRPr="001F2E97">
        <w:t>1</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Considerando 6</w:t>
      </w:r>
      <w:r w:rsidRPr="001F2E97">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413B1F">
        <w:trPr>
          <w:jc w:val="center"/>
        </w:trPr>
        <w:tc>
          <w:tcPr>
            <w:tcW w:w="9752" w:type="dxa"/>
            <w:gridSpan w:val="2"/>
          </w:tcPr>
          <w:p w:rsidR="0052409B" w:rsidRPr="001F2E97" w:rsidRDefault="0052409B" w:rsidP="00413B1F">
            <w:pPr>
              <w:keepNext/>
            </w:pPr>
          </w:p>
        </w:tc>
      </w:tr>
      <w:tr w:rsidR="001F2E97" w:rsidRPr="001F2E97" w:rsidTr="00413B1F">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413B1F">
        <w:trPr>
          <w:jc w:val="center"/>
        </w:trPr>
        <w:tc>
          <w:tcPr>
            <w:tcW w:w="4876" w:type="dxa"/>
          </w:tcPr>
          <w:p w:rsidR="0052409B" w:rsidRPr="001F2E97" w:rsidRDefault="00400F6B" w:rsidP="00413B1F">
            <w:pPr>
              <w:pStyle w:val="Normal6"/>
            </w:pPr>
            <w:r w:rsidRPr="001F2E97">
              <w:t>(6)</w:t>
            </w:r>
            <w:r w:rsidRPr="001F2E97">
              <w:tab/>
            </w:r>
            <w:r w:rsidRPr="001F2E97">
              <w:t>Il piombo e i suoi composti inorganici sono importanti sostanze reprotossiche in ambito professionale che possono influire negativamente sia sulla fertilità che sullo sviluppo del feto, che rispondono ai criteri di classificazione come tossiche per la ripr</w:t>
            </w:r>
            <w:r w:rsidRPr="001F2E97">
              <w:t>oduzione (categoria 1A) a norma del regolamento (CE) n. 1272/2008 del Parlamento europeo e del Consiglio e sono pertanto sostanze tossiche per la riproduzione ai sensi dell'articolo 2, lettera b bis), della direttiva 2004/37/CE.</w:t>
            </w:r>
          </w:p>
        </w:tc>
        <w:tc>
          <w:tcPr>
            <w:tcW w:w="4876" w:type="dxa"/>
          </w:tcPr>
          <w:p w:rsidR="0052409B" w:rsidRPr="001F2E97" w:rsidRDefault="00400F6B" w:rsidP="00413B1F">
            <w:pPr>
              <w:pStyle w:val="Normal6"/>
              <w:rPr>
                <w:szCs w:val="24"/>
              </w:rPr>
            </w:pPr>
            <w:r w:rsidRPr="001F2E97">
              <w:t>(6)</w:t>
            </w:r>
            <w:r w:rsidRPr="001F2E97">
              <w:tab/>
              <w:t>Il piombo e i suoi comp</w:t>
            </w:r>
            <w:r w:rsidRPr="001F2E97">
              <w:t>osti inorganici sono importanti sostanze reprotossiche in ambito professionale che possono influire negativamente sia sulla fertilità che sullo sviluppo del feto, che rispondono ai criteri di classificazione come tossiche per la riproduzione (categoria 1A)</w:t>
            </w:r>
            <w:r w:rsidRPr="001F2E97">
              <w:t xml:space="preserve"> a norma del regolamento (CE) n. 1272/2008 del Parlamento europeo e del Consiglio e sono pertanto sostanze tossiche per la riproduzione ai sensi dell'articolo 2, lettera b bis), della direttiva 2004/37/CE. </w:t>
            </w:r>
            <w:r w:rsidRPr="001F2E97">
              <w:rPr>
                <w:b/>
                <w:i/>
              </w:rPr>
              <w:t>Gli studi dimostrano che circa la metà dell'esposi</w:t>
            </w:r>
            <w:r w:rsidRPr="001F2E97">
              <w:rPr>
                <w:b/>
                <w:i/>
              </w:rPr>
              <w:t xml:space="preserve">zione alle sostanze reprotossiche in ambito professionale è rappresentata dal piombo. </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r w:rsidRPr="001F2E97">
        <w:rPr>
          <w:rStyle w:val="HideTWBExt"/>
          <w:color w:val="auto"/>
        </w:rPr>
        <w:t>&lt;/Amend&gt;</w:t>
      </w:r>
    </w:p>
    <w:p w:rsidR="003D192E" w:rsidRPr="001F2E97" w:rsidRDefault="00400F6B" w:rsidP="003D192E">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2</w:t>
      </w:r>
      <w:r w:rsidRPr="001F2E97">
        <w:rPr>
          <w:rStyle w:val="HideTWBExt"/>
          <w:b w:val="0"/>
          <w:color w:val="auto"/>
        </w:rPr>
        <w:t>&lt;/NumAm&gt;</w:t>
      </w:r>
    </w:p>
    <w:p w:rsidR="003D192E" w:rsidRPr="001F2E97" w:rsidRDefault="00400F6B" w:rsidP="003D192E">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3D192E" w:rsidRPr="001F2E97" w:rsidRDefault="00400F6B" w:rsidP="003D192E">
      <w:pPr>
        <w:pStyle w:val="NormalBold"/>
      </w:pPr>
      <w:r w:rsidRPr="001F2E97">
        <w:rPr>
          <w:rStyle w:val="HideTWBExt"/>
          <w:b w:val="0"/>
          <w:color w:val="auto"/>
        </w:rPr>
        <w:t>&lt;Article&gt;</w:t>
      </w:r>
      <w:r w:rsidRPr="001F2E97">
        <w:t>Considerando 7</w:t>
      </w:r>
      <w:r w:rsidRPr="001F2E97">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413B1F">
        <w:trPr>
          <w:jc w:val="center"/>
        </w:trPr>
        <w:tc>
          <w:tcPr>
            <w:tcW w:w="9752" w:type="dxa"/>
            <w:gridSpan w:val="2"/>
          </w:tcPr>
          <w:p w:rsidR="003D192E" w:rsidRPr="001F2E97" w:rsidRDefault="003D192E" w:rsidP="00413B1F">
            <w:pPr>
              <w:keepNext/>
            </w:pPr>
          </w:p>
        </w:tc>
      </w:tr>
      <w:tr w:rsidR="001F2E97" w:rsidRPr="001F2E97" w:rsidTr="00413B1F">
        <w:trPr>
          <w:jc w:val="center"/>
        </w:trPr>
        <w:tc>
          <w:tcPr>
            <w:tcW w:w="4876" w:type="dxa"/>
          </w:tcPr>
          <w:p w:rsidR="003D192E" w:rsidRPr="001F2E97" w:rsidRDefault="00400F6B" w:rsidP="00413B1F">
            <w:pPr>
              <w:pStyle w:val="ColumnHeading"/>
              <w:keepNext/>
            </w:pPr>
            <w:r w:rsidRPr="001F2E97">
              <w:t>Testo della Commissione</w:t>
            </w:r>
          </w:p>
        </w:tc>
        <w:tc>
          <w:tcPr>
            <w:tcW w:w="4876" w:type="dxa"/>
          </w:tcPr>
          <w:p w:rsidR="003D192E" w:rsidRPr="001F2E97" w:rsidRDefault="00400F6B" w:rsidP="00413B1F">
            <w:pPr>
              <w:pStyle w:val="ColumnHeading"/>
              <w:keepNext/>
            </w:pPr>
            <w:r w:rsidRPr="001F2E97">
              <w:t>Emendamento</w:t>
            </w:r>
          </w:p>
        </w:tc>
      </w:tr>
      <w:tr w:rsidR="001F2E97" w:rsidRPr="001F2E97" w:rsidTr="00413B1F">
        <w:trPr>
          <w:jc w:val="center"/>
        </w:trPr>
        <w:tc>
          <w:tcPr>
            <w:tcW w:w="4876" w:type="dxa"/>
          </w:tcPr>
          <w:p w:rsidR="003D192E" w:rsidRPr="001F2E97" w:rsidRDefault="00400F6B" w:rsidP="00413B1F">
            <w:pPr>
              <w:pStyle w:val="Normal6"/>
            </w:pPr>
            <w:r w:rsidRPr="001F2E97">
              <w:t>(7)</w:t>
            </w:r>
            <w:r w:rsidRPr="001F2E97">
              <w:tab/>
              <w:t>L'esposizione per via orale e inalatoria sono importanti vie di assorbimento del piombo e dei suoi composti inorganici nel corpo umano. Tenendo conto dei dati scientifici più recenti e delle nuove conoscenze riguard</w:t>
            </w:r>
            <w:r w:rsidRPr="001F2E97">
              <w:t xml:space="preserve">anti il piombo e i suoi composti inorganici, è necessario migliorare la protezione dei lavoratori esposti a un potenziale rischio per la salute, riducendo sia il valore limite di esposizione professionale che il valore limite biologico per il piombo. </w:t>
            </w:r>
            <w:r w:rsidRPr="001F2E97">
              <w:rPr>
                <w:b/>
                <w:i/>
              </w:rPr>
              <w:t>È per</w:t>
            </w:r>
            <w:r w:rsidRPr="001F2E97">
              <w:rPr>
                <w:b/>
                <w:i/>
              </w:rPr>
              <w:t>tanto opportuno stabilire un valore limite biologico riveduto pari a 15 µg/100ml di sangue, assieme a un valore limite di esposizione professionale riveduto pari a 0,03 mg/m</w:t>
            </w:r>
            <w:r w:rsidRPr="001F2E97">
              <w:rPr>
                <w:b/>
                <w:i/>
                <w:vertAlign w:val="superscript"/>
              </w:rPr>
              <w:t>3</w:t>
            </w:r>
            <w:r w:rsidRPr="001F2E97">
              <w:rPr>
                <w:b/>
                <w:i/>
              </w:rPr>
              <w:t xml:space="preserve"> </w:t>
            </w:r>
            <w:r w:rsidRPr="001F2E97">
              <w:rPr>
                <w:b/>
                <w:i/>
              </w:rPr>
              <w:lastRenderedPageBreak/>
              <w:t>espresso come media ponderata nel tempo di otto ore.</w:t>
            </w:r>
          </w:p>
        </w:tc>
        <w:tc>
          <w:tcPr>
            <w:tcW w:w="4876" w:type="dxa"/>
          </w:tcPr>
          <w:p w:rsidR="003D192E" w:rsidRPr="001F2E97" w:rsidRDefault="00400F6B" w:rsidP="003D192E">
            <w:pPr>
              <w:pStyle w:val="Normal6"/>
              <w:rPr>
                <w:szCs w:val="24"/>
              </w:rPr>
            </w:pPr>
            <w:r w:rsidRPr="001F2E97">
              <w:lastRenderedPageBreak/>
              <w:t>(7)</w:t>
            </w:r>
            <w:r w:rsidRPr="001F2E97">
              <w:tab/>
            </w:r>
            <w:r w:rsidRPr="001F2E97">
              <w:t>L'esposizione per via orale e inalatoria sono importanti vie di assorbimento del piombo e dei suoi composti inorganici nel corpo umano. Tenendo conto dei dati scientifici più recenti e delle nuove conoscenze riguardanti il piombo e i suoi composti inorgani</w:t>
            </w:r>
            <w:r w:rsidRPr="001F2E97">
              <w:t xml:space="preserve">ci, è necessario migliorare la protezione dei lavoratori esposti a un potenziale rischio per la salute, riducendo sia il valore limite di esposizione professionale che il valore limite biologico per il piombo. </w:t>
            </w:r>
          </w:p>
        </w:tc>
      </w:tr>
    </w:tbl>
    <w:p w:rsidR="003D192E" w:rsidRPr="001F2E97" w:rsidRDefault="00400F6B" w:rsidP="003D192E">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3D192E" w:rsidRPr="001F2E97" w:rsidRDefault="00400F6B" w:rsidP="003D192E">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w:t>
      </w:r>
      <w:r w:rsidRPr="001F2E97">
        <w:rPr>
          <w:rStyle w:val="HideTWBExt"/>
          <w:b w:val="0"/>
          <w:color w:val="auto"/>
        </w:rPr>
        <w:t>end&gt;</w:t>
      </w:r>
      <w:r w:rsidRPr="001F2E97">
        <w:t>Emendamento</w:t>
      </w:r>
      <w:r w:rsidRPr="001F2E97">
        <w:tab/>
      </w:r>
      <w:r w:rsidRPr="001F2E97">
        <w:tab/>
      </w:r>
      <w:r w:rsidRPr="001F2E97">
        <w:rPr>
          <w:rStyle w:val="HideTWBExt"/>
          <w:b w:val="0"/>
          <w:color w:val="auto"/>
        </w:rPr>
        <w:t>&lt;NumAm&gt;</w:t>
      </w:r>
      <w:r w:rsidRPr="001F2E97">
        <w:t>3</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Considerando 7 bis (nuovo)</w:t>
      </w:r>
      <w:r w:rsidRPr="001F2E9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EC2EAE">
        <w:trPr>
          <w:jc w:val="center"/>
        </w:trPr>
        <w:tc>
          <w:tcPr>
            <w:tcW w:w="9752" w:type="dxa"/>
            <w:gridSpan w:val="2"/>
          </w:tcPr>
          <w:p w:rsidR="0052409B" w:rsidRPr="001F2E97" w:rsidRDefault="0052409B" w:rsidP="00413B1F">
            <w:pPr>
              <w:keepNext/>
            </w:pPr>
          </w:p>
        </w:tc>
      </w:tr>
      <w:tr w:rsidR="001F2E97" w:rsidRPr="001F2E97" w:rsidTr="00EC2EAE">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EC2EAE">
        <w:trPr>
          <w:jc w:val="center"/>
        </w:trPr>
        <w:tc>
          <w:tcPr>
            <w:tcW w:w="4876" w:type="dxa"/>
          </w:tcPr>
          <w:p w:rsidR="0052409B" w:rsidRPr="001F2E97" w:rsidRDefault="0052409B" w:rsidP="00413B1F">
            <w:pPr>
              <w:pStyle w:val="Normal6"/>
            </w:pPr>
          </w:p>
        </w:tc>
        <w:tc>
          <w:tcPr>
            <w:tcW w:w="4876" w:type="dxa"/>
          </w:tcPr>
          <w:p w:rsidR="0052409B" w:rsidRPr="001F2E97" w:rsidRDefault="00400F6B" w:rsidP="00CA1930">
            <w:pPr>
              <w:pStyle w:val="Normal6"/>
              <w:rPr>
                <w:szCs w:val="24"/>
              </w:rPr>
            </w:pPr>
            <w:r w:rsidRPr="001F2E97">
              <w:rPr>
                <w:b/>
                <w:i/>
              </w:rPr>
              <w:t>(7 bis)</w:t>
            </w:r>
            <w:r w:rsidRPr="001F2E97">
              <w:rPr>
                <w:b/>
                <w:i/>
              </w:rPr>
              <w:tab/>
            </w:r>
            <w:r w:rsidRPr="001F2E97">
              <w:rPr>
                <w:b/>
                <w:i/>
              </w:rPr>
              <w:t>Il comitato per la valutazione dei rischi dell'Agenzia europea per le sostanze chimiche raccomanda un limite di esposizione professionale di 4 μg Pb/m</w:t>
            </w:r>
            <w:r w:rsidRPr="001F2E97">
              <w:rPr>
                <w:b/>
                <w:i/>
                <w:vertAlign w:val="superscript"/>
              </w:rPr>
              <w:t>3</w:t>
            </w:r>
            <w:r w:rsidRPr="001F2E97">
              <w:rPr>
                <w:b/>
                <w:i/>
              </w:rPr>
              <w:t xml:space="preserve"> espresso come media ponderata nel tempo di otto ore</w:t>
            </w:r>
            <w:r w:rsidRPr="001F2E97">
              <w:rPr>
                <w:b/>
                <w:i/>
                <w:vertAlign w:val="superscript"/>
              </w:rPr>
              <w:t>1 bis</w:t>
            </w:r>
            <w:r w:rsidRPr="001F2E97">
              <w:rPr>
                <w:b/>
                <w:i/>
              </w:rPr>
              <w:t>. Il comitato raccomanda inoltre un valore limit</w:t>
            </w:r>
            <w:r w:rsidRPr="001F2E97">
              <w:rPr>
                <w:b/>
                <w:i/>
              </w:rPr>
              <w:t>e biologico obbligatorio di 15 µg Pb/100ml (150 µg Pb/L), ma ha concluso che tale valore limite per il piombo non protegge i futuri figli delle lavoratrici in età fertile esposte. Il comitato raccomanda che il livello di piombo nel sangue delle lavoratrici</w:t>
            </w:r>
            <w:r w:rsidRPr="001F2E97">
              <w:rPr>
                <w:b/>
                <w:i/>
              </w:rPr>
              <w:t xml:space="preserve"> in età fertile non superi i valori di riferimento per la popolazione generale non soggetta a esposizione professionale al piombo nel pertinente Stato membro dell'UE. Qualora non siano disponibili livelli di riferimento nazionali, i livelli di piombo nel s</w:t>
            </w:r>
            <w:r w:rsidRPr="001F2E97">
              <w:rPr>
                <w:b/>
                <w:i/>
              </w:rPr>
              <w:t>angue delle donne in età fertile non dovrebbero superare il valore guida biologico di 4,5 μg/ml (45 μg/L), il valore di riferimento europeo massimo. Il valore limite biologico si riferisce all'esposizione di base della popolazione generale non esposta prof</w:t>
            </w:r>
            <w:r w:rsidRPr="001F2E97">
              <w:rPr>
                <w:b/>
                <w:i/>
              </w:rPr>
              <w:t>essionalmente al piombo.</w:t>
            </w:r>
          </w:p>
        </w:tc>
      </w:tr>
      <w:tr w:rsidR="001F2E97" w:rsidRPr="001F2E97" w:rsidTr="00EC2EAE">
        <w:trPr>
          <w:jc w:val="center"/>
        </w:trPr>
        <w:tc>
          <w:tcPr>
            <w:tcW w:w="4876" w:type="dxa"/>
          </w:tcPr>
          <w:p w:rsidR="00EC2EAE" w:rsidRPr="001F2E97" w:rsidRDefault="00EC2EAE" w:rsidP="00EC2EAE">
            <w:pPr>
              <w:pStyle w:val="Normal6"/>
            </w:pPr>
          </w:p>
        </w:tc>
        <w:tc>
          <w:tcPr>
            <w:tcW w:w="4876" w:type="dxa"/>
          </w:tcPr>
          <w:p w:rsidR="00EC2EAE" w:rsidRPr="001F2E97" w:rsidRDefault="00400F6B" w:rsidP="00EC2EAE">
            <w:pPr>
              <w:pStyle w:val="Normal6"/>
              <w:rPr>
                <w:b/>
                <w:i/>
              </w:rPr>
            </w:pPr>
            <w:r w:rsidRPr="001F2E97">
              <w:rPr>
                <w:b/>
                <w:i/>
              </w:rPr>
              <w:t>__________________</w:t>
            </w:r>
          </w:p>
        </w:tc>
      </w:tr>
      <w:tr w:rsidR="001F2E97" w:rsidRPr="001F2E97" w:rsidTr="00EC2EAE">
        <w:trPr>
          <w:jc w:val="center"/>
        </w:trPr>
        <w:tc>
          <w:tcPr>
            <w:tcW w:w="4876" w:type="dxa"/>
          </w:tcPr>
          <w:p w:rsidR="00EC2EAE" w:rsidRPr="001F2E97" w:rsidRDefault="00EC2EAE" w:rsidP="00EC2EAE">
            <w:pPr>
              <w:pStyle w:val="Normal6"/>
            </w:pPr>
          </w:p>
        </w:tc>
        <w:tc>
          <w:tcPr>
            <w:tcW w:w="4876" w:type="dxa"/>
          </w:tcPr>
          <w:p w:rsidR="00EC2EAE" w:rsidRPr="001F2E97" w:rsidRDefault="00400F6B" w:rsidP="00EC2EAE">
            <w:pPr>
              <w:pStyle w:val="Normal6"/>
              <w:rPr>
                <w:b/>
                <w:i/>
              </w:rPr>
            </w:pPr>
            <w:r w:rsidRPr="001F2E97">
              <w:rPr>
                <w:b/>
                <w:i/>
                <w:vertAlign w:val="superscript"/>
              </w:rPr>
              <w:t>1 bis</w:t>
            </w:r>
            <w:r w:rsidRPr="001F2E97">
              <w:rPr>
                <w:b/>
                <w:i/>
              </w:rPr>
              <w:t xml:space="preserve"> https://echa.europa.eu/documents/10162/ed7a37e4-1641-b147-aaac-fce4c3014037</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4</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Considerando 7 ter (nuovo)</w:t>
      </w:r>
      <w:r w:rsidRPr="001F2E97">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413B1F">
        <w:trPr>
          <w:jc w:val="center"/>
        </w:trPr>
        <w:tc>
          <w:tcPr>
            <w:tcW w:w="9752" w:type="dxa"/>
            <w:gridSpan w:val="2"/>
          </w:tcPr>
          <w:p w:rsidR="0052409B" w:rsidRPr="001F2E97" w:rsidRDefault="0052409B" w:rsidP="00413B1F">
            <w:pPr>
              <w:keepNext/>
            </w:pPr>
          </w:p>
        </w:tc>
      </w:tr>
      <w:tr w:rsidR="001F2E97" w:rsidRPr="001F2E97" w:rsidTr="00413B1F">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413B1F">
        <w:trPr>
          <w:jc w:val="center"/>
        </w:trPr>
        <w:tc>
          <w:tcPr>
            <w:tcW w:w="4876" w:type="dxa"/>
          </w:tcPr>
          <w:p w:rsidR="0052409B" w:rsidRPr="001F2E97" w:rsidRDefault="0052409B" w:rsidP="00413B1F">
            <w:pPr>
              <w:pStyle w:val="Normal6"/>
            </w:pPr>
          </w:p>
        </w:tc>
        <w:tc>
          <w:tcPr>
            <w:tcW w:w="4876" w:type="dxa"/>
          </w:tcPr>
          <w:p w:rsidR="0052409B" w:rsidRPr="001F2E97" w:rsidRDefault="00400F6B" w:rsidP="007C2624">
            <w:pPr>
              <w:pStyle w:val="Normal6"/>
              <w:rPr>
                <w:szCs w:val="24"/>
              </w:rPr>
            </w:pPr>
            <w:r w:rsidRPr="001F2E97">
              <w:rPr>
                <w:b/>
                <w:i/>
              </w:rPr>
              <w:t>(7 ter)</w:t>
            </w:r>
            <w:r w:rsidRPr="001F2E97">
              <w:rPr>
                <w:b/>
                <w:i/>
              </w:rPr>
              <w:tab/>
            </w:r>
            <w:r w:rsidRPr="001F2E97">
              <w:rPr>
                <w:b/>
                <w:i/>
              </w:rPr>
              <w:t>Nella sua relazione d'iniziativa su un nuovo quadro strategico dell'Unione in materia di salute e sicurezza sul lavoro post-2020 (inclusa una migliore protezione dei lavoratori contro l'esposizione a sostanze nocive, lo stress sul luogo di lavoro e le lesi</w:t>
            </w:r>
            <w:r w:rsidRPr="001F2E97">
              <w:rPr>
                <w:b/>
                <w:i/>
              </w:rPr>
              <w:t>oni da movimenti ripetitivi) del 9 febbraio 2022, il Parlamento europeo ha osservato che un valore limite biologico di 15 µg Pb/100ml (150 µg Pb/L) "non tutela adeguatamente le donne e soprattutto quelle in gravidanza" e ha chiesto una revisione dei valori</w:t>
            </w:r>
            <w:r w:rsidRPr="001F2E97">
              <w:rPr>
                <w:b/>
                <w:i/>
              </w:rPr>
              <w:t xml:space="preserve"> limite di esposizione per il piombo e i suoi composti, garantendo nel contempo parità in termini di protezione per tutti i lavoratori, indipendentemente dal genere.</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pPr>
        <w:pStyle w:val="JustificationTitle"/>
        <w:rPr>
          <w:noProof w:val="0"/>
        </w:rPr>
      </w:pPr>
      <w:r w:rsidRPr="001F2E97">
        <w:rPr>
          <w:rStyle w:val="HideTWBExt"/>
          <w:i w:val="0"/>
          <w:color w:val="auto"/>
        </w:rPr>
        <w:t>&lt;TitreJust&gt;</w:t>
      </w:r>
      <w:r w:rsidRPr="001F2E97">
        <w:t>Motivazione</w:t>
      </w:r>
      <w:r w:rsidRPr="001F2E97">
        <w:rPr>
          <w:rStyle w:val="HideTWBExt"/>
          <w:i w:val="0"/>
          <w:color w:val="auto"/>
        </w:rPr>
        <w:t>&lt;/TitreJust&gt;</w:t>
      </w:r>
    </w:p>
    <w:p w:rsidR="0052409B" w:rsidRPr="001F2E97" w:rsidRDefault="00400F6B" w:rsidP="0052409B">
      <w:pPr>
        <w:pStyle w:val="Normal12Italic"/>
        <w:rPr>
          <w:noProof w:val="0"/>
        </w:rPr>
      </w:pPr>
      <w:r w:rsidRPr="001F2E97">
        <w:t xml:space="preserve">Fonte: </w:t>
      </w:r>
      <w:r w:rsidRPr="001F2E97">
        <w:t>https://www.europarl.europa.eu/doceo/document/TA-9-2022-0068_IT.pdf</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5</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Considerando 7 quater (nuovo)</w:t>
      </w:r>
      <w:r w:rsidRPr="001F2E97">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413B1F">
        <w:trPr>
          <w:jc w:val="center"/>
        </w:trPr>
        <w:tc>
          <w:tcPr>
            <w:tcW w:w="9752" w:type="dxa"/>
            <w:gridSpan w:val="2"/>
          </w:tcPr>
          <w:p w:rsidR="0052409B" w:rsidRPr="001F2E97" w:rsidRDefault="0052409B" w:rsidP="00413B1F">
            <w:pPr>
              <w:keepNext/>
            </w:pPr>
          </w:p>
        </w:tc>
      </w:tr>
      <w:tr w:rsidR="001F2E97" w:rsidRPr="001F2E97" w:rsidTr="00413B1F">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413B1F">
        <w:trPr>
          <w:jc w:val="center"/>
        </w:trPr>
        <w:tc>
          <w:tcPr>
            <w:tcW w:w="4876" w:type="dxa"/>
          </w:tcPr>
          <w:p w:rsidR="0052409B" w:rsidRPr="001F2E97" w:rsidRDefault="0052409B" w:rsidP="00413B1F">
            <w:pPr>
              <w:pStyle w:val="Normal6"/>
            </w:pPr>
          </w:p>
        </w:tc>
        <w:tc>
          <w:tcPr>
            <w:tcW w:w="4876" w:type="dxa"/>
          </w:tcPr>
          <w:p w:rsidR="0052409B" w:rsidRPr="001F2E97" w:rsidRDefault="00400F6B" w:rsidP="007C2624">
            <w:pPr>
              <w:pStyle w:val="Normal6"/>
              <w:rPr>
                <w:szCs w:val="24"/>
              </w:rPr>
            </w:pPr>
            <w:r w:rsidRPr="001F2E97">
              <w:rPr>
                <w:b/>
                <w:i/>
              </w:rPr>
              <w:t>(7 quater)</w:t>
            </w:r>
            <w:r w:rsidRPr="001F2E97">
              <w:rPr>
                <w:b/>
                <w:i/>
              </w:rPr>
              <w:tab/>
              <w:t>La presente direttiva rispetta i diritti fondamentali riconosciuti nella Carta dei diritti fondamentali dell'Unione europea, in particolare la non discriminazione fondata sul sesso e il diritto a condizioni di lavoro giuste ed eque di cui, rispettivamente</w:t>
            </w:r>
            <w:r w:rsidRPr="001F2E97">
              <w:rPr>
                <w:b/>
                <w:i/>
              </w:rPr>
              <w:t>, agli articoli 21 e 31. Inoltre è conforme al principio n. 10 del pilastro europeo dei diritti sociali, secondo il quale i lavoratori hanno diritto a un ambiente di lavoro sano, sicuro e adeguato. Il diritto dei lavoratori alla protezione della salute e d</w:t>
            </w:r>
            <w:r w:rsidRPr="001F2E97">
              <w:rPr>
                <w:b/>
                <w:i/>
              </w:rPr>
              <w:t xml:space="preserve">ella sicurezza sul lavoro include il diritto </w:t>
            </w:r>
            <w:r w:rsidRPr="001F2E97">
              <w:rPr>
                <w:b/>
                <w:i/>
              </w:rPr>
              <w:lastRenderedPageBreak/>
              <w:t xml:space="preserve">alla protezione dagli effetti del piombo e dei suoi composti inorganici sulle generazioni future, come gli impatti negativi sulla capacità riproduttiva di uomini e donne, nonché sullo sviluppo fetale. Pertanto, </w:t>
            </w:r>
            <w:r w:rsidRPr="001F2E97">
              <w:rPr>
                <w:b/>
                <w:i/>
              </w:rPr>
              <w:t>dovrebbe essere stabilito un valore limite biologico rivisto pari a 4,5 µg/100ml di sangue, accompagnato da un limite di esposizione professionale rivisto pari a 4 µg Pb/m³ espresso come media ponderata nel tempo di otto ore, al fine di garantire la protez</w:t>
            </w:r>
            <w:r w:rsidRPr="001F2E97">
              <w:rPr>
                <w:b/>
                <w:i/>
              </w:rPr>
              <w:t xml:space="preserve">ione dei lavoratori che sono professionalmente esposti al piombo, indipendentemente dal sesso. Tale valore limite biologico rivisto mira inoltre a promuovere la piena partecipazione delle donne in età fertile ai settori economici nel quadro del Green Deal </w:t>
            </w:r>
            <w:r w:rsidRPr="001F2E97">
              <w:rPr>
                <w:b/>
                <w:i/>
              </w:rPr>
              <w:t>europeo, come la produzione di batterie sostenibili e circolari, a sostegno della transizione energetica dell'Unione.</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pPr>
        <w:pStyle w:val="JustificationTitle"/>
        <w:rPr>
          <w:noProof w:val="0"/>
        </w:rPr>
      </w:pPr>
      <w:r w:rsidRPr="001F2E97">
        <w:rPr>
          <w:rStyle w:val="HideTWBExt"/>
          <w:i w:val="0"/>
          <w:color w:val="auto"/>
        </w:rPr>
        <w:t>&lt;TitreJust&gt;</w:t>
      </w:r>
      <w:r w:rsidRPr="001F2E97">
        <w:t>Motivazione</w:t>
      </w:r>
      <w:r w:rsidRPr="001F2E97">
        <w:rPr>
          <w:rStyle w:val="HideTWBExt"/>
          <w:i w:val="0"/>
          <w:color w:val="auto"/>
        </w:rPr>
        <w:t>&lt;/TitreJust&gt;</w:t>
      </w:r>
    </w:p>
    <w:p w:rsidR="0052409B" w:rsidRPr="001F2E97" w:rsidRDefault="00400F6B" w:rsidP="0052409B">
      <w:pPr>
        <w:pStyle w:val="Normal12Italic"/>
        <w:rPr>
          <w:noProof w:val="0"/>
        </w:rPr>
      </w:pPr>
      <w:r w:rsidRPr="001F2E97">
        <w:t>A non-binding guidance value is not suitable to ensure the protection of workers’ health and safety in conditions of equality and non-discrimination, with regard in particular to female lead-exposed workers. In order to attain the Directive’s stated object</w:t>
      </w:r>
      <w:r w:rsidRPr="001F2E97">
        <w:t>ive of a high level of protection of worker’s health and safety, a binding BLV which offers sufficient protection for all workers irrespective of their sex, is necessary. It must be stressed that this Directive will apply to many economic sectors that poss</w:t>
      </w:r>
      <w:r w:rsidRPr="001F2E97">
        <w:t>ess a great potential for creating green jobs, but at the same time are currently male-dominated: applying the same protective measures to female and male lead-exposed workers will ensure that female workers enjoy equal treatment in matters of employment a</w:t>
      </w:r>
      <w:r w:rsidRPr="001F2E97">
        <w:t>nd occupation, and do not suffer from covert discrimination, for example with regard to access to employment.</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6</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Considerando 8</w:t>
      </w:r>
      <w:r w:rsidRPr="001F2E97">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413B1F">
        <w:trPr>
          <w:jc w:val="center"/>
        </w:trPr>
        <w:tc>
          <w:tcPr>
            <w:tcW w:w="9752" w:type="dxa"/>
            <w:gridSpan w:val="2"/>
          </w:tcPr>
          <w:p w:rsidR="0052409B" w:rsidRPr="001F2E97" w:rsidRDefault="0052409B" w:rsidP="00413B1F">
            <w:pPr>
              <w:keepNext/>
            </w:pPr>
          </w:p>
        </w:tc>
      </w:tr>
      <w:tr w:rsidR="001F2E97" w:rsidRPr="001F2E97" w:rsidTr="00413B1F">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413B1F">
        <w:trPr>
          <w:jc w:val="center"/>
        </w:trPr>
        <w:tc>
          <w:tcPr>
            <w:tcW w:w="4876" w:type="dxa"/>
          </w:tcPr>
          <w:p w:rsidR="0052409B" w:rsidRPr="001F2E97" w:rsidRDefault="00400F6B" w:rsidP="00413B1F">
            <w:pPr>
              <w:pStyle w:val="Normal6"/>
            </w:pPr>
            <w:r w:rsidRPr="001F2E97">
              <w:t>(8)</w:t>
            </w:r>
            <w:r w:rsidRPr="001F2E97">
              <w:tab/>
              <w:t xml:space="preserve">Per rafforzare la sorveglianza sanitaria dei lavoratori esposti al piombo e ai suoi composti inorganici e contribuire in tal modo alle misure di prevenzione e protezione che i datori di lavoro sono tenuti </w:t>
            </w:r>
            <w:r w:rsidRPr="001F2E97">
              <w:lastRenderedPageBreak/>
              <w:t>ad adottar</w:t>
            </w:r>
            <w:r w:rsidRPr="001F2E97">
              <w:t>e, è inoltre necessario modificare i requisiti esistenti che si applicano ai lavoratori esposti a determinati livelli di piombo e dei suoi composti inorganici. A tal fine, dovrebbe essere richiesta un'attenta sorveglianza medica quando l'esposizione al pio</w:t>
            </w:r>
            <w:r w:rsidRPr="001F2E97">
              <w:t xml:space="preserve">mbo e ai suoi composti inorganici supera </w:t>
            </w:r>
            <w:r w:rsidRPr="001F2E97">
              <w:rPr>
                <w:b/>
                <w:i/>
              </w:rPr>
              <w:t>0,015 mg/m</w:t>
            </w:r>
            <w:r w:rsidRPr="001F2E97">
              <w:rPr>
                <w:vertAlign w:val="superscript"/>
              </w:rPr>
              <w:t>3</w:t>
            </w:r>
            <w:r w:rsidRPr="001F2E97">
              <w:t xml:space="preserve"> d'aria (50 % dell'attuale limite di esposizione professionale) o </w:t>
            </w:r>
            <w:r w:rsidRPr="001F2E97">
              <w:rPr>
                <w:b/>
                <w:i/>
              </w:rPr>
              <w:t>9</w:t>
            </w:r>
            <w:r w:rsidRPr="001F2E97">
              <w:t xml:space="preserve"> µg/100 ml di sangue (circa il 60 % dell'attuale valore limite biologico).</w:t>
            </w:r>
          </w:p>
        </w:tc>
        <w:tc>
          <w:tcPr>
            <w:tcW w:w="4876" w:type="dxa"/>
          </w:tcPr>
          <w:p w:rsidR="0052409B" w:rsidRPr="001F2E97" w:rsidRDefault="00400F6B" w:rsidP="00413B1F">
            <w:pPr>
              <w:pStyle w:val="Normal6"/>
              <w:rPr>
                <w:szCs w:val="24"/>
              </w:rPr>
            </w:pPr>
            <w:r w:rsidRPr="001F2E97">
              <w:lastRenderedPageBreak/>
              <w:t>(8)</w:t>
            </w:r>
            <w:r w:rsidRPr="001F2E97">
              <w:tab/>
              <w:t>Per rafforzare la sorveglianza sanitaria dei lavoratori es</w:t>
            </w:r>
            <w:r w:rsidRPr="001F2E97">
              <w:t xml:space="preserve">posti al piombo e ai suoi composti inorganici e contribuire in tal modo alle misure di prevenzione e protezione che i datori di lavoro sono tenuti </w:t>
            </w:r>
            <w:r w:rsidRPr="001F2E97">
              <w:lastRenderedPageBreak/>
              <w:t>ad adottare, è inoltre necessario modificare i requisiti esistenti che si applicano ai lavoratori esposti a d</w:t>
            </w:r>
            <w:r w:rsidRPr="001F2E97">
              <w:t xml:space="preserve">eterminati livelli di piombo e dei suoi composti inorganici. A tal fine, dovrebbe essere richiesta un'attenta sorveglianza medica quando l'esposizione al piombo e ai suoi composti inorganici supera </w:t>
            </w:r>
            <w:r w:rsidRPr="001F2E97">
              <w:rPr>
                <w:b/>
                <w:i/>
              </w:rPr>
              <w:t>2 µg/m</w:t>
            </w:r>
            <w:r w:rsidRPr="001F2E97">
              <w:rPr>
                <w:vertAlign w:val="superscript"/>
              </w:rPr>
              <w:t>3</w:t>
            </w:r>
            <w:r w:rsidRPr="001F2E97">
              <w:t xml:space="preserve"> d'aria (50 % dell'attuale limite di esposizione pr</w:t>
            </w:r>
            <w:r w:rsidRPr="001F2E97">
              <w:t xml:space="preserve">ofessionale) o </w:t>
            </w:r>
            <w:r w:rsidRPr="001F2E97">
              <w:rPr>
                <w:b/>
                <w:i/>
              </w:rPr>
              <w:t>2,7</w:t>
            </w:r>
            <w:r w:rsidRPr="001F2E97">
              <w:t xml:space="preserve"> µg/100 ml di sangue (circa il 60 % dell'attuale valore limite biologico).</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7</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Considerando 8 bis (nuovo)</w:t>
      </w:r>
      <w:r w:rsidRPr="001F2E97">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413B1F">
        <w:trPr>
          <w:jc w:val="center"/>
        </w:trPr>
        <w:tc>
          <w:tcPr>
            <w:tcW w:w="9752" w:type="dxa"/>
            <w:gridSpan w:val="2"/>
          </w:tcPr>
          <w:p w:rsidR="0052409B" w:rsidRPr="001F2E97" w:rsidRDefault="0052409B" w:rsidP="00413B1F">
            <w:pPr>
              <w:keepNext/>
            </w:pPr>
          </w:p>
        </w:tc>
      </w:tr>
      <w:tr w:rsidR="001F2E97" w:rsidRPr="001F2E97" w:rsidTr="00413B1F">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413B1F">
        <w:trPr>
          <w:jc w:val="center"/>
        </w:trPr>
        <w:tc>
          <w:tcPr>
            <w:tcW w:w="4876" w:type="dxa"/>
          </w:tcPr>
          <w:p w:rsidR="0052409B" w:rsidRPr="001F2E97" w:rsidRDefault="0052409B" w:rsidP="00413B1F">
            <w:pPr>
              <w:pStyle w:val="Normal6"/>
            </w:pPr>
          </w:p>
        </w:tc>
        <w:tc>
          <w:tcPr>
            <w:tcW w:w="4876" w:type="dxa"/>
          </w:tcPr>
          <w:p w:rsidR="0052409B" w:rsidRPr="001F2E97" w:rsidRDefault="00400F6B" w:rsidP="00CA1930">
            <w:pPr>
              <w:pStyle w:val="Normal6"/>
              <w:rPr>
                <w:szCs w:val="24"/>
              </w:rPr>
            </w:pPr>
            <w:r w:rsidRPr="001F2E97">
              <w:rPr>
                <w:b/>
                <w:i/>
              </w:rPr>
              <w:t>(8 bis)</w:t>
            </w:r>
            <w:r w:rsidRPr="001F2E97">
              <w:rPr>
                <w:b/>
                <w:i/>
              </w:rPr>
              <w:tab/>
              <w:t>I lavoratori che sono stati professionalmente esposti al piombo per diversi anni possono aver accumulato livelli di piombo nel sangue ben al di sopra del valore limite biologico rivisto. Secondo il</w:t>
            </w:r>
            <w:r w:rsidRPr="001F2E97">
              <w:rPr>
                <w:b/>
                <w:i/>
              </w:rPr>
              <w:t xml:space="preserve"> parere del comitato per la valutazione dei rischi, è già possibile osservare effetti nocivi per la salute se sono presenti livelli di piombo nel sangue che rientrano nell'attuale valore limite biologico di 70 µg Pb/100ml. Non è accettabile che tali lavora</w:t>
            </w:r>
            <w:r w:rsidRPr="001F2E97">
              <w:rPr>
                <w:b/>
                <w:i/>
              </w:rPr>
              <w:t>tori continuino a essere esposti al piombo sul luogo di lavoro. I datori di lavoro dovrebbero piuttosto fare in modo che tali lavoratori svolgano mansioni diverse per garantire che i livelli di piombo nel sangue diminuiscano il più rapidamente possibile.</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8</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Considerando 9</w:t>
      </w:r>
      <w:r w:rsidRPr="001F2E97">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413B1F">
        <w:trPr>
          <w:jc w:val="center"/>
        </w:trPr>
        <w:tc>
          <w:tcPr>
            <w:tcW w:w="9752" w:type="dxa"/>
            <w:gridSpan w:val="2"/>
          </w:tcPr>
          <w:p w:rsidR="0052409B" w:rsidRPr="001F2E97" w:rsidRDefault="0052409B" w:rsidP="00413B1F">
            <w:pPr>
              <w:keepNext/>
            </w:pPr>
          </w:p>
        </w:tc>
      </w:tr>
      <w:tr w:rsidR="001F2E97" w:rsidRPr="001F2E97" w:rsidTr="00413B1F">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413B1F">
        <w:trPr>
          <w:jc w:val="center"/>
        </w:trPr>
        <w:tc>
          <w:tcPr>
            <w:tcW w:w="4876" w:type="dxa"/>
          </w:tcPr>
          <w:p w:rsidR="0052409B" w:rsidRPr="001F2E97" w:rsidRDefault="00400F6B" w:rsidP="00DE2B36">
            <w:pPr>
              <w:pStyle w:val="Normal6"/>
            </w:pPr>
            <w:r w:rsidRPr="001F2E97">
              <w:t>(9)</w:t>
            </w:r>
            <w:r w:rsidRPr="001F2E97">
              <w:tab/>
            </w:r>
            <w:r w:rsidRPr="001F2E97">
              <w:t>È opportuno adottare misure specifiche relative alla gestione dei rischi, compresa una sorveglianza sanitaria specifica che tenga conto delle situazioni dei singoli lavoratori. Conformemente ai requisiti generali della direttiva 2004/37/CE, i datori di lav</w:t>
            </w:r>
            <w:r w:rsidRPr="001F2E97">
              <w:t xml:space="preserve">oro sono tenuti a garantire la sostituzione della sostanza quando tecnicamente possibile, il ricorso a sistemi chiusi o la riduzione dell'esposizione al più basso livello tecnicamente possibile. </w:t>
            </w:r>
            <w:r w:rsidRPr="001F2E97">
              <w:rPr>
                <w:b/>
                <w:i/>
              </w:rPr>
              <w:t>Inoltre, come indicato nel parere del comitato consultivo per</w:t>
            </w:r>
            <w:r w:rsidRPr="001F2E97">
              <w:rPr>
                <w:b/>
                <w:i/>
              </w:rPr>
              <w:t xml:space="preserve"> la sicurezza e la salute sul luogo di lavoro</w:t>
            </w:r>
            <w:r w:rsidRPr="001F2E97">
              <w:rPr>
                <w:b/>
                <w:i/>
                <w:vertAlign w:val="superscript"/>
              </w:rPr>
              <w:t>90</w:t>
            </w:r>
            <w:r w:rsidRPr="001F2E97">
              <w:rPr>
                <w:b/>
                <w:i/>
              </w:rPr>
              <w:t>, il livello di piombo e dei suoi composti inorganici nel sangue delle lavoratrici in età fertile non dovrebbe superare i valori di riferimento della popolazione generale non esposta professionalmente al piomb</w:t>
            </w:r>
            <w:r w:rsidRPr="001F2E97">
              <w:rPr>
                <w:b/>
                <w:i/>
              </w:rPr>
              <w:t>o e ai suoi composti inorganici nel rispettivo Stato membro. Il comitato per la valutazione dei rischi dell'Agenzia europea per le sostanze chimiche (ECHA), istituito dal regolamento (CE) n. 1907/2006 del Parlamento europeo e del Consiglio</w:t>
            </w:r>
            <w:r w:rsidRPr="001F2E97">
              <w:rPr>
                <w:b/>
                <w:i/>
                <w:vertAlign w:val="superscript"/>
              </w:rPr>
              <w:t>91</w:t>
            </w:r>
            <w:r w:rsidRPr="001F2E97">
              <w:rPr>
                <w:b/>
                <w:i/>
              </w:rPr>
              <w:t>, ha raccomanda</w:t>
            </w:r>
            <w:r w:rsidRPr="001F2E97">
              <w:rPr>
                <w:b/>
                <w:i/>
              </w:rPr>
              <w:t>to di utilizzare un valore guida biologico in quanto non vi erano evidenze scientifiche sufficienti per stabilire un valore limite biologico per le lavoratrici in età fertile. Qualora non siano disponibili livelli di riferimento nazionali, i livelli di pio</w:t>
            </w:r>
            <w:r w:rsidRPr="001F2E97">
              <w:rPr>
                <w:b/>
                <w:i/>
              </w:rPr>
              <w:t>mbo e dei suoi composti inorganici nel sangue delle lavoratrici in età fertile non dovrebbero superare il valore guida biologico di 4,5 µg/100ml, come raccomandato nel parere del comitato per la valutazione dei rischi</w:t>
            </w:r>
            <w:r w:rsidRPr="001F2E97">
              <w:rPr>
                <w:b/>
                <w:i/>
                <w:vertAlign w:val="superscript"/>
              </w:rPr>
              <w:t>92</w:t>
            </w:r>
            <w:r w:rsidRPr="001F2E97">
              <w:rPr>
                <w:b/>
                <w:i/>
              </w:rPr>
              <w:t>. Il valore guida biologico è un indi</w:t>
            </w:r>
            <w:r w:rsidRPr="001F2E97">
              <w:rPr>
                <w:b/>
                <w:i/>
              </w:rPr>
              <w:t xml:space="preserve">catore di esposizione, ma non di effetti nocivi identificabili per la salute. Funge pertanto da indicatore sentinella per avvertire i datori di lavoro della necessità di prestare particolare attenzione a questo specifico rischio potenziale e di introdurre </w:t>
            </w:r>
            <w:r w:rsidRPr="001F2E97">
              <w:rPr>
                <w:b/>
                <w:i/>
              </w:rPr>
              <w:t xml:space="preserve">misure volte a garantire che qualsiasi esposizione al piombo e ai suoi composti </w:t>
            </w:r>
            <w:r w:rsidRPr="001F2E97">
              <w:rPr>
                <w:b/>
                <w:i/>
              </w:rPr>
              <w:lastRenderedPageBreak/>
              <w:t>inorganici non comporti effetti nocivi per la salute delle lavoratrici per quanto riguarda lo sviluppo del feto o della progenie.</w:t>
            </w:r>
          </w:p>
        </w:tc>
        <w:tc>
          <w:tcPr>
            <w:tcW w:w="4876" w:type="dxa"/>
          </w:tcPr>
          <w:p w:rsidR="0052409B" w:rsidRPr="001F2E97" w:rsidRDefault="00400F6B" w:rsidP="007C2624">
            <w:pPr>
              <w:pStyle w:val="Normal6"/>
              <w:rPr>
                <w:szCs w:val="24"/>
              </w:rPr>
            </w:pPr>
            <w:r w:rsidRPr="001F2E97">
              <w:lastRenderedPageBreak/>
              <w:t>(9)</w:t>
            </w:r>
            <w:r w:rsidRPr="001F2E97">
              <w:tab/>
            </w:r>
            <w:r w:rsidRPr="001F2E97">
              <w:t>È opportuno adottare misure specifiche relative alla gestione dei rischi, compresa una sorveglianza sanitaria specifica che tenga conto delle situazioni dei singoli lavoratori</w:t>
            </w:r>
            <w:r w:rsidRPr="001F2E97">
              <w:rPr>
                <w:b/>
                <w:i/>
              </w:rPr>
              <w:t>. Poiché il piombo è una sostanza tossica per la riproduzione priva di soglia, la</w:t>
            </w:r>
            <w:r w:rsidRPr="001F2E97">
              <w:rPr>
                <w:b/>
                <w:i/>
              </w:rPr>
              <w:t xml:space="preserve"> sorveglianza sanitaria preventiva dovrebbe essere una delle misure di protezione più importanti per i lavoratori esposti al piombo, oltre alle misure tecniche preventive che devono essere adottate dal datore di lavoro</w:t>
            </w:r>
            <w:r w:rsidRPr="001F2E97">
              <w:t xml:space="preserve">. Conformemente ai requisiti generali </w:t>
            </w:r>
            <w:r w:rsidRPr="001F2E97">
              <w:t>della direttiva 2004/37/CE, i datori di lavoro sono tenuti a garantire la sostituzione della sostanza quando tecnicamente possibile, il ricorso a sistemi chiusi o la riduzione dell'esposizione al più basso livello tecnicamente possibile.</w:t>
            </w:r>
          </w:p>
        </w:tc>
      </w:tr>
      <w:tr w:rsidR="001F2E97" w:rsidRPr="001F2E97" w:rsidTr="00413B1F">
        <w:trPr>
          <w:jc w:val="center"/>
        </w:trPr>
        <w:tc>
          <w:tcPr>
            <w:tcW w:w="4876" w:type="dxa"/>
          </w:tcPr>
          <w:p w:rsidR="0052409B" w:rsidRPr="001F2E97" w:rsidRDefault="00400F6B" w:rsidP="00413B1F">
            <w:pPr>
              <w:pStyle w:val="Normal6"/>
            </w:pPr>
            <w:r w:rsidRPr="001F2E97">
              <w:t>_________________</w:t>
            </w:r>
            <w:r w:rsidRPr="001F2E97">
              <w:t>_</w:t>
            </w:r>
          </w:p>
        </w:tc>
        <w:tc>
          <w:tcPr>
            <w:tcW w:w="4876" w:type="dxa"/>
          </w:tcPr>
          <w:p w:rsidR="0052409B" w:rsidRPr="001F2E97" w:rsidRDefault="0052409B" w:rsidP="00413B1F">
            <w:pPr>
              <w:pStyle w:val="Normal6"/>
              <w:rPr>
                <w:szCs w:val="24"/>
              </w:rPr>
            </w:pPr>
          </w:p>
        </w:tc>
      </w:tr>
      <w:tr w:rsidR="001F2E97" w:rsidRPr="001F2E97" w:rsidTr="00413B1F">
        <w:trPr>
          <w:jc w:val="center"/>
        </w:trPr>
        <w:tc>
          <w:tcPr>
            <w:tcW w:w="4876" w:type="dxa"/>
          </w:tcPr>
          <w:p w:rsidR="0052409B" w:rsidRPr="001F2E97" w:rsidRDefault="00400F6B" w:rsidP="00413B1F">
            <w:pPr>
              <w:pStyle w:val="Normal6"/>
            </w:pPr>
            <w:r w:rsidRPr="001F2E97">
              <w:rPr>
                <w:b/>
                <w:i/>
                <w:vertAlign w:val="superscript"/>
              </w:rPr>
              <w:t>90</w:t>
            </w:r>
            <w:r w:rsidRPr="001F2E97">
              <w:t xml:space="preserve"> </w:t>
            </w:r>
            <w:r w:rsidRPr="001F2E97">
              <w:rPr>
                <w:b/>
                <w:i/>
              </w:rPr>
              <w:t>Parere relativo al piombo del comitato consultivo per la sicurezza e la salute sul luogo di lavoro (2021), https://circabc.europa.eu/ui/group/cb9293be-4563-4f19-89cf-4c4588bd6541/library/60b206e1-ee10-40c2-9540-fb6510c11a0c/details</w:t>
            </w:r>
          </w:p>
        </w:tc>
        <w:tc>
          <w:tcPr>
            <w:tcW w:w="4876" w:type="dxa"/>
          </w:tcPr>
          <w:p w:rsidR="0052409B" w:rsidRPr="001F2E97" w:rsidRDefault="0052409B" w:rsidP="00413B1F">
            <w:pPr>
              <w:pStyle w:val="Normal6"/>
              <w:rPr>
                <w:szCs w:val="24"/>
              </w:rPr>
            </w:pPr>
          </w:p>
        </w:tc>
      </w:tr>
      <w:tr w:rsidR="001F2E97" w:rsidRPr="001F2E97" w:rsidTr="00413B1F">
        <w:trPr>
          <w:jc w:val="center"/>
        </w:trPr>
        <w:tc>
          <w:tcPr>
            <w:tcW w:w="4876" w:type="dxa"/>
          </w:tcPr>
          <w:p w:rsidR="0052409B" w:rsidRPr="001F2E97" w:rsidRDefault="00400F6B" w:rsidP="00413B1F">
            <w:pPr>
              <w:pStyle w:val="Normal6"/>
            </w:pPr>
            <w:r w:rsidRPr="001F2E97">
              <w:rPr>
                <w:b/>
                <w:i/>
                <w:vertAlign w:val="superscript"/>
              </w:rPr>
              <w:t>91</w:t>
            </w:r>
            <w:r w:rsidRPr="001F2E97">
              <w:t xml:space="preserve"> </w:t>
            </w:r>
            <w:r w:rsidRPr="001F2E97">
              <w:rPr>
                <w:b/>
                <w:i/>
              </w:rPr>
              <w:t xml:space="preserve">Regolamento </w:t>
            </w:r>
            <w:r w:rsidRPr="001F2E97">
              <w:rPr>
                <w:b/>
                <w:i/>
              </w:rPr>
              <w:t>(CE) n. 1907/2006 del Parlamento europeo e del Consiglio, del 18 dicembre 2006, concernente la registrazione, la valutazione, l'autorizzazione e la restrizione delle sostanze chimiche (REACH), che istituisce un'agenzia europea per le sostanze chimiche, che</w:t>
            </w:r>
            <w:r w:rsidRPr="001F2E97">
              <w:rPr>
                <w:b/>
                <w:i/>
              </w:rPr>
              <w:t xml:space="preserve"> modifica la direttiva 1999/45/CE e che abroga il regolamento (CEE) n. 793/93 del Consiglio e il regolamento (CE) n. 1488/94 della Commissione, nonché la direttiva 76/769/CEE del Consiglio e le direttive della Commissione 91/155/CEE, 93/67/CEE, 93/105/CE e</w:t>
            </w:r>
            <w:r w:rsidRPr="001F2E97">
              <w:rPr>
                <w:b/>
                <w:i/>
              </w:rPr>
              <w:t xml:space="preserve"> 2000/21/CE (GU L 396 del 30.12.2006, pag. 1).</w:t>
            </w:r>
          </w:p>
        </w:tc>
        <w:tc>
          <w:tcPr>
            <w:tcW w:w="4876" w:type="dxa"/>
          </w:tcPr>
          <w:p w:rsidR="0052409B" w:rsidRPr="001F2E97" w:rsidRDefault="0052409B" w:rsidP="00413B1F">
            <w:pPr>
              <w:pStyle w:val="Normal6"/>
              <w:rPr>
                <w:szCs w:val="24"/>
              </w:rPr>
            </w:pPr>
          </w:p>
        </w:tc>
      </w:tr>
      <w:tr w:rsidR="001F2E97" w:rsidRPr="001F2E97" w:rsidTr="00413B1F">
        <w:trPr>
          <w:jc w:val="center"/>
        </w:trPr>
        <w:tc>
          <w:tcPr>
            <w:tcW w:w="4876" w:type="dxa"/>
          </w:tcPr>
          <w:p w:rsidR="0052409B" w:rsidRPr="001F2E97" w:rsidRDefault="00400F6B" w:rsidP="00413B1F">
            <w:pPr>
              <w:pStyle w:val="Normal6"/>
            </w:pPr>
            <w:r w:rsidRPr="001F2E97">
              <w:rPr>
                <w:b/>
                <w:i/>
                <w:vertAlign w:val="superscript"/>
              </w:rPr>
              <w:t>92</w:t>
            </w:r>
            <w:r w:rsidRPr="001F2E97">
              <w:t xml:space="preserve"> </w:t>
            </w:r>
            <w:r w:rsidRPr="001F2E97">
              <w:rPr>
                <w:b/>
                <w:i/>
              </w:rPr>
              <w:t>Parere relativo alla valutazione dei limiti di esposizione professionale per il piombo e i suoi composti, presentata l'11 giugno 2020 (cfr. la sezione 8.2.4. dell'allegato del parere), https://echa.europa</w:t>
            </w:r>
            <w:r w:rsidRPr="001F2E97">
              <w:rPr>
                <w:b/>
                <w:i/>
              </w:rPr>
              <w:t>.eu/documents/10162/ed7a37e4-1641-b147-aaac-fce4c3014037</w:t>
            </w:r>
          </w:p>
        </w:tc>
        <w:tc>
          <w:tcPr>
            <w:tcW w:w="4876" w:type="dxa"/>
          </w:tcPr>
          <w:p w:rsidR="0052409B" w:rsidRPr="001F2E97" w:rsidRDefault="0052409B" w:rsidP="00413B1F">
            <w:pPr>
              <w:pStyle w:val="Normal6"/>
              <w:rPr>
                <w:szCs w:val="24"/>
              </w:rPr>
            </w:pP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9</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Considerando 12</w:t>
      </w:r>
      <w:r w:rsidRPr="001F2E97">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413B1F">
        <w:trPr>
          <w:jc w:val="center"/>
        </w:trPr>
        <w:tc>
          <w:tcPr>
            <w:tcW w:w="9752" w:type="dxa"/>
            <w:gridSpan w:val="2"/>
          </w:tcPr>
          <w:p w:rsidR="0052409B" w:rsidRPr="001F2E97" w:rsidRDefault="0052409B" w:rsidP="00413B1F">
            <w:pPr>
              <w:keepNext/>
            </w:pPr>
          </w:p>
        </w:tc>
      </w:tr>
      <w:tr w:rsidR="001F2E97" w:rsidRPr="001F2E97" w:rsidTr="00413B1F">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413B1F">
        <w:trPr>
          <w:jc w:val="center"/>
        </w:trPr>
        <w:tc>
          <w:tcPr>
            <w:tcW w:w="4876" w:type="dxa"/>
          </w:tcPr>
          <w:p w:rsidR="0052409B" w:rsidRPr="001F2E97" w:rsidRDefault="00400F6B" w:rsidP="00413B1F">
            <w:pPr>
              <w:pStyle w:val="Normal6"/>
            </w:pPr>
            <w:r w:rsidRPr="001F2E97">
              <w:t>(12)</w:t>
            </w:r>
            <w:r w:rsidRPr="001F2E97">
              <w:tab/>
              <w:t xml:space="preserve">I diisocianati possono essere assorbiti attraverso la pelle e l'esposizione ai diisocianati sul luogo di lavoro può </w:t>
            </w:r>
            <w:r w:rsidRPr="001F2E97">
              <w:lastRenderedPageBreak/>
              <w:t>inoltre provocare sensibilizzazione cutanea e delle vie respiratorie. È pertanto opportuno stabilire un limite di esposizione professio</w:t>
            </w:r>
            <w:r w:rsidRPr="001F2E97">
              <w:t>nale di 6</w:t>
            </w:r>
            <w:r w:rsidRPr="001F2E97">
              <w:rPr>
                <w:b/>
                <w:i/>
              </w:rPr>
              <w:t xml:space="preserve"> µg/m</w:t>
            </w:r>
            <w:r w:rsidRPr="001F2E97">
              <w:t xml:space="preserve">³ e un limite di esposizione di breve durata di 12 </w:t>
            </w:r>
            <w:r w:rsidRPr="001F2E97">
              <w:rPr>
                <w:b/>
                <w:i/>
              </w:rPr>
              <w:t>µg/m</w:t>
            </w:r>
            <w:r w:rsidRPr="001F2E97">
              <w:t>³ per questo gruppo di agenti chimici e attribuire a tale gruppo osservazioni relative alla pelle nonché osservazioni sulla sensibilizzazione cutanea e respiratoria.</w:t>
            </w:r>
          </w:p>
        </w:tc>
        <w:tc>
          <w:tcPr>
            <w:tcW w:w="4876" w:type="dxa"/>
          </w:tcPr>
          <w:p w:rsidR="0052409B" w:rsidRPr="001F2E97" w:rsidRDefault="00400F6B" w:rsidP="00413B1F">
            <w:pPr>
              <w:pStyle w:val="Normal6"/>
              <w:rPr>
                <w:szCs w:val="24"/>
              </w:rPr>
            </w:pPr>
            <w:r w:rsidRPr="001F2E97">
              <w:lastRenderedPageBreak/>
              <w:t>(12)</w:t>
            </w:r>
            <w:r w:rsidRPr="001F2E97">
              <w:tab/>
              <w:t>I diisocianati p</w:t>
            </w:r>
            <w:r w:rsidRPr="001F2E97">
              <w:t xml:space="preserve">ossono essere assorbiti attraverso la pelle e l'esposizione ai diisocianati sul luogo di lavoro può </w:t>
            </w:r>
            <w:r w:rsidRPr="001F2E97">
              <w:lastRenderedPageBreak/>
              <w:t xml:space="preserve">inoltre provocare sensibilizzazione cutanea e delle vie respiratorie. È pertanto opportuno stabilire un limite di esposizione professionale di 6 </w:t>
            </w:r>
            <w:r w:rsidRPr="001F2E97">
              <w:rPr>
                <w:b/>
                <w:i/>
              </w:rPr>
              <w:t>µg NCO/m</w:t>
            </w:r>
            <w:r w:rsidRPr="001F2E97">
              <w:t>³ e</w:t>
            </w:r>
            <w:r w:rsidRPr="001F2E97">
              <w:t xml:space="preserve"> un limite di esposizione di breve durata di 12 </w:t>
            </w:r>
            <w:r w:rsidRPr="001F2E97">
              <w:rPr>
                <w:b/>
                <w:i/>
              </w:rPr>
              <w:t>µg NCO/m</w:t>
            </w:r>
            <w:r w:rsidRPr="001F2E97">
              <w:t>³ per questo gruppo di agenti chimici e attribuire a tale gruppo osservazioni relative alla pelle nonché osservazioni sulla sensibilizzazione cutanea e respiratoria.</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r w:rsidRPr="001F2E97">
        <w:rPr>
          <w:rStyle w:val="HideTWBExt"/>
          <w:color w:val="auto"/>
        </w:rPr>
        <w:t>&lt;</w:t>
      </w:r>
      <w:r w:rsidRPr="001F2E97">
        <w:rPr>
          <w:rStyle w:val="HideTWBExt"/>
          <w:color w:val="auto"/>
        </w:rPr>
        <w: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10</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Considerando 13</w:t>
      </w:r>
      <w:r w:rsidRPr="001F2E97">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413B1F">
        <w:trPr>
          <w:jc w:val="center"/>
        </w:trPr>
        <w:tc>
          <w:tcPr>
            <w:tcW w:w="9752" w:type="dxa"/>
            <w:gridSpan w:val="2"/>
          </w:tcPr>
          <w:p w:rsidR="0052409B" w:rsidRPr="001F2E97" w:rsidRDefault="0052409B" w:rsidP="00413B1F">
            <w:pPr>
              <w:keepNext/>
            </w:pPr>
          </w:p>
        </w:tc>
      </w:tr>
      <w:tr w:rsidR="001F2E97" w:rsidRPr="001F2E97" w:rsidTr="00413B1F">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413B1F">
        <w:trPr>
          <w:jc w:val="center"/>
        </w:trPr>
        <w:tc>
          <w:tcPr>
            <w:tcW w:w="4876" w:type="dxa"/>
          </w:tcPr>
          <w:p w:rsidR="0052409B" w:rsidRPr="001F2E97" w:rsidRDefault="00400F6B" w:rsidP="00413B1F">
            <w:pPr>
              <w:pStyle w:val="Normal6"/>
            </w:pPr>
            <w:r w:rsidRPr="001F2E97">
              <w:t>(13)</w:t>
            </w:r>
            <w:r w:rsidRPr="001F2E97">
              <w:tab/>
              <w:t xml:space="preserve">Può essere difficile rispettare un limite di esposizione professionale pari a 6 </w:t>
            </w:r>
            <w:r w:rsidRPr="001F2E97">
              <w:rPr>
                <w:b/>
                <w:i/>
              </w:rPr>
              <w:t>µg/m</w:t>
            </w:r>
            <w:r w:rsidRPr="001F2E97">
              <w:t xml:space="preserve">³ per i diisocianati, con un limite per esposizione di breve durata associato pari a 12 </w:t>
            </w:r>
            <w:r w:rsidRPr="001F2E97">
              <w:rPr>
                <w:b/>
                <w:i/>
              </w:rPr>
              <w:t>µg/m</w:t>
            </w:r>
            <w:r w:rsidRPr="001F2E97">
              <w:t xml:space="preserve">³. Tale difficoltà è dovuta a problemi di fattibilità tecnica delle misurazioni e al tempo necessario per attuare misure di gestione dei rischi, in particolare nei </w:t>
            </w:r>
            <w:r w:rsidRPr="001F2E97">
              <w:t>settori a valle che comportano attività quali l'applicazione di vernici, la lavorazione del piombo metallico, la demolizione, la riparazione e la gestione dei rottami, la gestione di altri rifiuti e la bonifica del suolo. È pertanto opportuno che fino al 3</w:t>
            </w:r>
            <w:r w:rsidRPr="001F2E97">
              <w:t xml:space="preserve">1 dicembre 2028 si applichi un valore transitorio di 10 </w:t>
            </w:r>
            <w:r w:rsidRPr="001F2E97">
              <w:rPr>
                <w:b/>
                <w:i/>
              </w:rPr>
              <w:t>µg/m</w:t>
            </w:r>
            <w:r w:rsidRPr="001F2E97">
              <w:t xml:space="preserve">³ con un limite per esposizione di breve durata associato pari a 20 </w:t>
            </w:r>
            <w:r w:rsidRPr="001F2E97">
              <w:rPr>
                <w:b/>
                <w:i/>
              </w:rPr>
              <w:t>µg/m</w:t>
            </w:r>
            <w:r w:rsidRPr="001F2E97">
              <w:t>³.</w:t>
            </w:r>
          </w:p>
        </w:tc>
        <w:tc>
          <w:tcPr>
            <w:tcW w:w="4876" w:type="dxa"/>
          </w:tcPr>
          <w:p w:rsidR="0052409B" w:rsidRPr="001F2E97" w:rsidRDefault="00400F6B" w:rsidP="00413B1F">
            <w:pPr>
              <w:pStyle w:val="Normal6"/>
              <w:rPr>
                <w:szCs w:val="24"/>
              </w:rPr>
            </w:pPr>
            <w:r w:rsidRPr="001F2E97">
              <w:t>(13)</w:t>
            </w:r>
            <w:r w:rsidRPr="001F2E97">
              <w:tab/>
              <w:t xml:space="preserve">Può essere difficile rispettare un limite di esposizione professionale pari a 6 </w:t>
            </w:r>
            <w:r w:rsidRPr="001F2E97">
              <w:rPr>
                <w:b/>
                <w:i/>
              </w:rPr>
              <w:t>µg NCO/m</w:t>
            </w:r>
            <w:r w:rsidRPr="001F2E97">
              <w:t>³ per i diisocianati, con un</w:t>
            </w:r>
            <w:r w:rsidRPr="001F2E97">
              <w:t xml:space="preserve"> limite per esposizione di breve durata associato pari a 12 </w:t>
            </w:r>
            <w:r w:rsidRPr="001F2E97">
              <w:rPr>
                <w:b/>
                <w:i/>
              </w:rPr>
              <w:t>µg NCO/m</w:t>
            </w:r>
            <w:r w:rsidRPr="001F2E97">
              <w:t>³. Tale difficoltà è dovuta a problemi di fattibilità tecnica delle misurazioni e al tempo necessario per attuare misure di gestione dei rischi, in particolare nei settori a valle che comp</w:t>
            </w:r>
            <w:r w:rsidRPr="001F2E97">
              <w:t>ortano attività quali l'applicazione di vernici, la lavorazione del piombo metallico, la demolizione, la riparazione e la gestione dei rottami, la gestione di altri rifiuti e la bonifica del suolo. È pertanto opportuno che fino al 31 dicembre 2028 si appli</w:t>
            </w:r>
            <w:r w:rsidRPr="001F2E97">
              <w:t>chi un valore transitorio di 10</w:t>
            </w:r>
            <w:r w:rsidRPr="001F2E97">
              <w:rPr>
                <w:b/>
                <w:i/>
              </w:rPr>
              <w:t xml:space="preserve"> µg NCO/m</w:t>
            </w:r>
            <w:r w:rsidRPr="001F2E97">
              <w:t xml:space="preserve">³ con un limite per esposizione di breve durata associato pari a 20 </w:t>
            </w:r>
            <w:r w:rsidRPr="001F2E97">
              <w:rPr>
                <w:b/>
                <w:i/>
              </w:rPr>
              <w:t>µg NCO/m</w:t>
            </w:r>
            <w:r w:rsidRPr="001F2E97">
              <w:t>³.</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11</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Considerando 15 bis (nuovo)</w:t>
      </w:r>
      <w:r w:rsidRPr="001F2E97">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413B1F">
        <w:trPr>
          <w:jc w:val="center"/>
        </w:trPr>
        <w:tc>
          <w:tcPr>
            <w:tcW w:w="9752" w:type="dxa"/>
            <w:gridSpan w:val="2"/>
          </w:tcPr>
          <w:p w:rsidR="0052409B" w:rsidRPr="001F2E97" w:rsidRDefault="0052409B" w:rsidP="00413B1F">
            <w:pPr>
              <w:keepNext/>
            </w:pPr>
          </w:p>
        </w:tc>
      </w:tr>
      <w:tr w:rsidR="001F2E97" w:rsidRPr="001F2E97" w:rsidTr="00413B1F">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413B1F">
        <w:trPr>
          <w:jc w:val="center"/>
        </w:trPr>
        <w:tc>
          <w:tcPr>
            <w:tcW w:w="4876" w:type="dxa"/>
          </w:tcPr>
          <w:p w:rsidR="0052409B" w:rsidRPr="001F2E97" w:rsidRDefault="0052409B" w:rsidP="00413B1F">
            <w:pPr>
              <w:pStyle w:val="Normal6"/>
            </w:pPr>
          </w:p>
        </w:tc>
        <w:tc>
          <w:tcPr>
            <w:tcW w:w="4876" w:type="dxa"/>
          </w:tcPr>
          <w:p w:rsidR="0052409B" w:rsidRPr="001F2E97" w:rsidRDefault="00400F6B" w:rsidP="00CA1930">
            <w:pPr>
              <w:pStyle w:val="Normal6"/>
              <w:rPr>
                <w:szCs w:val="24"/>
              </w:rPr>
            </w:pPr>
            <w:r w:rsidRPr="001F2E97">
              <w:rPr>
                <w:b/>
                <w:i/>
              </w:rPr>
              <w:t>(15 bis)</w:t>
            </w:r>
            <w:r w:rsidRPr="001F2E97">
              <w:rPr>
                <w:b/>
                <w:i/>
              </w:rPr>
              <w:tab/>
              <w:t>In seguito all'adozione del regolamento delegato (UE) 2023/707 della Commissione</w:t>
            </w:r>
            <w:r w:rsidRPr="001F2E97">
              <w:rPr>
                <w:b/>
                <w:i/>
                <w:vertAlign w:val="superscript"/>
              </w:rPr>
              <w:t>1 bis</w:t>
            </w:r>
            <w:r w:rsidRPr="001F2E97">
              <w:t xml:space="preserve"> </w:t>
            </w:r>
            <w:r w:rsidRPr="001F2E97">
              <w:rPr>
                <w:b/>
                <w:i/>
              </w:rPr>
              <w:t>e all'introduzione di una nuova classe di pericolo per gli interferenti endocrini, tali sostanze dovrebbero essere disciplinate dalla normativa dell'Unione in materia di salute e sicurezza. È pertanto necessario valutare l'opportunità di estendere l'ambito</w:t>
            </w:r>
            <w:r w:rsidRPr="001F2E97">
              <w:rPr>
                <w:b/>
                <w:i/>
              </w:rPr>
              <w:t xml:space="preserve"> di applicazione della direttiva 2004/37/CE affinché includa gli interferenti endocrini, che hanno la capacità di interferire con il sistema ormonale e possono quindi causare effetti nocivi per la salute.</w:t>
            </w:r>
          </w:p>
        </w:tc>
      </w:tr>
      <w:tr w:rsidR="001F2E97" w:rsidRPr="001F2E97" w:rsidTr="00413B1F">
        <w:trPr>
          <w:jc w:val="center"/>
        </w:trPr>
        <w:tc>
          <w:tcPr>
            <w:tcW w:w="4876" w:type="dxa"/>
          </w:tcPr>
          <w:p w:rsidR="0052409B" w:rsidRPr="001F2E97" w:rsidRDefault="0052409B" w:rsidP="00413B1F">
            <w:pPr>
              <w:pStyle w:val="Normal6"/>
            </w:pPr>
          </w:p>
        </w:tc>
        <w:tc>
          <w:tcPr>
            <w:tcW w:w="4876" w:type="dxa"/>
          </w:tcPr>
          <w:p w:rsidR="0052409B" w:rsidRPr="001F2E97" w:rsidRDefault="00400F6B" w:rsidP="00413B1F">
            <w:pPr>
              <w:pStyle w:val="Normal6"/>
              <w:rPr>
                <w:szCs w:val="24"/>
              </w:rPr>
            </w:pPr>
            <w:r w:rsidRPr="001F2E97">
              <w:rPr>
                <w:b/>
                <w:i/>
              </w:rPr>
              <w:t>__________________</w:t>
            </w:r>
          </w:p>
        </w:tc>
      </w:tr>
      <w:tr w:rsidR="001F2E97" w:rsidRPr="001F2E97" w:rsidTr="00413B1F">
        <w:trPr>
          <w:jc w:val="center"/>
        </w:trPr>
        <w:tc>
          <w:tcPr>
            <w:tcW w:w="4876" w:type="dxa"/>
          </w:tcPr>
          <w:p w:rsidR="0052409B" w:rsidRPr="001F2E97" w:rsidRDefault="0052409B" w:rsidP="00413B1F">
            <w:pPr>
              <w:pStyle w:val="Normal6"/>
            </w:pPr>
          </w:p>
        </w:tc>
        <w:tc>
          <w:tcPr>
            <w:tcW w:w="4876" w:type="dxa"/>
          </w:tcPr>
          <w:p w:rsidR="0052409B" w:rsidRPr="001F2E97" w:rsidRDefault="00400F6B" w:rsidP="00413B1F">
            <w:pPr>
              <w:pStyle w:val="Normal6"/>
              <w:rPr>
                <w:szCs w:val="24"/>
              </w:rPr>
            </w:pPr>
            <w:r w:rsidRPr="001F2E97">
              <w:rPr>
                <w:b/>
                <w:i/>
                <w:vertAlign w:val="superscript"/>
              </w:rPr>
              <w:t>1 bis</w:t>
            </w:r>
            <w:r w:rsidRPr="001F2E97">
              <w:t xml:space="preserve"> </w:t>
            </w:r>
            <w:r w:rsidRPr="001F2E97">
              <w:rPr>
                <w:b/>
                <w:i/>
              </w:rPr>
              <w:t>Regolamento delegato (UE) 2023/707 della Commissione, del 19 dicembre 2022, che modifica il regolamento (CE) n. 1272/2008 per quanto riguarda i criteri e le classi di pericolo per la classificazione, l'etichettatura e l'imballaggio delle sostanze e delle m</w:t>
            </w:r>
            <w:r w:rsidRPr="001F2E97">
              <w:rPr>
                <w:b/>
                <w:i/>
              </w:rPr>
              <w:t>iscele (GU L 93 del 31.3.2023, pag. 7).</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pPr>
        <w:pStyle w:val="JustificationTitle"/>
        <w:rPr>
          <w:noProof w:val="0"/>
        </w:rPr>
      </w:pPr>
      <w:r w:rsidRPr="001F2E97">
        <w:rPr>
          <w:rStyle w:val="HideTWBExt"/>
          <w:i w:val="0"/>
          <w:color w:val="auto"/>
        </w:rPr>
        <w:t>&lt;TitreJust&gt;</w:t>
      </w:r>
      <w:r w:rsidRPr="001F2E97">
        <w:t>Motivazione</w:t>
      </w:r>
      <w:r w:rsidRPr="001F2E97">
        <w:rPr>
          <w:rStyle w:val="HideTWBExt"/>
          <w:i w:val="0"/>
          <w:color w:val="auto"/>
        </w:rPr>
        <w:t>&lt;/TitreJust&gt;</w:t>
      </w:r>
    </w:p>
    <w:p w:rsidR="0052409B" w:rsidRPr="001F2E97" w:rsidRDefault="00400F6B" w:rsidP="0052409B">
      <w:pPr>
        <w:pStyle w:val="Normal12Italic"/>
        <w:rPr>
          <w:noProof w:val="0"/>
        </w:rPr>
      </w:pPr>
      <w:r w:rsidRPr="001F2E97">
        <w:t>Nella relazione d'iniziativa su un nuovo quadro strategico dell'UE in materia di salute e sicurezza sul lavoro post-2020 (inclusa una migliore prote</w:t>
      </w:r>
      <w:r w:rsidRPr="001F2E97">
        <w:t>zione dei lavoratori contro l'esposizione a sostanze nocive, lo stress sul luogo di lavoro e le lesioni da movimenti ripetitivi) del 9 febbraio 2022, il Parlamento europeo sottolinea che la legislazione europea dovrebbe proteggere i lavoratori dall'esposiz</w:t>
      </w:r>
      <w:r w:rsidRPr="001F2E97">
        <w:t>ione agli interferenti endocrini. Fonte: https://www.europarl.europa.eu/doceo/document/TA-9-2022-0068_IT.pdf</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12</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Considerando 15 ter (nuovo)</w:t>
      </w:r>
      <w:r w:rsidRPr="001F2E97">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413B1F">
        <w:trPr>
          <w:jc w:val="center"/>
        </w:trPr>
        <w:tc>
          <w:tcPr>
            <w:tcW w:w="9752" w:type="dxa"/>
            <w:gridSpan w:val="2"/>
          </w:tcPr>
          <w:p w:rsidR="0052409B" w:rsidRPr="001F2E97" w:rsidRDefault="0052409B" w:rsidP="00413B1F">
            <w:pPr>
              <w:keepNext/>
            </w:pPr>
          </w:p>
        </w:tc>
      </w:tr>
      <w:tr w:rsidR="001F2E97" w:rsidRPr="001F2E97" w:rsidTr="00413B1F">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413B1F">
        <w:trPr>
          <w:jc w:val="center"/>
        </w:trPr>
        <w:tc>
          <w:tcPr>
            <w:tcW w:w="4876" w:type="dxa"/>
          </w:tcPr>
          <w:p w:rsidR="0052409B" w:rsidRPr="001F2E97" w:rsidRDefault="0052409B" w:rsidP="00413B1F">
            <w:pPr>
              <w:pStyle w:val="Normal6"/>
            </w:pPr>
          </w:p>
        </w:tc>
        <w:tc>
          <w:tcPr>
            <w:tcW w:w="4876" w:type="dxa"/>
          </w:tcPr>
          <w:p w:rsidR="0052409B" w:rsidRPr="001F2E97" w:rsidRDefault="00400F6B" w:rsidP="00413B1F">
            <w:pPr>
              <w:pStyle w:val="Normal6"/>
              <w:rPr>
                <w:szCs w:val="24"/>
              </w:rPr>
            </w:pPr>
            <w:r w:rsidRPr="001F2E97">
              <w:rPr>
                <w:b/>
                <w:i/>
              </w:rPr>
              <w:t>(15 ter)</w:t>
            </w:r>
            <w:r w:rsidRPr="001F2E97">
              <w:rPr>
                <w:b/>
                <w:i/>
              </w:rPr>
              <w:tab/>
              <w:t xml:space="preserve">Per garantire un livello di protezione completo è necessario </w:t>
            </w:r>
            <w:r w:rsidRPr="001F2E97">
              <w:rPr>
                <w:b/>
                <w:i/>
              </w:rPr>
              <w:lastRenderedPageBreak/>
              <w:t xml:space="preserve">considerare gli effetti dell'esposizione combinata a diverse sostanze. </w:t>
            </w:r>
            <w:r w:rsidRPr="001F2E97">
              <w:rPr>
                <w:b/>
                <w:i/>
              </w:rPr>
              <w:t xml:space="preserve">Sul luogo di lavoro, i lavoratori sono spesso esposti a una combinazione di sostanze pericolose che possono aumentare i rischi e avere effetti negativi sulla salute. In caso di esposizione a una combinazione di sostanze che agiscono con la stessa modalità </w:t>
            </w:r>
            <w:r w:rsidRPr="001F2E97">
              <w:rPr>
                <w:b/>
                <w:i/>
              </w:rPr>
              <w:t>d'azione o sulla stessa cellula o tessuto bersaglio, è necessario adattare l'applicazione dei loro possibili valori limite per tenere conto degli effetti combinati.</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pPr>
        <w:pStyle w:val="JustificationTitle"/>
        <w:rPr>
          <w:noProof w:val="0"/>
        </w:rPr>
      </w:pPr>
      <w:r w:rsidRPr="001F2E97">
        <w:rPr>
          <w:rStyle w:val="HideTWBExt"/>
          <w:i w:val="0"/>
          <w:color w:val="auto"/>
        </w:rPr>
        <w:t>&lt;TitreJust&gt;</w:t>
      </w:r>
      <w:r w:rsidRPr="001F2E97">
        <w:t>Motivazione</w:t>
      </w:r>
      <w:r w:rsidRPr="001F2E97">
        <w:rPr>
          <w:rStyle w:val="HideTWBExt"/>
          <w:i w:val="0"/>
          <w:color w:val="auto"/>
        </w:rPr>
        <w:t>&lt;/TitreJust&gt;</w:t>
      </w:r>
    </w:p>
    <w:p w:rsidR="0052409B" w:rsidRPr="001F2E97" w:rsidRDefault="00400F6B" w:rsidP="0052409B">
      <w:pPr>
        <w:pStyle w:val="Normal12Italic"/>
        <w:rPr>
          <w:noProof w:val="0"/>
        </w:rPr>
      </w:pPr>
      <w:r w:rsidRPr="001F2E97">
        <w:t>Il presente emendamento</w:t>
      </w:r>
      <w:r w:rsidRPr="001F2E97">
        <w:t xml:space="preserve"> era stato presentato nella relazione del Parlamento europeo sulla proposta di direttiva del Parlamento europeo e del Consiglio che modifica la direttiva 2004/37/CE sulla protezione dei lavoratori contro i rischi derivanti da un'esposizione ad agenti cance</w:t>
      </w:r>
      <w:r w:rsidRPr="001F2E97">
        <w:t>rogeni o mutageni durante il lavoro del 7 aprile 2021 (CMD4). Fonte: https://www.europarl.europa.eu/doceo/document/A-9-2021-0114_IT.pdf</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13</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Considerando 15 quate</w:t>
      </w:r>
      <w:r w:rsidRPr="001F2E97">
        <w:t>r (nuovo)</w:t>
      </w:r>
      <w:r w:rsidRPr="001F2E97">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413B1F">
        <w:trPr>
          <w:jc w:val="center"/>
        </w:trPr>
        <w:tc>
          <w:tcPr>
            <w:tcW w:w="9752" w:type="dxa"/>
            <w:gridSpan w:val="2"/>
          </w:tcPr>
          <w:p w:rsidR="0052409B" w:rsidRPr="001F2E97" w:rsidRDefault="0052409B" w:rsidP="00413B1F">
            <w:pPr>
              <w:keepNext/>
            </w:pPr>
          </w:p>
        </w:tc>
      </w:tr>
      <w:tr w:rsidR="001F2E97" w:rsidRPr="001F2E97" w:rsidTr="00413B1F">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413B1F">
        <w:trPr>
          <w:jc w:val="center"/>
        </w:trPr>
        <w:tc>
          <w:tcPr>
            <w:tcW w:w="4876" w:type="dxa"/>
          </w:tcPr>
          <w:p w:rsidR="0052409B" w:rsidRPr="001F2E97" w:rsidRDefault="0052409B" w:rsidP="00413B1F">
            <w:pPr>
              <w:pStyle w:val="Normal6"/>
            </w:pPr>
          </w:p>
        </w:tc>
        <w:tc>
          <w:tcPr>
            <w:tcW w:w="4876" w:type="dxa"/>
          </w:tcPr>
          <w:p w:rsidR="0052409B" w:rsidRPr="001F2E97" w:rsidRDefault="00400F6B" w:rsidP="00CA1930">
            <w:pPr>
              <w:pStyle w:val="Normal6"/>
              <w:rPr>
                <w:szCs w:val="24"/>
              </w:rPr>
            </w:pPr>
            <w:r w:rsidRPr="001F2E97">
              <w:rPr>
                <w:b/>
                <w:i/>
              </w:rPr>
              <w:t>(15 quater)</w:t>
            </w:r>
            <w:r w:rsidRPr="001F2E97">
              <w:rPr>
                <w:b/>
                <w:i/>
              </w:rPr>
              <w:tab/>
              <w:t xml:space="preserve">L'Organizzazione mondiale della sanità ha classificato l'esposizione professionale dei vigili del fuoco come cancerogena per l'uomo (Gruppo 1). </w:t>
            </w:r>
            <w:r w:rsidRPr="001F2E97">
              <w:rPr>
                <w:b/>
                <w:i/>
              </w:rPr>
              <w:t>L'esposizione professionale in qualità di vigile del fuoco comprende una varietà di pericoli derivanti da incendi e da altre situazioni. I vigili del fuoco possono essere esposti a prodotti della combustione durante gli incendi, materiali da costruzione, p</w:t>
            </w:r>
            <w:r w:rsidRPr="001F2E97">
              <w:rPr>
                <w:b/>
                <w:i/>
              </w:rPr>
              <w:t>rodotti chimici all'interno delle schiume antincendio, ritardanti di fiamma e scarichi di motori diesel. L'assorbimento degli effluenti emanati durante un incendio o da altre sostanze chimiche può avvenire attraverso l'inalazione e l'assorbimento cutaneo e</w:t>
            </w:r>
            <w:r w:rsidRPr="001F2E97">
              <w:rPr>
                <w:b/>
                <w:i/>
              </w:rPr>
              <w:t xml:space="preserve">d eventualmente attraverso l'ingestione. </w:t>
            </w:r>
            <w:r w:rsidRPr="001F2E97">
              <w:rPr>
                <w:b/>
                <w:i/>
              </w:rPr>
              <w:lastRenderedPageBreak/>
              <w:t>Tali lavoratori dovrebbero pertanto essere protetti più adeguatamente da questa esposizione.</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pPr>
        <w:pStyle w:val="JustificationTitle"/>
        <w:rPr>
          <w:noProof w:val="0"/>
        </w:rPr>
      </w:pPr>
      <w:r w:rsidRPr="001F2E97">
        <w:rPr>
          <w:rStyle w:val="HideTWBExt"/>
          <w:i w:val="0"/>
          <w:color w:val="auto"/>
        </w:rPr>
        <w:t>&lt;TitreJust&gt;</w:t>
      </w:r>
      <w:r w:rsidRPr="001F2E97">
        <w:t>Motivazione</w:t>
      </w:r>
      <w:r w:rsidRPr="001F2E97">
        <w:rPr>
          <w:rStyle w:val="HideTWBExt"/>
          <w:i w:val="0"/>
          <w:color w:val="auto"/>
        </w:rPr>
        <w:t>&lt;/TitreJust&gt;</w:t>
      </w:r>
    </w:p>
    <w:p w:rsidR="0052409B" w:rsidRPr="001F2E97" w:rsidRDefault="00400F6B" w:rsidP="0052409B">
      <w:pPr>
        <w:pStyle w:val="Normal12Italic"/>
        <w:rPr>
          <w:noProof w:val="0"/>
        </w:rPr>
      </w:pPr>
      <w:r w:rsidRPr="001F2E97">
        <w:t xml:space="preserve">Fonte: </w:t>
      </w:r>
      <w:r w:rsidRPr="001F2E97">
        <w:t>https://monographs.iarc.who.int/list-of-classifications</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14</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Considerando 15 quinquies (nuovo)</w:t>
      </w:r>
      <w:r w:rsidRPr="001F2E97">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413B1F">
        <w:trPr>
          <w:jc w:val="center"/>
        </w:trPr>
        <w:tc>
          <w:tcPr>
            <w:tcW w:w="9752" w:type="dxa"/>
            <w:gridSpan w:val="2"/>
          </w:tcPr>
          <w:p w:rsidR="0052409B" w:rsidRPr="001F2E97" w:rsidRDefault="0052409B" w:rsidP="00413B1F">
            <w:pPr>
              <w:keepNext/>
            </w:pPr>
          </w:p>
        </w:tc>
      </w:tr>
      <w:tr w:rsidR="001F2E97" w:rsidRPr="001F2E97" w:rsidTr="00413B1F">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413B1F">
        <w:trPr>
          <w:jc w:val="center"/>
        </w:trPr>
        <w:tc>
          <w:tcPr>
            <w:tcW w:w="4876" w:type="dxa"/>
          </w:tcPr>
          <w:p w:rsidR="0052409B" w:rsidRPr="001F2E97" w:rsidRDefault="0052409B" w:rsidP="00413B1F">
            <w:pPr>
              <w:pStyle w:val="Normal6"/>
            </w:pPr>
          </w:p>
        </w:tc>
        <w:tc>
          <w:tcPr>
            <w:tcW w:w="4876" w:type="dxa"/>
          </w:tcPr>
          <w:p w:rsidR="0052409B" w:rsidRPr="001F2E97" w:rsidRDefault="00400F6B" w:rsidP="007C2624">
            <w:pPr>
              <w:pStyle w:val="Normal6"/>
              <w:rPr>
                <w:szCs w:val="24"/>
              </w:rPr>
            </w:pPr>
            <w:r w:rsidRPr="001F2E97">
              <w:rPr>
                <w:b/>
                <w:i/>
              </w:rPr>
              <w:t>(15 quinquies)</w:t>
            </w:r>
            <w:r w:rsidRPr="001F2E97">
              <w:rPr>
                <w:b/>
                <w:i/>
              </w:rPr>
              <w:tab/>
            </w:r>
            <w:r w:rsidRPr="001F2E97">
              <w:rPr>
                <w:b/>
                <w:i/>
              </w:rPr>
              <w:t xml:space="preserve">L'azione dell'Unione, come il Green Deal europeo di cui alla comunicazione della Commissione dell'11 dicembre 2019 e l'iniziativa sulle materie prime critiche di cui alla comunicazione della Commissione del 16 marzo 2023, dal titolo "Un approvvigionamento </w:t>
            </w:r>
            <w:r w:rsidRPr="001F2E97">
              <w:rPr>
                <w:b/>
                <w:i/>
              </w:rPr>
              <w:t>sicuro e sostenibile di materie prime critiche a sostegno della duplice transizione", promuove lo sviluppo sostenibile, che richiede un equilibrio tra considerazioni ambientali, economiche e sociali. Adottando limiti di esposizione professionale obbligator</w:t>
            </w:r>
            <w:r w:rsidRPr="001F2E97">
              <w:rPr>
                <w:b/>
                <w:i/>
              </w:rPr>
              <w:t>i per gli agenti cancerogeni, mutageni e per le sostanze reprotossiche, i lavoratori sono protetti più adeguatamente dagli effetti nocivi e possono continuare a lavorare nel modo più sicuro possibile nelle industrie che producono materie prime critiche o c</w:t>
            </w:r>
            <w:r w:rsidRPr="001F2E97">
              <w:rPr>
                <w:b/>
                <w:i/>
              </w:rPr>
              <w:t>ontribuiscono all'economia verde. Questo, a sua volta, promuove una transizione giusta verde e digitale garantendo che la salute dei lavoratori non sia compromessa a scapito degli obiettivi economici e ambientali dell'Unione. La protezione dei lavoratori d</w:t>
            </w:r>
            <w:r w:rsidRPr="001F2E97">
              <w:rPr>
                <w:b/>
                <w:i/>
              </w:rPr>
              <w:t xml:space="preserve">all'esposizione a sostanze pericolose contribuisce altresì al conseguimento degli obiettivi del piano europeo di lotta contro il cancro, di cui alla comunicazione della Commissione del 3 </w:t>
            </w:r>
            <w:r w:rsidRPr="001F2E97">
              <w:rPr>
                <w:b/>
                <w:i/>
              </w:rPr>
              <w:lastRenderedPageBreak/>
              <w:t>febbraio 2021.</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r w:rsidRPr="001F2E97">
        <w:rPr>
          <w:rStyle w:val="HideTWBExt"/>
          <w:color w:val="auto"/>
        </w:rPr>
        <w:t>&lt;/Amend&gt;</w:t>
      </w:r>
    </w:p>
    <w:p w:rsidR="00DF7819" w:rsidRPr="001F2E97" w:rsidRDefault="00400F6B" w:rsidP="00DF7819">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15</w:t>
      </w:r>
      <w:r w:rsidRPr="001F2E97">
        <w:rPr>
          <w:rStyle w:val="HideTWBExt"/>
          <w:b w:val="0"/>
          <w:color w:val="auto"/>
        </w:rPr>
        <w:t>&lt;/NumAm&gt;</w:t>
      </w:r>
    </w:p>
    <w:p w:rsidR="00DF7819" w:rsidRPr="001F2E97" w:rsidRDefault="00400F6B" w:rsidP="00DF7819">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DF7819" w:rsidRPr="001F2E97" w:rsidRDefault="00400F6B" w:rsidP="00DF7819">
      <w:pPr>
        <w:pStyle w:val="NormalBold"/>
      </w:pPr>
      <w:r w:rsidRPr="001F2E97">
        <w:rPr>
          <w:rStyle w:val="HideTWBExt"/>
          <w:b w:val="0"/>
          <w:color w:val="auto"/>
        </w:rPr>
        <w:t>&lt;Article&gt;</w:t>
      </w:r>
      <w:r w:rsidRPr="001F2E97">
        <w:t>Considerando 15 sexies (nuovo)</w:t>
      </w:r>
      <w:r w:rsidRPr="001F2E97">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413B1F">
        <w:trPr>
          <w:jc w:val="center"/>
        </w:trPr>
        <w:tc>
          <w:tcPr>
            <w:tcW w:w="9752" w:type="dxa"/>
            <w:gridSpan w:val="2"/>
          </w:tcPr>
          <w:p w:rsidR="00DF7819" w:rsidRPr="001F2E97" w:rsidRDefault="00DF7819" w:rsidP="00413B1F">
            <w:pPr>
              <w:keepNext/>
            </w:pPr>
          </w:p>
        </w:tc>
      </w:tr>
      <w:tr w:rsidR="001F2E97" w:rsidRPr="001F2E97" w:rsidTr="00413B1F">
        <w:trPr>
          <w:jc w:val="center"/>
        </w:trPr>
        <w:tc>
          <w:tcPr>
            <w:tcW w:w="4876" w:type="dxa"/>
          </w:tcPr>
          <w:p w:rsidR="00DF7819" w:rsidRPr="001F2E97" w:rsidRDefault="00400F6B" w:rsidP="00413B1F">
            <w:pPr>
              <w:pStyle w:val="ColumnHeading"/>
              <w:keepNext/>
            </w:pPr>
            <w:r w:rsidRPr="001F2E97">
              <w:t>Testo della Commissione</w:t>
            </w:r>
          </w:p>
        </w:tc>
        <w:tc>
          <w:tcPr>
            <w:tcW w:w="4876" w:type="dxa"/>
          </w:tcPr>
          <w:p w:rsidR="00DF7819" w:rsidRPr="001F2E97" w:rsidRDefault="00400F6B" w:rsidP="00413B1F">
            <w:pPr>
              <w:pStyle w:val="ColumnHeading"/>
              <w:keepNext/>
            </w:pPr>
            <w:r w:rsidRPr="001F2E97">
              <w:t>Emendamento</w:t>
            </w:r>
          </w:p>
        </w:tc>
      </w:tr>
      <w:tr w:rsidR="001F2E97" w:rsidRPr="001F2E97" w:rsidTr="00413B1F">
        <w:trPr>
          <w:jc w:val="center"/>
        </w:trPr>
        <w:tc>
          <w:tcPr>
            <w:tcW w:w="4876" w:type="dxa"/>
          </w:tcPr>
          <w:p w:rsidR="00DF7819" w:rsidRPr="001F2E97" w:rsidRDefault="00DF7819" w:rsidP="00413B1F">
            <w:pPr>
              <w:pStyle w:val="Normal6"/>
            </w:pPr>
          </w:p>
        </w:tc>
        <w:tc>
          <w:tcPr>
            <w:tcW w:w="4876" w:type="dxa"/>
          </w:tcPr>
          <w:p w:rsidR="00DF7819" w:rsidRPr="001F2E97" w:rsidRDefault="00400F6B" w:rsidP="00CA1930">
            <w:pPr>
              <w:pStyle w:val="Normal6"/>
              <w:rPr>
                <w:szCs w:val="24"/>
              </w:rPr>
            </w:pPr>
            <w:r w:rsidRPr="001F2E97">
              <w:rPr>
                <w:b/>
                <w:i/>
              </w:rPr>
              <w:t>(15 sexies)</w:t>
            </w:r>
            <w:r w:rsidRPr="001F2E97">
              <w:rPr>
                <w:b/>
                <w:i/>
              </w:rPr>
              <w:tab/>
              <w:t>A causa dell'esposizione imprevedibile a determinate sostanze e miscele di sosta</w:t>
            </w:r>
            <w:r w:rsidRPr="001F2E97">
              <w:rPr>
                <w:b/>
                <w:i/>
              </w:rPr>
              <w:t>nze o dei vincoli nell'organizzazione del lavoro, alcune professioni dovrebbero essere considerate cancerogene di per sé. In alcune professioni è difficile prevedere la misura in cui i lavoratori saranno esposti a sostanze o miscele di sostanze e preparars</w:t>
            </w:r>
            <w:r w:rsidRPr="001F2E97">
              <w:rPr>
                <w:b/>
                <w:i/>
              </w:rPr>
              <w:t>i di conseguenza. Si prevede che l'elenco dei pericoli cancerogeni dell'Organizzazione mondiale della sanità sarà ampliato sulla base della crescente quantità di dati e dei progressi nell'ambito della ricerca medica e scientifica, che evidenziano la natura</w:t>
            </w:r>
            <w:r w:rsidRPr="001F2E97">
              <w:rPr>
                <w:b/>
                <w:i/>
              </w:rPr>
              <w:t xml:space="preserve"> cancerogena di alcune professioni. Pertanto, un elenco non esaustivo a livello dell'Unione di professioni considerate cancerogene aiuterebbe i datori di lavoro a individuare le professioni considerate a rischio e faciliterebbe l'attuazione di misure di pr</w:t>
            </w:r>
            <w:r w:rsidRPr="001F2E97">
              <w:rPr>
                <w:b/>
                <w:i/>
              </w:rPr>
              <w:t>otezione adeguate nonché la formazione a norma delle direttive 98/24/CE e 2004/37/CE. Sebbene le misure di protezione previste dalle direttive 98/24/CE e 2004/37/CE non debbano essere riservate alle professioni figuranti in tale elenco, quest'ultimo fornir</w:t>
            </w:r>
            <w:r w:rsidRPr="001F2E97">
              <w:rPr>
                <w:b/>
                <w:i/>
              </w:rPr>
              <w:t>ebbe orientamenti ai datori di lavoro.</w:t>
            </w:r>
          </w:p>
        </w:tc>
      </w:tr>
    </w:tbl>
    <w:p w:rsidR="00DF7819" w:rsidRPr="001F2E97" w:rsidRDefault="00400F6B" w:rsidP="00DF7819">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DF7819" w:rsidRPr="001F2E97" w:rsidRDefault="00400F6B" w:rsidP="00DF7819">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16</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Considerando 15 septies (nuovo)</w:t>
      </w:r>
      <w:r w:rsidRPr="001F2E97">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413B1F">
        <w:trPr>
          <w:jc w:val="center"/>
        </w:trPr>
        <w:tc>
          <w:tcPr>
            <w:tcW w:w="9752" w:type="dxa"/>
            <w:gridSpan w:val="2"/>
          </w:tcPr>
          <w:p w:rsidR="0052409B" w:rsidRPr="001F2E97" w:rsidRDefault="0052409B" w:rsidP="00413B1F">
            <w:pPr>
              <w:keepNext/>
            </w:pPr>
          </w:p>
        </w:tc>
      </w:tr>
      <w:tr w:rsidR="001F2E97" w:rsidRPr="001F2E97" w:rsidTr="00413B1F">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413B1F">
        <w:trPr>
          <w:jc w:val="center"/>
        </w:trPr>
        <w:tc>
          <w:tcPr>
            <w:tcW w:w="4876" w:type="dxa"/>
          </w:tcPr>
          <w:p w:rsidR="0052409B" w:rsidRPr="001F2E97" w:rsidRDefault="0052409B" w:rsidP="00413B1F">
            <w:pPr>
              <w:pStyle w:val="Normal6"/>
            </w:pPr>
          </w:p>
        </w:tc>
        <w:tc>
          <w:tcPr>
            <w:tcW w:w="4876" w:type="dxa"/>
          </w:tcPr>
          <w:p w:rsidR="0052409B" w:rsidRPr="001F2E97" w:rsidRDefault="00400F6B" w:rsidP="00CA1930">
            <w:pPr>
              <w:pStyle w:val="Normal6"/>
              <w:rPr>
                <w:szCs w:val="24"/>
              </w:rPr>
            </w:pPr>
            <w:r w:rsidRPr="001F2E97">
              <w:rPr>
                <w:b/>
                <w:i/>
              </w:rPr>
              <w:t>(15 septies)</w:t>
            </w:r>
            <w:r w:rsidRPr="001F2E97">
              <w:rPr>
                <w:b/>
                <w:i/>
              </w:rPr>
              <w:tab/>
              <w:t>L'economia circolare e i settori della raccolta, della cernita e del recupero dei rifiuti stanno crescendo rapidamente per conseguire gli obiettivi del Green Deal europeo, garantire la sostenibilità dell'industria europea e assicurare all'Unio</w:t>
            </w:r>
            <w:r w:rsidRPr="001F2E97">
              <w:rPr>
                <w:b/>
                <w:i/>
              </w:rPr>
              <w:t>ne una maggiore autonomia strategica. Tuttavia tali sviluppi positivi sollevano molte questioni relative alla salute e alla sicurezza sul lavoro per i lavoratori di tale settore che, per la natura stessa della loro attività, sono probabilmente esposti in m</w:t>
            </w:r>
            <w:r w:rsidRPr="001F2E97">
              <w:rPr>
                <w:b/>
                <w:i/>
              </w:rPr>
              <w:t>odo sproporzionato alle sostanze nocive. Ad esempio, l'esposizione al piombo, al mercurio e ad altri metalli pericolosi negli impianti di riciclaggio dei rifiuti rappresenta già una realtà per molti di questi lavoratori. Sono necessarie misure di protezion</w:t>
            </w:r>
            <w:r w:rsidRPr="001F2E97">
              <w:rPr>
                <w:b/>
                <w:i/>
              </w:rPr>
              <w:t>e ambiziose, politiche di prevenzione adeguate e condizioni lavorative di buona qualità per ridurre i rischi di esposizione a sostanze pericolose e garantire un livello elevato di protezione.</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w:t>
      </w:r>
      <w:r w:rsidRPr="001F2E97">
        <w:rPr>
          <w:rStyle w:val="HideTWBExt"/>
          <w:b w:val="0"/>
          <w:color w:val="auto"/>
        </w:rPr>
        <w:t>umAm&gt;</w:t>
      </w:r>
      <w:r w:rsidRPr="001F2E97">
        <w:t>17</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Considerando 15 octies (nuovo)</w:t>
      </w:r>
      <w:r w:rsidRPr="001F2E97">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413B1F">
        <w:trPr>
          <w:jc w:val="center"/>
        </w:trPr>
        <w:tc>
          <w:tcPr>
            <w:tcW w:w="9752" w:type="dxa"/>
            <w:gridSpan w:val="2"/>
          </w:tcPr>
          <w:p w:rsidR="0052409B" w:rsidRPr="001F2E97" w:rsidRDefault="0052409B" w:rsidP="00413B1F">
            <w:pPr>
              <w:keepNext/>
            </w:pPr>
          </w:p>
        </w:tc>
      </w:tr>
      <w:tr w:rsidR="001F2E97" w:rsidRPr="001F2E97" w:rsidTr="00413B1F">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413B1F">
        <w:trPr>
          <w:jc w:val="center"/>
        </w:trPr>
        <w:tc>
          <w:tcPr>
            <w:tcW w:w="4876" w:type="dxa"/>
          </w:tcPr>
          <w:p w:rsidR="0052409B" w:rsidRPr="001F2E97" w:rsidRDefault="0052409B" w:rsidP="00413B1F">
            <w:pPr>
              <w:pStyle w:val="Normal6"/>
            </w:pPr>
          </w:p>
        </w:tc>
        <w:tc>
          <w:tcPr>
            <w:tcW w:w="4876" w:type="dxa"/>
          </w:tcPr>
          <w:p w:rsidR="0052409B" w:rsidRPr="001F2E97" w:rsidRDefault="00400F6B" w:rsidP="007C2624">
            <w:pPr>
              <w:pStyle w:val="Normal6"/>
              <w:rPr>
                <w:szCs w:val="24"/>
              </w:rPr>
            </w:pPr>
            <w:r w:rsidRPr="001F2E97">
              <w:rPr>
                <w:b/>
                <w:i/>
              </w:rPr>
              <w:t>(15 octies)</w:t>
            </w:r>
            <w:r w:rsidRPr="001F2E97">
              <w:rPr>
                <w:b/>
                <w:i/>
              </w:rPr>
              <w:tab/>
            </w:r>
            <w:r w:rsidRPr="001F2E97">
              <w:rPr>
                <w:b/>
                <w:i/>
              </w:rPr>
              <w:t xml:space="preserve">Il settore informale è proporzionalmente sovrarappresentato nei settori della raccolta, della cernita e del recupero dei rifiuti. Un'elevata esposizione ai rischi, comprese le sostanze nocive, unita a un basso livello di protezione sociale pone la maggior </w:t>
            </w:r>
            <w:r w:rsidRPr="001F2E97">
              <w:rPr>
                <w:b/>
                <w:i/>
              </w:rPr>
              <w:t xml:space="preserve">parte dei lavoratori dell'economia informale in una situazione molto vulnerabile. Le misure preventive volte a ridurre i rischi sul lavoro, sotto forma di sistemi di gestione della salute e della sicurezza sul </w:t>
            </w:r>
            <w:r w:rsidRPr="001F2E97">
              <w:rPr>
                <w:b/>
                <w:i/>
              </w:rPr>
              <w:lastRenderedPageBreak/>
              <w:t>luogo di lavoro e di una cultura generale dell</w:t>
            </w:r>
            <w:r w:rsidRPr="001F2E97">
              <w:rPr>
                <w:b/>
                <w:i/>
              </w:rPr>
              <w:t>a sicurezza, spesso non si applicano all'economia informale. Occorre prestare particolare attenzione ai lavoratori precari al fine di offrire condizioni di lavoro e ambienti sicuri, nonché parità di trattamento tra i lavoratori dello stesso settore o in se</w:t>
            </w:r>
            <w:r w:rsidRPr="001F2E97">
              <w:rPr>
                <w:b/>
                <w:i/>
              </w:rPr>
              <w:t>ttori meglio regolamentati.</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18</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Articolo 2 – comma 1 – parte introduttiva (nuovo)</w:t>
      </w:r>
      <w:r w:rsidRPr="001F2E9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DB62B6">
        <w:trPr>
          <w:jc w:val="center"/>
        </w:trPr>
        <w:tc>
          <w:tcPr>
            <w:tcW w:w="9752" w:type="dxa"/>
            <w:gridSpan w:val="2"/>
          </w:tcPr>
          <w:p w:rsidR="0052409B" w:rsidRPr="001F2E97" w:rsidRDefault="0052409B" w:rsidP="00413B1F">
            <w:pPr>
              <w:keepNext/>
            </w:pPr>
          </w:p>
        </w:tc>
      </w:tr>
      <w:tr w:rsidR="001F2E97" w:rsidRPr="001F2E97" w:rsidTr="00DB62B6">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DB62B6">
        <w:trPr>
          <w:jc w:val="center"/>
        </w:trPr>
        <w:tc>
          <w:tcPr>
            <w:tcW w:w="4876" w:type="dxa"/>
          </w:tcPr>
          <w:p w:rsidR="0052409B" w:rsidRPr="001F2E97" w:rsidRDefault="0052409B" w:rsidP="00413B1F">
            <w:pPr>
              <w:pStyle w:val="Normal6"/>
            </w:pPr>
          </w:p>
        </w:tc>
        <w:tc>
          <w:tcPr>
            <w:tcW w:w="4876" w:type="dxa"/>
          </w:tcPr>
          <w:p w:rsidR="0052409B" w:rsidRPr="001F2E97" w:rsidRDefault="00400F6B" w:rsidP="00945BF3">
            <w:pPr>
              <w:pStyle w:val="Normal6"/>
              <w:rPr>
                <w:szCs w:val="24"/>
              </w:rPr>
            </w:pPr>
            <w:r w:rsidRPr="001F2E97">
              <w:rPr>
                <w:b/>
                <w:i/>
              </w:rPr>
              <w:t>La direttiva 2004/37/CE è così modificata:</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19</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Articolo 2 – comma – 1 – punto 1 (nuovo)</w:t>
      </w:r>
      <w:r w:rsidRPr="001F2E97">
        <w:rPr>
          <w:rStyle w:val="HideTWBExt"/>
          <w:b w:val="0"/>
          <w:color w:val="auto"/>
        </w:rPr>
        <w:t>&lt;/Article&gt;</w:t>
      </w:r>
    </w:p>
    <w:p w:rsidR="0052409B" w:rsidRPr="001F2E97" w:rsidRDefault="00400F6B" w:rsidP="0052409B">
      <w:pPr>
        <w:keepNext/>
      </w:pPr>
      <w:r w:rsidRPr="001F2E97">
        <w:rPr>
          <w:rStyle w:val="HideTWBExt"/>
          <w:color w:val="auto"/>
        </w:rPr>
        <w:t>&lt;DocAmend2&gt;</w:t>
      </w:r>
      <w:r w:rsidRPr="001F2E97">
        <w:t>Diret</w:t>
      </w:r>
      <w:r w:rsidRPr="001F2E97">
        <w:t>tiva 2004/37/CE</w:t>
      </w:r>
      <w:r w:rsidRPr="001F2E97">
        <w:rPr>
          <w:rStyle w:val="HideTWBExt"/>
          <w:color w:val="auto"/>
        </w:rPr>
        <w:t>&lt;/DocAmend2&gt;</w:t>
      </w:r>
    </w:p>
    <w:p w:rsidR="0052409B" w:rsidRPr="001F2E97" w:rsidRDefault="00400F6B" w:rsidP="0052409B">
      <w:r w:rsidRPr="001F2E97">
        <w:rPr>
          <w:rStyle w:val="HideTWBExt"/>
          <w:color w:val="auto"/>
        </w:rPr>
        <w:t>&lt;Article2&gt;</w:t>
      </w:r>
      <w:r w:rsidRPr="001F2E97">
        <w:t>Articolo 2 – lettera b</w:t>
      </w:r>
      <w:r w:rsidRPr="001F2E97">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52409B">
        <w:trPr>
          <w:jc w:val="center"/>
        </w:trPr>
        <w:tc>
          <w:tcPr>
            <w:tcW w:w="9752" w:type="dxa"/>
            <w:gridSpan w:val="2"/>
          </w:tcPr>
          <w:p w:rsidR="0052409B" w:rsidRPr="001F2E97" w:rsidRDefault="0052409B" w:rsidP="00413B1F">
            <w:pPr>
              <w:keepNext/>
            </w:pPr>
          </w:p>
        </w:tc>
      </w:tr>
      <w:tr w:rsidR="001F2E97" w:rsidRPr="001F2E97" w:rsidTr="0052409B">
        <w:trPr>
          <w:jc w:val="center"/>
        </w:trPr>
        <w:tc>
          <w:tcPr>
            <w:tcW w:w="4876" w:type="dxa"/>
          </w:tcPr>
          <w:p w:rsidR="0052409B" w:rsidRPr="001F2E97" w:rsidRDefault="00400F6B" w:rsidP="00413B1F">
            <w:pPr>
              <w:pStyle w:val="ColumnHeading"/>
              <w:keepNext/>
            </w:pPr>
            <w:r w:rsidRPr="001F2E97">
              <w:t>Testo in vigore</w:t>
            </w:r>
          </w:p>
        </w:tc>
        <w:tc>
          <w:tcPr>
            <w:tcW w:w="4876" w:type="dxa"/>
          </w:tcPr>
          <w:p w:rsidR="0052409B" w:rsidRPr="001F2E97" w:rsidRDefault="00400F6B" w:rsidP="00413B1F">
            <w:pPr>
              <w:pStyle w:val="ColumnHeading"/>
              <w:keepNext/>
            </w:pPr>
            <w:r w:rsidRPr="001F2E97">
              <w:t>Emendamento</w:t>
            </w:r>
          </w:p>
        </w:tc>
      </w:tr>
      <w:tr w:rsidR="001F2E97" w:rsidRPr="001F2E97" w:rsidTr="0052409B">
        <w:trPr>
          <w:jc w:val="center"/>
        </w:trPr>
        <w:tc>
          <w:tcPr>
            <w:tcW w:w="4876" w:type="dxa"/>
          </w:tcPr>
          <w:p w:rsidR="00DB62B6" w:rsidRPr="001F2E97" w:rsidRDefault="00DB62B6" w:rsidP="00413B1F">
            <w:pPr>
              <w:pStyle w:val="Normal6"/>
            </w:pPr>
          </w:p>
        </w:tc>
        <w:tc>
          <w:tcPr>
            <w:tcW w:w="4876" w:type="dxa"/>
          </w:tcPr>
          <w:p w:rsidR="00DB62B6" w:rsidRPr="001F2E97" w:rsidRDefault="00400F6B" w:rsidP="007C2624">
            <w:pPr>
              <w:pStyle w:val="Normal6"/>
              <w:rPr>
                <w:b/>
                <w:i/>
              </w:rPr>
            </w:pPr>
            <w:r w:rsidRPr="001F2E97">
              <w:rPr>
                <w:b/>
                <w:i/>
              </w:rPr>
              <w:t xml:space="preserve">1) </w:t>
            </w:r>
            <w:r w:rsidRPr="001F2E97">
              <w:rPr>
                <w:b/>
                <w:i/>
              </w:rPr>
              <w:tab/>
              <w:t>all'articolo 2, comma 1, la lettera b) è sostituita dalla seguente:</w:t>
            </w:r>
          </w:p>
        </w:tc>
      </w:tr>
      <w:tr w:rsidR="001F2E97" w:rsidRPr="001F2E97" w:rsidTr="0052409B">
        <w:trPr>
          <w:jc w:val="center"/>
        </w:trPr>
        <w:tc>
          <w:tcPr>
            <w:tcW w:w="4876" w:type="dxa"/>
          </w:tcPr>
          <w:p w:rsidR="0052409B" w:rsidRPr="001F2E97" w:rsidRDefault="00400F6B" w:rsidP="00413B1F">
            <w:pPr>
              <w:pStyle w:val="Normal6"/>
            </w:pPr>
            <w:r w:rsidRPr="001F2E97">
              <w:t xml:space="preserve">b) </w:t>
            </w:r>
            <w:r w:rsidRPr="001F2E97">
              <w:tab/>
              <w:t xml:space="preserve">agente mutageno: </w:t>
            </w:r>
            <w:r w:rsidRPr="001F2E97">
              <w:t>sostanza o miscela corrispondente ai criteri di classificazione come agente mutageno di cellule germinali di categoria 1 A o 1B di cui all'allegato I del regolamento (CE) n. 1272/2008;</w:t>
            </w:r>
          </w:p>
        </w:tc>
        <w:tc>
          <w:tcPr>
            <w:tcW w:w="4876" w:type="dxa"/>
          </w:tcPr>
          <w:p w:rsidR="0052409B" w:rsidRPr="001F2E97" w:rsidRDefault="00400F6B" w:rsidP="00DB62B6">
            <w:pPr>
              <w:pStyle w:val="Normal6"/>
              <w:rPr>
                <w:szCs w:val="24"/>
              </w:rPr>
            </w:pPr>
            <w:r w:rsidRPr="001F2E97">
              <w:t xml:space="preserve">"b) </w:t>
            </w:r>
            <w:r w:rsidRPr="001F2E97">
              <w:tab/>
              <w:t xml:space="preserve">agente mutageno: </w:t>
            </w:r>
          </w:p>
        </w:tc>
      </w:tr>
      <w:tr w:rsidR="001F2E97" w:rsidRPr="001F2E97" w:rsidTr="0052409B">
        <w:trPr>
          <w:jc w:val="center"/>
        </w:trPr>
        <w:tc>
          <w:tcPr>
            <w:tcW w:w="4876" w:type="dxa"/>
          </w:tcPr>
          <w:p w:rsidR="00DB62B6" w:rsidRPr="001F2E97" w:rsidRDefault="00DB62B6" w:rsidP="00413B1F">
            <w:pPr>
              <w:pStyle w:val="Normal6"/>
            </w:pPr>
          </w:p>
        </w:tc>
        <w:tc>
          <w:tcPr>
            <w:tcW w:w="4876" w:type="dxa"/>
          </w:tcPr>
          <w:p w:rsidR="00DB62B6" w:rsidRPr="001F2E97" w:rsidRDefault="00400F6B" w:rsidP="00413B1F">
            <w:pPr>
              <w:pStyle w:val="Normal6"/>
            </w:pPr>
            <w:r w:rsidRPr="001F2E97">
              <w:rPr>
                <w:b/>
                <w:i/>
              </w:rPr>
              <w:t xml:space="preserve">i) </w:t>
            </w:r>
            <w:r w:rsidRPr="001F2E97">
              <w:rPr>
                <w:b/>
                <w:i/>
              </w:rPr>
              <w:tab/>
            </w:r>
            <w:r w:rsidRPr="001F2E97">
              <w:t>sostanza o miscela corrispondente ai crite</w:t>
            </w:r>
            <w:r w:rsidRPr="001F2E97">
              <w:t>ri di classificazione come agente mutageno di cellule germinali di categoria 1 A o 1B di cui all'allegato I del regolamento (CE) n. 1272/2008;</w:t>
            </w:r>
          </w:p>
        </w:tc>
      </w:tr>
      <w:tr w:rsidR="001F2E97" w:rsidRPr="001F2E97" w:rsidTr="0052409B">
        <w:trPr>
          <w:jc w:val="center"/>
        </w:trPr>
        <w:tc>
          <w:tcPr>
            <w:tcW w:w="4876" w:type="dxa"/>
          </w:tcPr>
          <w:p w:rsidR="0052409B" w:rsidRPr="001F2E97" w:rsidRDefault="0052409B" w:rsidP="00413B1F">
            <w:pPr>
              <w:pStyle w:val="Normal6"/>
            </w:pPr>
          </w:p>
        </w:tc>
        <w:tc>
          <w:tcPr>
            <w:tcW w:w="4876" w:type="dxa"/>
          </w:tcPr>
          <w:p w:rsidR="0052409B" w:rsidRPr="001F2E97" w:rsidRDefault="00400F6B" w:rsidP="00413B1F">
            <w:pPr>
              <w:pStyle w:val="Normal6"/>
              <w:rPr>
                <w:szCs w:val="24"/>
              </w:rPr>
            </w:pPr>
            <w:r w:rsidRPr="001F2E97">
              <w:rPr>
                <w:b/>
                <w:i/>
              </w:rPr>
              <w:t xml:space="preserve">ii) </w:t>
            </w:r>
            <w:r w:rsidRPr="001F2E97">
              <w:rPr>
                <w:b/>
                <w:i/>
              </w:rPr>
              <w:tab/>
            </w:r>
            <w:r w:rsidRPr="001F2E97">
              <w:rPr>
                <w:b/>
                <w:i/>
              </w:rPr>
              <w:t xml:space="preserve">sostanza, miscela o procedimento menzionati all'allegato I della presente direttiva, nonché sostanza o miscela liberate nel corso di un processo e </w:t>
            </w:r>
            <w:r w:rsidRPr="001F2E97">
              <w:rPr>
                <w:b/>
                <w:i/>
              </w:rPr>
              <w:lastRenderedPageBreak/>
              <w:t>menzionate nello stesso allegato;"</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pPr>
        <w:pStyle w:val="JustificationTitle"/>
        <w:rPr>
          <w:noProof w:val="0"/>
        </w:rPr>
      </w:pPr>
      <w:r w:rsidRPr="001F2E97">
        <w:rPr>
          <w:rStyle w:val="HideTWBExt"/>
          <w:i w:val="0"/>
          <w:color w:val="auto"/>
        </w:rPr>
        <w:t>&lt;TitreJust&gt;</w:t>
      </w:r>
      <w:r w:rsidRPr="001F2E97">
        <w:t>Motivazione</w:t>
      </w:r>
      <w:r w:rsidRPr="001F2E97">
        <w:rPr>
          <w:rStyle w:val="HideTWBExt"/>
          <w:i w:val="0"/>
          <w:color w:val="auto"/>
        </w:rPr>
        <w:t>&lt;/TitreJust&gt;</w:t>
      </w:r>
    </w:p>
    <w:p w:rsidR="0052409B" w:rsidRPr="001F2E97" w:rsidRDefault="00400F6B" w:rsidP="0052409B">
      <w:pPr>
        <w:pStyle w:val="Normal12Italic"/>
        <w:rPr>
          <w:noProof w:val="0"/>
        </w:rPr>
      </w:pPr>
      <w:r w:rsidRPr="001F2E97">
        <w:t>L'alle</w:t>
      </w:r>
      <w:r w:rsidRPr="001F2E97">
        <w:t>gato I riguarda tutte le sostanze pericolose disciplinate dalla presente direttiva, tra cui gli agenti mutageni.</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20</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Articolo 2 – comma – 1 – punto 2 (nuovo)</w:t>
      </w:r>
      <w:r w:rsidRPr="001F2E97">
        <w:rPr>
          <w:rStyle w:val="HideTWBExt"/>
          <w:b w:val="0"/>
          <w:color w:val="auto"/>
        </w:rPr>
        <w:t>&lt;/Article&gt;</w:t>
      </w:r>
    </w:p>
    <w:p w:rsidR="0052409B" w:rsidRPr="001F2E97" w:rsidRDefault="00400F6B" w:rsidP="0052409B">
      <w:pPr>
        <w:keepNext/>
      </w:pPr>
      <w:r w:rsidRPr="001F2E97">
        <w:rPr>
          <w:rStyle w:val="HideTWBExt"/>
          <w:color w:val="auto"/>
        </w:rPr>
        <w:t>&lt;DocAmend2&gt;</w:t>
      </w:r>
      <w:r w:rsidRPr="001F2E97">
        <w:t>Direttiva 2004/37/CE</w:t>
      </w:r>
      <w:r w:rsidRPr="001F2E97">
        <w:rPr>
          <w:rStyle w:val="HideTWBExt"/>
          <w:color w:val="auto"/>
        </w:rPr>
        <w:t>&lt;/DocAmend2&gt;</w:t>
      </w:r>
    </w:p>
    <w:p w:rsidR="0052409B" w:rsidRPr="001F2E97" w:rsidRDefault="00400F6B" w:rsidP="0052409B">
      <w:r w:rsidRPr="001F2E97">
        <w:rPr>
          <w:rStyle w:val="HideTWBExt"/>
          <w:color w:val="auto"/>
        </w:rPr>
        <w:t>&lt;Article2&gt;</w:t>
      </w:r>
      <w:r w:rsidRPr="001F2E97">
        <w:t>Articolo 2, lettera b bis)</w:t>
      </w:r>
      <w:r w:rsidRPr="001F2E97">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52409B">
        <w:trPr>
          <w:jc w:val="center"/>
        </w:trPr>
        <w:tc>
          <w:tcPr>
            <w:tcW w:w="9752" w:type="dxa"/>
            <w:gridSpan w:val="2"/>
          </w:tcPr>
          <w:p w:rsidR="0052409B" w:rsidRPr="001F2E97" w:rsidRDefault="0052409B" w:rsidP="00413B1F">
            <w:pPr>
              <w:keepNext/>
            </w:pPr>
          </w:p>
        </w:tc>
      </w:tr>
      <w:tr w:rsidR="001F2E97" w:rsidRPr="001F2E97" w:rsidTr="0052409B">
        <w:trPr>
          <w:jc w:val="center"/>
        </w:trPr>
        <w:tc>
          <w:tcPr>
            <w:tcW w:w="4876" w:type="dxa"/>
          </w:tcPr>
          <w:p w:rsidR="0052409B" w:rsidRPr="001F2E97" w:rsidRDefault="00400F6B" w:rsidP="00413B1F">
            <w:pPr>
              <w:pStyle w:val="ColumnHeading"/>
              <w:keepNext/>
            </w:pPr>
            <w:r w:rsidRPr="001F2E97">
              <w:t>Testo in vigore</w:t>
            </w:r>
          </w:p>
        </w:tc>
        <w:tc>
          <w:tcPr>
            <w:tcW w:w="4876" w:type="dxa"/>
          </w:tcPr>
          <w:p w:rsidR="0052409B" w:rsidRPr="001F2E97" w:rsidRDefault="00400F6B" w:rsidP="00413B1F">
            <w:pPr>
              <w:pStyle w:val="ColumnHeading"/>
              <w:keepNext/>
            </w:pPr>
            <w:r w:rsidRPr="001F2E97">
              <w:t>Emendamento</w:t>
            </w:r>
          </w:p>
        </w:tc>
      </w:tr>
      <w:tr w:rsidR="001F2E97" w:rsidRPr="001F2E97" w:rsidTr="0052409B">
        <w:trPr>
          <w:jc w:val="center"/>
        </w:trPr>
        <w:tc>
          <w:tcPr>
            <w:tcW w:w="4876" w:type="dxa"/>
          </w:tcPr>
          <w:p w:rsidR="0052409B" w:rsidRPr="001F2E97" w:rsidRDefault="0052409B" w:rsidP="00413B1F">
            <w:pPr>
              <w:pStyle w:val="Normal6"/>
            </w:pPr>
          </w:p>
        </w:tc>
        <w:tc>
          <w:tcPr>
            <w:tcW w:w="4876" w:type="dxa"/>
          </w:tcPr>
          <w:p w:rsidR="0052409B" w:rsidRPr="001F2E97" w:rsidRDefault="00400F6B" w:rsidP="007C2624">
            <w:pPr>
              <w:pStyle w:val="Normal6"/>
              <w:rPr>
                <w:szCs w:val="24"/>
              </w:rPr>
            </w:pPr>
            <w:r w:rsidRPr="001F2E97">
              <w:rPr>
                <w:b/>
                <w:i/>
              </w:rPr>
              <w:t xml:space="preserve">2) </w:t>
            </w:r>
            <w:r w:rsidRPr="001F2E97">
              <w:rPr>
                <w:b/>
                <w:i/>
              </w:rPr>
              <w:tab/>
              <w:t>all'articolo 2, comma 1, la lettera b bis) è sostituita dalla seguente:</w:t>
            </w:r>
          </w:p>
        </w:tc>
      </w:tr>
      <w:tr w:rsidR="001F2E97" w:rsidRPr="001F2E97" w:rsidTr="0052409B">
        <w:trPr>
          <w:jc w:val="center"/>
        </w:trPr>
        <w:tc>
          <w:tcPr>
            <w:tcW w:w="4876" w:type="dxa"/>
          </w:tcPr>
          <w:p w:rsidR="0052409B" w:rsidRPr="001F2E97" w:rsidRDefault="00400F6B" w:rsidP="00413B1F">
            <w:pPr>
              <w:pStyle w:val="Normal6"/>
            </w:pPr>
            <w:r w:rsidRPr="001F2E97">
              <w:t xml:space="preserve">b bis) </w:t>
            </w:r>
            <w:r w:rsidRPr="001F2E97">
              <w:tab/>
            </w:r>
            <w:r w:rsidRPr="001F2E97">
              <w:t>"sostanza tossica per la riproduzione": sostanza o miscela che corrisponde ai criteri di classificazione come sostanza tossica per la riproduzione di categoria 1A o 1B di cui all'allegato I del regolamento (CE) n. 1272/2008;</w:t>
            </w:r>
          </w:p>
        </w:tc>
        <w:tc>
          <w:tcPr>
            <w:tcW w:w="4876" w:type="dxa"/>
          </w:tcPr>
          <w:p w:rsidR="0052409B" w:rsidRPr="001F2E97" w:rsidRDefault="00400F6B" w:rsidP="00A2274C">
            <w:pPr>
              <w:pStyle w:val="Normal6"/>
              <w:rPr>
                <w:szCs w:val="24"/>
              </w:rPr>
            </w:pPr>
            <w:r w:rsidRPr="001F2E97">
              <w:t xml:space="preserve">"b bis) </w:t>
            </w:r>
            <w:r w:rsidRPr="001F2E97">
              <w:tab/>
              <w:t xml:space="preserve">"sostanza tossica per </w:t>
            </w:r>
            <w:r w:rsidRPr="001F2E97">
              <w:t xml:space="preserve">la riproduzione": </w:t>
            </w:r>
          </w:p>
        </w:tc>
      </w:tr>
      <w:tr w:rsidR="001F2E97" w:rsidRPr="001F2E97" w:rsidTr="0052409B">
        <w:trPr>
          <w:jc w:val="center"/>
        </w:trPr>
        <w:tc>
          <w:tcPr>
            <w:tcW w:w="4876" w:type="dxa"/>
          </w:tcPr>
          <w:p w:rsidR="00A2274C" w:rsidRPr="001F2E97" w:rsidRDefault="00A2274C" w:rsidP="00413B1F">
            <w:pPr>
              <w:pStyle w:val="Normal6"/>
            </w:pPr>
          </w:p>
        </w:tc>
        <w:tc>
          <w:tcPr>
            <w:tcW w:w="4876" w:type="dxa"/>
          </w:tcPr>
          <w:p w:rsidR="00A2274C" w:rsidRPr="001F2E97" w:rsidRDefault="00400F6B" w:rsidP="00413B1F">
            <w:pPr>
              <w:pStyle w:val="Normal6"/>
            </w:pPr>
            <w:r w:rsidRPr="001F2E97">
              <w:rPr>
                <w:b/>
                <w:i/>
              </w:rPr>
              <w:t xml:space="preserve">i) </w:t>
            </w:r>
            <w:r w:rsidRPr="001F2E97">
              <w:rPr>
                <w:b/>
                <w:i/>
              </w:rPr>
              <w:tab/>
            </w:r>
            <w:r w:rsidRPr="001F2E97">
              <w:t>sostanza o miscela che corrisponde ai criteri di classificazione come sostanza tossica per la riproduzione di categoria 1A o 1B di cui all'allegato I del regolamento (CE) n. 1272/2008;</w:t>
            </w:r>
          </w:p>
        </w:tc>
      </w:tr>
      <w:tr w:rsidR="001F2E97" w:rsidRPr="001F2E97" w:rsidTr="0052409B">
        <w:trPr>
          <w:jc w:val="center"/>
        </w:trPr>
        <w:tc>
          <w:tcPr>
            <w:tcW w:w="4876" w:type="dxa"/>
          </w:tcPr>
          <w:p w:rsidR="0052409B" w:rsidRPr="001F2E97" w:rsidRDefault="0052409B" w:rsidP="00413B1F">
            <w:pPr>
              <w:pStyle w:val="Normal6"/>
            </w:pPr>
          </w:p>
        </w:tc>
        <w:tc>
          <w:tcPr>
            <w:tcW w:w="4876" w:type="dxa"/>
          </w:tcPr>
          <w:p w:rsidR="0052409B" w:rsidRPr="001F2E97" w:rsidRDefault="00400F6B" w:rsidP="00413B1F">
            <w:pPr>
              <w:pStyle w:val="Normal6"/>
              <w:rPr>
                <w:szCs w:val="24"/>
              </w:rPr>
            </w:pPr>
            <w:r w:rsidRPr="001F2E97">
              <w:rPr>
                <w:b/>
                <w:i/>
              </w:rPr>
              <w:t xml:space="preserve">ii) </w:t>
            </w:r>
            <w:r w:rsidRPr="001F2E97">
              <w:rPr>
                <w:b/>
                <w:i/>
              </w:rPr>
              <w:tab/>
            </w:r>
            <w:r w:rsidRPr="001F2E97">
              <w:rPr>
                <w:b/>
                <w:i/>
              </w:rPr>
              <w:t>sostanza, miscela o procedimento menzionati all'allegato I della presente direttiva, nonché sostanza o miscela liberate nel corso di un processo e menzionate nello stesso allegato;"</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pPr>
        <w:pStyle w:val="JustificationTitle"/>
        <w:rPr>
          <w:noProof w:val="0"/>
        </w:rPr>
      </w:pPr>
      <w:r w:rsidRPr="001F2E97">
        <w:rPr>
          <w:rStyle w:val="HideTWBExt"/>
          <w:i w:val="0"/>
          <w:color w:val="auto"/>
        </w:rPr>
        <w:t>&lt;TitreJust&gt;</w:t>
      </w:r>
      <w:r w:rsidRPr="001F2E97">
        <w:t>Motivazione</w:t>
      </w:r>
      <w:r w:rsidRPr="001F2E97">
        <w:rPr>
          <w:rStyle w:val="HideTWBExt"/>
          <w:i w:val="0"/>
          <w:color w:val="auto"/>
        </w:rPr>
        <w:t>&lt;/TitreJust&gt;</w:t>
      </w:r>
    </w:p>
    <w:p w:rsidR="0052409B" w:rsidRPr="001F2E97" w:rsidRDefault="00400F6B" w:rsidP="0052409B">
      <w:pPr>
        <w:pStyle w:val="Normal12Italic"/>
        <w:rPr>
          <w:noProof w:val="0"/>
        </w:rPr>
      </w:pPr>
      <w:r w:rsidRPr="001F2E97">
        <w:t>L'allegato I riguarda tutte le sostanze pericolose disciplinate dalla presente direttiva, tra cui le "sostanze tossiche per la riproduzione".</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lastRenderedPageBreak/>
        <w:t>&lt;Amend&gt;</w:t>
      </w:r>
      <w:r w:rsidRPr="001F2E97">
        <w:t>Emendamento</w:t>
      </w:r>
      <w:r w:rsidRPr="001F2E97">
        <w:tab/>
      </w:r>
      <w:r w:rsidRPr="001F2E97">
        <w:tab/>
      </w:r>
      <w:r w:rsidRPr="001F2E97">
        <w:rPr>
          <w:rStyle w:val="HideTWBExt"/>
          <w:b w:val="0"/>
          <w:color w:val="auto"/>
        </w:rPr>
        <w:t>&lt;NumAm&gt;</w:t>
      </w:r>
      <w:r w:rsidRPr="001F2E97">
        <w:t>21</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Articolo 2 – co</w:t>
      </w:r>
      <w:r w:rsidRPr="001F2E97">
        <w:t>mma – 1 – punto 3 (nuovo)</w:t>
      </w:r>
      <w:r w:rsidRPr="001F2E97">
        <w:rPr>
          <w:rStyle w:val="HideTWBExt"/>
          <w:b w:val="0"/>
          <w:color w:val="auto"/>
        </w:rPr>
        <w:t>&lt;/Article&gt;</w:t>
      </w:r>
    </w:p>
    <w:p w:rsidR="0052409B" w:rsidRPr="001F2E97" w:rsidRDefault="00400F6B" w:rsidP="0052409B">
      <w:pPr>
        <w:keepNext/>
      </w:pPr>
      <w:r w:rsidRPr="001F2E97">
        <w:rPr>
          <w:rStyle w:val="HideTWBExt"/>
          <w:color w:val="auto"/>
        </w:rPr>
        <w:t>&lt;DocAmend2&gt;</w:t>
      </w:r>
      <w:r w:rsidRPr="001F2E97">
        <w:t>Direttiva 2004/37/CE</w:t>
      </w:r>
      <w:r w:rsidRPr="001F2E97">
        <w:rPr>
          <w:rStyle w:val="HideTWBExt"/>
          <w:color w:val="auto"/>
        </w:rPr>
        <w:t>&lt;/DocAmend2&gt;</w:t>
      </w:r>
    </w:p>
    <w:p w:rsidR="0052409B" w:rsidRPr="001F2E97" w:rsidRDefault="00400F6B" w:rsidP="0052409B">
      <w:r w:rsidRPr="001F2E97">
        <w:rPr>
          <w:rStyle w:val="HideTWBExt"/>
          <w:color w:val="auto"/>
        </w:rPr>
        <w:t>&lt;Article2&gt;</w:t>
      </w:r>
      <w:r w:rsidRPr="001F2E97">
        <w:t>Articolo 2 – lettera e bis (nuova)</w:t>
      </w:r>
      <w:r w:rsidRPr="001F2E97">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A2274C">
        <w:trPr>
          <w:jc w:val="center"/>
        </w:trPr>
        <w:tc>
          <w:tcPr>
            <w:tcW w:w="9752" w:type="dxa"/>
            <w:gridSpan w:val="2"/>
          </w:tcPr>
          <w:p w:rsidR="0052409B" w:rsidRPr="001F2E97" w:rsidRDefault="0052409B" w:rsidP="00413B1F">
            <w:pPr>
              <w:keepNext/>
            </w:pPr>
          </w:p>
        </w:tc>
      </w:tr>
      <w:tr w:rsidR="001F2E97" w:rsidRPr="001F2E97" w:rsidTr="00A2274C">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A2274C">
        <w:trPr>
          <w:jc w:val="center"/>
        </w:trPr>
        <w:tc>
          <w:tcPr>
            <w:tcW w:w="4876" w:type="dxa"/>
          </w:tcPr>
          <w:p w:rsidR="0052409B" w:rsidRPr="001F2E97" w:rsidRDefault="0052409B" w:rsidP="00413B1F">
            <w:pPr>
              <w:pStyle w:val="Normal6"/>
            </w:pPr>
          </w:p>
        </w:tc>
        <w:tc>
          <w:tcPr>
            <w:tcW w:w="4876" w:type="dxa"/>
          </w:tcPr>
          <w:p w:rsidR="0052409B" w:rsidRPr="001F2E97" w:rsidRDefault="00400F6B" w:rsidP="007C2624">
            <w:pPr>
              <w:pStyle w:val="Normal6"/>
              <w:rPr>
                <w:szCs w:val="24"/>
              </w:rPr>
            </w:pPr>
            <w:r w:rsidRPr="001F2E97">
              <w:rPr>
                <w:b/>
                <w:i/>
              </w:rPr>
              <w:t xml:space="preserve">3) </w:t>
            </w:r>
            <w:r w:rsidRPr="001F2E97">
              <w:rPr>
                <w:b/>
                <w:i/>
              </w:rPr>
              <w:tab/>
              <w:t>all'articolo 2, comma 1, è aggiunta la lettera seguente:</w:t>
            </w:r>
          </w:p>
        </w:tc>
      </w:tr>
      <w:tr w:rsidR="001F2E97" w:rsidRPr="001F2E97" w:rsidTr="00A2274C">
        <w:trPr>
          <w:jc w:val="center"/>
        </w:trPr>
        <w:tc>
          <w:tcPr>
            <w:tcW w:w="4876" w:type="dxa"/>
          </w:tcPr>
          <w:p w:rsidR="0052409B" w:rsidRPr="001F2E97" w:rsidRDefault="0052409B" w:rsidP="00413B1F">
            <w:pPr>
              <w:pStyle w:val="Normal6"/>
            </w:pPr>
          </w:p>
        </w:tc>
        <w:tc>
          <w:tcPr>
            <w:tcW w:w="4876" w:type="dxa"/>
          </w:tcPr>
          <w:p w:rsidR="0052409B" w:rsidRPr="001F2E97" w:rsidRDefault="00400F6B" w:rsidP="007C2624">
            <w:pPr>
              <w:pStyle w:val="Normal6"/>
              <w:rPr>
                <w:szCs w:val="24"/>
              </w:rPr>
            </w:pPr>
            <w:r w:rsidRPr="001F2E97">
              <w:rPr>
                <w:b/>
                <w:i/>
              </w:rPr>
              <w:t xml:space="preserve">"e bis) </w:t>
            </w:r>
            <w:r w:rsidRPr="001F2E97">
              <w:rPr>
                <w:b/>
                <w:i/>
              </w:rPr>
              <w:tab/>
            </w:r>
            <w:r w:rsidRPr="001F2E97">
              <w:rPr>
                <w:b/>
                <w:i/>
              </w:rPr>
              <w:t xml:space="preserve">"farmaci pericolosi": farmaci contenenti una o più sostanze che soddisfano i criteri di classificazione come cancerogene (categoria 1A o 1B), mutagene (categoria 1A o 1B) o tossiche per la riproduzione (categoria 1A o 1B) conformemente al regolamento (CE) </w:t>
            </w:r>
            <w:r w:rsidRPr="001F2E97">
              <w:rPr>
                <w:b/>
                <w:i/>
              </w:rPr>
              <w:t>n. 1272/2008."</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pPr>
        <w:pStyle w:val="JustificationTitle"/>
        <w:rPr>
          <w:noProof w:val="0"/>
        </w:rPr>
      </w:pPr>
      <w:r w:rsidRPr="001F2E97">
        <w:rPr>
          <w:rStyle w:val="HideTWBExt"/>
          <w:i w:val="0"/>
          <w:color w:val="auto"/>
        </w:rPr>
        <w:t>&lt;TitreJust&gt;</w:t>
      </w:r>
      <w:r w:rsidRPr="001F2E97">
        <w:t>Motivazione</w:t>
      </w:r>
      <w:r w:rsidRPr="001F2E97">
        <w:rPr>
          <w:rStyle w:val="HideTWBExt"/>
          <w:i w:val="0"/>
          <w:color w:val="auto"/>
        </w:rPr>
        <w:t>&lt;/TitreJust&gt;</w:t>
      </w:r>
    </w:p>
    <w:p w:rsidR="002F3C9D" w:rsidRPr="001F2E97" w:rsidRDefault="00400F6B" w:rsidP="002F3C9D">
      <w:pPr>
        <w:pStyle w:val="Normal12Italic"/>
        <w:rPr>
          <w:noProof w:val="0"/>
        </w:rPr>
      </w:pPr>
      <w:r w:rsidRPr="001F2E97">
        <w:t xml:space="preserve">La presente definizione è utilizzata negli "Orientamenti per la gestione sicura di farmaci pericolosi sul luogo di lavoro" della Commissione. Fonte: </w:t>
      </w:r>
      <w:hyperlink r:id="rId9" w:history="1">
        <w:r w:rsidRPr="001F2E97">
          <w:rPr>
            <w:rStyle w:val="Hyperlink"/>
            <w:color w:val="auto"/>
          </w:rPr>
          <w:t>https://ec.europa.eu/social/main.jsp?langId=en&amp;catId=89&amp;furtherNews=yes&amp;newsId=10564&amp;pk</w:t>
        </w:r>
        <w:r w:rsidRPr="001F2E97">
          <w:rPr>
            <w:rStyle w:val="Hyperlink"/>
            <w:color w:val="auto"/>
          </w:rPr>
          <w:t>_source=newsletter&amp;pk_medium=email&amp;pk_campaign=eu_social_newsletter</w:t>
        </w:r>
      </w:hyperlink>
    </w:p>
    <w:p w:rsidR="0052409B" w:rsidRPr="001F2E97" w:rsidRDefault="00400F6B" w:rsidP="002F3C9D">
      <w:pPr>
        <w:pStyle w:val="Normal12Italic"/>
      </w:pPr>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22</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Articolo 2 – comma – 1 – punto 4 (nuovo)</w:t>
      </w:r>
      <w:r w:rsidRPr="001F2E97">
        <w:rPr>
          <w:rStyle w:val="HideTWBExt"/>
          <w:b w:val="0"/>
          <w:color w:val="auto"/>
        </w:rPr>
        <w:t>&lt;/Article&gt;</w:t>
      </w:r>
    </w:p>
    <w:p w:rsidR="0052409B" w:rsidRPr="001F2E97" w:rsidRDefault="00400F6B" w:rsidP="0052409B">
      <w:pPr>
        <w:keepNext/>
      </w:pPr>
      <w:r w:rsidRPr="001F2E97">
        <w:rPr>
          <w:rStyle w:val="HideTWBExt"/>
          <w:color w:val="auto"/>
        </w:rPr>
        <w:t>&lt;DocAmend2&gt;</w:t>
      </w:r>
      <w:r w:rsidRPr="001F2E97">
        <w:t>Direttiva 2004/37/CE</w:t>
      </w:r>
      <w:r w:rsidRPr="001F2E97">
        <w:rPr>
          <w:rStyle w:val="HideTWBExt"/>
          <w:color w:val="auto"/>
        </w:rPr>
        <w:t>&lt;/DocAmend2&gt;</w:t>
      </w:r>
    </w:p>
    <w:p w:rsidR="0052409B" w:rsidRPr="001F2E97" w:rsidRDefault="00400F6B" w:rsidP="0052409B">
      <w:r w:rsidRPr="001F2E97">
        <w:rPr>
          <w:rStyle w:val="HideTWBExt"/>
          <w:color w:val="auto"/>
        </w:rPr>
        <w:t>&lt;Article2&gt;</w:t>
      </w:r>
      <w:r w:rsidRPr="001F2E97">
        <w:t>Articolo 5 – paragrafo 4 bis (nuovo)</w:t>
      </w:r>
      <w:r w:rsidRPr="001F2E97">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936AAC">
        <w:trPr>
          <w:jc w:val="center"/>
        </w:trPr>
        <w:tc>
          <w:tcPr>
            <w:tcW w:w="9752" w:type="dxa"/>
            <w:gridSpan w:val="2"/>
          </w:tcPr>
          <w:p w:rsidR="0052409B" w:rsidRPr="001F2E97" w:rsidRDefault="0052409B" w:rsidP="00413B1F">
            <w:pPr>
              <w:keepNext/>
            </w:pPr>
          </w:p>
        </w:tc>
      </w:tr>
      <w:tr w:rsidR="001F2E97" w:rsidRPr="001F2E97" w:rsidTr="00936AAC">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936AAC">
        <w:trPr>
          <w:jc w:val="center"/>
        </w:trPr>
        <w:tc>
          <w:tcPr>
            <w:tcW w:w="4876" w:type="dxa"/>
          </w:tcPr>
          <w:p w:rsidR="0052409B" w:rsidRPr="001F2E97" w:rsidRDefault="0052409B" w:rsidP="00413B1F">
            <w:pPr>
              <w:pStyle w:val="Normal6"/>
            </w:pPr>
          </w:p>
        </w:tc>
        <w:tc>
          <w:tcPr>
            <w:tcW w:w="4876" w:type="dxa"/>
          </w:tcPr>
          <w:p w:rsidR="0052409B" w:rsidRPr="001F2E97" w:rsidRDefault="00400F6B" w:rsidP="007C2624">
            <w:pPr>
              <w:pStyle w:val="Normal6"/>
              <w:rPr>
                <w:szCs w:val="24"/>
              </w:rPr>
            </w:pPr>
            <w:r w:rsidRPr="001F2E97">
              <w:rPr>
                <w:b/>
                <w:i/>
              </w:rPr>
              <w:t xml:space="preserve">4) </w:t>
            </w:r>
            <w:r w:rsidRPr="001F2E97">
              <w:rPr>
                <w:b/>
                <w:i/>
              </w:rPr>
              <w:tab/>
              <w:t>all'articolo 5 è inserito il seguente paragrafo 4 bis:</w:t>
            </w:r>
          </w:p>
        </w:tc>
      </w:tr>
      <w:tr w:rsidR="001F2E97" w:rsidRPr="001F2E97" w:rsidTr="00936AAC">
        <w:trPr>
          <w:jc w:val="center"/>
        </w:trPr>
        <w:tc>
          <w:tcPr>
            <w:tcW w:w="4876" w:type="dxa"/>
          </w:tcPr>
          <w:p w:rsidR="0052409B" w:rsidRPr="001F2E97" w:rsidRDefault="0052409B" w:rsidP="00413B1F">
            <w:pPr>
              <w:pStyle w:val="Normal6"/>
            </w:pPr>
          </w:p>
        </w:tc>
        <w:tc>
          <w:tcPr>
            <w:tcW w:w="4876" w:type="dxa"/>
          </w:tcPr>
          <w:p w:rsidR="0052409B" w:rsidRPr="001F2E97" w:rsidRDefault="00400F6B" w:rsidP="007C2624">
            <w:pPr>
              <w:pStyle w:val="Normal6"/>
              <w:rPr>
                <w:szCs w:val="24"/>
              </w:rPr>
            </w:pPr>
            <w:r w:rsidRPr="001F2E97">
              <w:rPr>
                <w:b/>
                <w:i/>
              </w:rPr>
              <w:t xml:space="preserve">"4 bis. </w:t>
            </w:r>
            <w:r w:rsidRPr="001F2E97">
              <w:rPr>
                <w:b/>
                <w:i/>
              </w:rPr>
              <w:tab/>
            </w:r>
            <w:r w:rsidRPr="001F2E97">
              <w:rPr>
                <w:b/>
                <w:i/>
              </w:rPr>
              <w:t xml:space="preserve">In caso di esposizione a una combinazione di sostanze che agiscono con la stessa modalità d'azione o sulla stessa cellula o tessuto bersaglio, l'applicazione dei possibili valori limite di tali sostanze è adattata per tenere conto degli effetti combinati, </w:t>
            </w:r>
            <w:r w:rsidRPr="001F2E97">
              <w:rPr>
                <w:b/>
                <w:i/>
              </w:rPr>
              <w:t xml:space="preserve">in conformità degli orientamenti dell'Unione da elaborare a </w:t>
            </w:r>
            <w:r w:rsidRPr="001F2E97">
              <w:rPr>
                <w:b/>
                <w:i/>
              </w:rPr>
              <w:lastRenderedPageBreak/>
              <w:t>norma dell'articolo 18 bis."</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pPr>
        <w:pStyle w:val="JustificationTitle"/>
        <w:rPr>
          <w:noProof w:val="0"/>
        </w:rPr>
      </w:pPr>
      <w:r w:rsidRPr="001F2E97">
        <w:rPr>
          <w:rStyle w:val="HideTWBExt"/>
          <w:i w:val="0"/>
          <w:color w:val="auto"/>
        </w:rPr>
        <w:t>&lt;TitreJust&gt;</w:t>
      </w:r>
      <w:r w:rsidRPr="001F2E97">
        <w:t>Motivazione</w:t>
      </w:r>
      <w:r w:rsidRPr="001F2E97">
        <w:rPr>
          <w:rStyle w:val="HideTWBExt"/>
          <w:i w:val="0"/>
          <w:color w:val="auto"/>
        </w:rPr>
        <w:t>&lt;/TitreJust&gt;</w:t>
      </w:r>
    </w:p>
    <w:p w:rsidR="0052409B" w:rsidRPr="001F2E97" w:rsidRDefault="00400F6B" w:rsidP="0052409B">
      <w:pPr>
        <w:pStyle w:val="Normal12Italic"/>
        <w:rPr>
          <w:noProof w:val="0"/>
        </w:rPr>
      </w:pPr>
      <w:r w:rsidRPr="001F2E97">
        <w:t xml:space="preserve">Il presente emendamento era stato presentato nella relazione del Parlamento europeo sulla proposta </w:t>
      </w:r>
      <w:r w:rsidRPr="001F2E97">
        <w:t>di direttiva del Parlamento europeo e del Consiglio che modifica la direttiva 2004/37/CE sulla protezione dei lavoratori contro i rischi derivanti da un'esposizione ad agenti cancerogeni o mutageni durante il lavoro del 7 aprile 2021 (CMD4). Fonte: https:/</w:t>
      </w:r>
      <w:r w:rsidRPr="001F2E97">
        <w:t>/www.europarl.europa.eu/doceo/document/A-9-2021-0114_IT.pdf</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23</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Articolo 2 – comma – 1 – punto 5 (nuovo)</w:t>
      </w:r>
      <w:r w:rsidRPr="001F2E97">
        <w:rPr>
          <w:rStyle w:val="HideTWBExt"/>
          <w:b w:val="0"/>
          <w:color w:val="auto"/>
        </w:rPr>
        <w:t>&lt;/Article&gt;</w:t>
      </w:r>
    </w:p>
    <w:p w:rsidR="0052409B" w:rsidRPr="001F2E97" w:rsidRDefault="00400F6B" w:rsidP="0052409B">
      <w:pPr>
        <w:keepNext/>
      </w:pPr>
      <w:r w:rsidRPr="001F2E97">
        <w:rPr>
          <w:rStyle w:val="HideTWBExt"/>
          <w:color w:val="auto"/>
        </w:rPr>
        <w:t>&lt;DocAmend2&gt;</w:t>
      </w:r>
      <w:r w:rsidRPr="001F2E97">
        <w:t>Direttiva 2004/37/CE</w:t>
      </w:r>
      <w:r w:rsidRPr="001F2E97">
        <w:rPr>
          <w:rStyle w:val="HideTWBExt"/>
          <w:color w:val="auto"/>
        </w:rPr>
        <w:t>&lt;/DocAmend2&gt;</w:t>
      </w:r>
    </w:p>
    <w:p w:rsidR="0052409B" w:rsidRPr="001F2E97" w:rsidRDefault="00400F6B" w:rsidP="0052409B">
      <w:r w:rsidRPr="001F2E97">
        <w:rPr>
          <w:rStyle w:val="HideTWBExt"/>
          <w:color w:val="auto"/>
        </w:rPr>
        <w:t>&lt;A</w:t>
      </w:r>
      <w:r w:rsidRPr="001F2E97">
        <w:rPr>
          <w:rStyle w:val="HideTWBExt"/>
          <w:color w:val="auto"/>
        </w:rPr>
        <w:t>rticle2&gt;</w:t>
      </w:r>
      <w:r w:rsidRPr="001F2E97">
        <w:t>Articolo 5 – paragrafo 5 bis (nuovo)</w:t>
      </w:r>
      <w:r w:rsidRPr="001F2E97">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936AAC">
        <w:trPr>
          <w:jc w:val="center"/>
        </w:trPr>
        <w:tc>
          <w:tcPr>
            <w:tcW w:w="9752" w:type="dxa"/>
            <w:gridSpan w:val="2"/>
          </w:tcPr>
          <w:p w:rsidR="0052409B" w:rsidRPr="001F2E97" w:rsidRDefault="0052409B" w:rsidP="00413B1F">
            <w:pPr>
              <w:keepNext/>
            </w:pPr>
          </w:p>
        </w:tc>
      </w:tr>
      <w:tr w:rsidR="001F2E97" w:rsidRPr="001F2E97" w:rsidTr="00936AAC">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936AAC">
        <w:trPr>
          <w:jc w:val="center"/>
        </w:trPr>
        <w:tc>
          <w:tcPr>
            <w:tcW w:w="4876" w:type="dxa"/>
          </w:tcPr>
          <w:p w:rsidR="00936AAC" w:rsidRPr="001F2E97" w:rsidRDefault="00936AAC" w:rsidP="00936AAC">
            <w:pPr>
              <w:pStyle w:val="Normal6"/>
            </w:pPr>
          </w:p>
        </w:tc>
        <w:tc>
          <w:tcPr>
            <w:tcW w:w="4876" w:type="dxa"/>
          </w:tcPr>
          <w:p w:rsidR="00936AAC" w:rsidRPr="001F2E97" w:rsidRDefault="00400F6B" w:rsidP="00947DEB">
            <w:pPr>
              <w:pStyle w:val="Normal6"/>
              <w:rPr>
                <w:szCs w:val="24"/>
              </w:rPr>
            </w:pPr>
            <w:r w:rsidRPr="001F2E97">
              <w:rPr>
                <w:b/>
                <w:i/>
              </w:rPr>
              <w:t xml:space="preserve">5) </w:t>
            </w:r>
            <w:r w:rsidRPr="001F2E97">
              <w:rPr>
                <w:b/>
                <w:i/>
              </w:rPr>
              <w:tab/>
              <w:t>all'articolo 5, è aggiunto il paragrafo seguente:</w:t>
            </w:r>
          </w:p>
        </w:tc>
      </w:tr>
      <w:tr w:rsidR="001F2E97" w:rsidRPr="001F2E97" w:rsidTr="00936AAC">
        <w:trPr>
          <w:jc w:val="center"/>
        </w:trPr>
        <w:tc>
          <w:tcPr>
            <w:tcW w:w="4876" w:type="dxa"/>
          </w:tcPr>
          <w:p w:rsidR="00936AAC" w:rsidRPr="001F2E97" w:rsidRDefault="00936AAC" w:rsidP="00936AAC">
            <w:pPr>
              <w:pStyle w:val="Normal6"/>
            </w:pPr>
          </w:p>
        </w:tc>
        <w:tc>
          <w:tcPr>
            <w:tcW w:w="4876" w:type="dxa"/>
          </w:tcPr>
          <w:p w:rsidR="00936AAC" w:rsidRPr="001F2E97" w:rsidRDefault="00400F6B" w:rsidP="007C2624">
            <w:pPr>
              <w:pStyle w:val="Normal6"/>
              <w:rPr>
                <w:szCs w:val="24"/>
              </w:rPr>
            </w:pPr>
            <w:r w:rsidRPr="001F2E97">
              <w:rPr>
                <w:b/>
                <w:i/>
              </w:rPr>
              <w:t xml:space="preserve">"5 bis. </w:t>
            </w:r>
            <w:r w:rsidRPr="001F2E97">
              <w:rPr>
                <w:b/>
                <w:i/>
              </w:rPr>
              <w:tab/>
            </w:r>
            <w:r w:rsidRPr="001F2E97">
              <w:rPr>
                <w:b/>
                <w:i/>
              </w:rPr>
              <w:t>I livelli biologici non devono superare il valore limite biologico dell'agente cancerogeno, mutageno o della sostanza tossica per la riproduzione stabilito all'allegato III bis."</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24</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Articolo 2 – comma – 1 – punto 6 (nuovo)</w:t>
      </w:r>
      <w:r w:rsidRPr="001F2E97">
        <w:rPr>
          <w:rStyle w:val="HideTWBExt"/>
          <w:b w:val="0"/>
          <w:color w:val="auto"/>
        </w:rPr>
        <w:t>&lt;/Article&gt;</w:t>
      </w:r>
    </w:p>
    <w:p w:rsidR="0052409B" w:rsidRPr="001F2E97" w:rsidRDefault="00400F6B" w:rsidP="0052409B">
      <w:pPr>
        <w:keepNext/>
      </w:pPr>
      <w:r w:rsidRPr="001F2E97">
        <w:rPr>
          <w:rStyle w:val="HideTWBExt"/>
          <w:color w:val="auto"/>
        </w:rPr>
        <w:t>&lt;DocAmend2&gt;</w:t>
      </w:r>
      <w:r w:rsidRPr="001F2E97">
        <w:t>Direttiva 2004/37/CE</w:t>
      </w:r>
      <w:r w:rsidRPr="001F2E97">
        <w:rPr>
          <w:rStyle w:val="HideTWBExt"/>
          <w:color w:val="auto"/>
        </w:rPr>
        <w:t>&lt;/DocAmend2&gt;</w:t>
      </w:r>
    </w:p>
    <w:p w:rsidR="0052409B" w:rsidRPr="001F2E97" w:rsidRDefault="00400F6B" w:rsidP="0052409B">
      <w:r w:rsidRPr="001F2E97">
        <w:rPr>
          <w:rStyle w:val="HideTWBExt"/>
          <w:color w:val="auto"/>
        </w:rPr>
        <w:t>&lt;Article2&gt;</w:t>
      </w:r>
      <w:r w:rsidRPr="001F2E97">
        <w:t>Articolo 18 bis – comma 7 bis (nuovo)</w:t>
      </w:r>
      <w:r w:rsidRPr="001F2E97">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7F6F4F">
        <w:trPr>
          <w:jc w:val="center"/>
        </w:trPr>
        <w:tc>
          <w:tcPr>
            <w:tcW w:w="9752" w:type="dxa"/>
            <w:gridSpan w:val="2"/>
          </w:tcPr>
          <w:p w:rsidR="0052409B" w:rsidRPr="001F2E97" w:rsidRDefault="0052409B" w:rsidP="00413B1F">
            <w:pPr>
              <w:keepNext/>
            </w:pPr>
          </w:p>
        </w:tc>
      </w:tr>
      <w:tr w:rsidR="001F2E97" w:rsidRPr="001F2E97" w:rsidTr="007F6F4F">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7F6F4F">
        <w:trPr>
          <w:jc w:val="center"/>
        </w:trPr>
        <w:tc>
          <w:tcPr>
            <w:tcW w:w="4876" w:type="dxa"/>
          </w:tcPr>
          <w:p w:rsidR="007F6F4F" w:rsidRPr="001F2E97" w:rsidRDefault="007F6F4F" w:rsidP="007F6F4F">
            <w:pPr>
              <w:pStyle w:val="Normal6"/>
            </w:pPr>
          </w:p>
        </w:tc>
        <w:tc>
          <w:tcPr>
            <w:tcW w:w="4876" w:type="dxa"/>
          </w:tcPr>
          <w:p w:rsidR="007F6F4F" w:rsidRPr="001F2E97" w:rsidRDefault="00400F6B" w:rsidP="007F6F4F">
            <w:pPr>
              <w:pStyle w:val="Normal6"/>
              <w:rPr>
                <w:szCs w:val="24"/>
              </w:rPr>
            </w:pPr>
            <w:r w:rsidRPr="001F2E97">
              <w:rPr>
                <w:b/>
                <w:i/>
              </w:rPr>
              <w:t xml:space="preserve">6) </w:t>
            </w:r>
            <w:r w:rsidRPr="001F2E97">
              <w:rPr>
                <w:b/>
                <w:i/>
              </w:rPr>
              <w:tab/>
              <w:t>all'articolo 18 bis è aggiunto il comma seguente:</w:t>
            </w:r>
          </w:p>
        </w:tc>
      </w:tr>
      <w:tr w:rsidR="001F2E97" w:rsidRPr="001F2E97" w:rsidTr="007F6F4F">
        <w:trPr>
          <w:jc w:val="center"/>
        </w:trPr>
        <w:tc>
          <w:tcPr>
            <w:tcW w:w="4876" w:type="dxa"/>
          </w:tcPr>
          <w:p w:rsidR="007F6F4F" w:rsidRPr="001F2E97" w:rsidRDefault="007F6F4F" w:rsidP="007F6F4F">
            <w:pPr>
              <w:pStyle w:val="Normal6"/>
            </w:pPr>
          </w:p>
        </w:tc>
        <w:tc>
          <w:tcPr>
            <w:tcW w:w="4876" w:type="dxa"/>
          </w:tcPr>
          <w:p w:rsidR="007F6F4F" w:rsidRPr="001F2E97" w:rsidRDefault="00400F6B" w:rsidP="007C2624">
            <w:pPr>
              <w:pStyle w:val="Normal6"/>
              <w:rPr>
                <w:szCs w:val="24"/>
              </w:rPr>
            </w:pPr>
            <w:r w:rsidRPr="001F2E97">
              <w:rPr>
                <w:b/>
                <w:i/>
              </w:rPr>
              <w:t xml:space="preserve">"Entro... </w:t>
            </w:r>
            <w:r w:rsidRPr="001F2E97">
              <w:rPr>
                <w:b/>
                <w:i/>
              </w:rPr>
              <w:t xml:space="preserve">[un anno dalla data di entrata in vigore della presente direttiva modificativa], la Commissione, tenendo conto degli ultimi sviluppi nelle conoscenze scientifiche e del parere del comitato per la valutazione dei rischi </w:t>
            </w:r>
            <w:r w:rsidRPr="001F2E97">
              <w:rPr>
                <w:b/>
                <w:i/>
              </w:rPr>
              <w:lastRenderedPageBreak/>
              <w:t xml:space="preserve">dell'Agenzia europea per le sostanze </w:t>
            </w:r>
            <w:r w:rsidRPr="001F2E97">
              <w:rPr>
                <w:b/>
                <w:i/>
              </w:rPr>
              <w:t>chimiche istituito dal regolamento (CE) n. 1907/2006, e previa adeguata consultazione dei portatori di interessi pertinenti, elabora orientamenti dell'Unione sulle modalità di adattamento dell'attuazione dei valori limite di cui all'articolo 5, paragrafo 4</w:t>
            </w:r>
            <w:r w:rsidRPr="001F2E97">
              <w:rPr>
                <w:b/>
                <w:i/>
              </w:rPr>
              <w:t>, e all'articolo 5, paragrafo 4 ter, in caso di esposizione a una combinazione di sostanze. Tali orientamenti sono pubblicati sul sito web dell'EU-OSHA e diffusi in tutti gli Stati membri dalle autorità competenti interessate."</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w:t>
      </w:r>
      <w:r w:rsidRPr="001F2E97">
        <w:rPr>
          <w:rStyle w:val="HideTWBExt"/>
          <w:color w:val="auto"/>
        </w:rPr>
        <w:t>nal&gt;</w:t>
      </w:r>
    </w:p>
    <w:p w:rsidR="0052409B" w:rsidRPr="001F2E97" w:rsidRDefault="00400F6B" w:rsidP="0052409B">
      <w:pPr>
        <w:pStyle w:val="JustificationTitle"/>
        <w:rPr>
          <w:noProof w:val="0"/>
        </w:rPr>
      </w:pPr>
      <w:r w:rsidRPr="001F2E97">
        <w:rPr>
          <w:rStyle w:val="HideTWBExt"/>
          <w:i w:val="0"/>
          <w:color w:val="auto"/>
        </w:rPr>
        <w:t>&lt;TitreJust&gt;</w:t>
      </w:r>
      <w:r w:rsidRPr="001F2E97">
        <w:t>Motivazione</w:t>
      </w:r>
      <w:r w:rsidRPr="001F2E97">
        <w:rPr>
          <w:rStyle w:val="HideTWBExt"/>
          <w:i w:val="0"/>
          <w:color w:val="auto"/>
        </w:rPr>
        <w:t>&lt;/TitreJust&gt;</w:t>
      </w:r>
    </w:p>
    <w:p w:rsidR="0052409B" w:rsidRPr="001F2E97" w:rsidRDefault="00400F6B" w:rsidP="0052409B">
      <w:pPr>
        <w:pStyle w:val="Normal12Italic"/>
        <w:rPr>
          <w:noProof w:val="0"/>
        </w:rPr>
      </w:pPr>
      <w:r w:rsidRPr="001F2E97">
        <w:t>Il presente emendamento era stato presentato nella relazione del Parlamento europeo sulla proposta di direttiva del Parlamento europeo e del Consiglio che modifica la direttiva 2004/37/CE sulla protezione dei lavorat</w:t>
      </w:r>
      <w:r w:rsidRPr="001F2E97">
        <w:t>ori contro i rischi derivanti da un'esposizione ad agenti cancerogeni o mutageni durante il lavoro del 7 aprile 2021 (CMD4). Fonte: https://www.europarl.europa.eu/doceo/document/A-9-2021-0114_IT.pdf</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25</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Articolo 2 – comma – 1 – punto 7 (nuovo)</w:t>
      </w:r>
      <w:r w:rsidRPr="001F2E97">
        <w:rPr>
          <w:rStyle w:val="HideTWBExt"/>
          <w:b w:val="0"/>
          <w:color w:val="auto"/>
        </w:rPr>
        <w:t>&lt;/Article&gt;</w:t>
      </w:r>
    </w:p>
    <w:p w:rsidR="0052409B" w:rsidRPr="001F2E97" w:rsidRDefault="00400F6B" w:rsidP="0052409B">
      <w:pPr>
        <w:keepNext/>
      </w:pPr>
      <w:r w:rsidRPr="001F2E97">
        <w:rPr>
          <w:rStyle w:val="HideTWBExt"/>
          <w:color w:val="auto"/>
        </w:rPr>
        <w:t>&lt;DocAmend2&gt;</w:t>
      </w:r>
      <w:r w:rsidRPr="001F2E97">
        <w:t>Direttiva 2004/37/CE</w:t>
      </w:r>
      <w:r w:rsidRPr="001F2E97">
        <w:rPr>
          <w:rStyle w:val="HideTWBExt"/>
          <w:color w:val="auto"/>
        </w:rPr>
        <w:t>&lt;/DocAmend2&gt;</w:t>
      </w:r>
    </w:p>
    <w:p w:rsidR="0052409B" w:rsidRPr="001F2E97" w:rsidRDefault="00400F6B" w:rsidP="0052409B">
      <w:r w:rsidRPr="001F2E97">
        <w:rPr>
          <w:rStyle w:val="HideTWBExt"/>
          <w:color w:val="auto"/>
        </w:rPr>
        <w:t>&lt;Article2&gt;</w:t>
      </w:r>
      <w:r w:rsidRPr="001F2E97">
        <w:t>Articolo 18 bis – comma 7 ter (nuovo)</w:t>
      </w:r>
      <w:r w:rsidRPr="001F2E97">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2732A8">
        <w:trPr>
          <w:jc w:val="center"/>
        </w:trPr>
        <w:tc>
          <w:tcPr>
            <w:tcW w:w="9752" w:type="dxa"/>
            <w:gridSpan w:val="2"/>
          </w:tcPr>
          <w:p w:rsidR="0052409B" w:rsidRPr="001F2E97" w:rsidRDefault="0052409B" w:rsidP="00413B1F">
            <w:pPr>
              <w:keepNext/>
            </w:pPr>
          </w:p>
        </w:tc>
      </w:tr>
      <w:tr w:rsidR="001F2E97" w:rsidRPr="001F2E97" w:rsidTr="002732A8">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2732A8">
        <w:trPr>
          <w:jc w:val="center"/>
        </w:trPr>
        <w:tc>
          <w:tcPr>
            <w:tcW w:w="4876" w:type="dxa"/>
          </w:tcPr>
          <w:p w:rsidR="002732A8" w:rsidRPr="001F2E97" w:rsidRDefault="002732A8" w:rsidP="002732A8">
            <w:pPr>
              <w:pStyle w:val="Normal6"/>
            </w:pPr>
          </w:p>
        </w:tc>
        <w:tc>
          <w:tcPr>
            <w:tcW w:w="4876" w:type="dxa"/>
          </w:tcPr>
          <w:p w:rsidR="002732A8" w:rsidRPr="001F2E97" w:rsidRDefault="00400F6B" w:rsidP="002732A8">
            <w:pPr>
              <w:pStyle w:val="Normal6"/>
              <w:rPr>
                <w:szCs w:val="24"/>
              </w:rPr>
            </w:pPr>
            <w:r w:rsidRPr="001F2E97">
              <w:rPr>
                <w:b/>
                <w:i/>
              </w:rPr>
              <w:t xml:space="preserve">7) </w:t>
            </w:r>
            <w:r w:rsidRPr="001F2E97">
              <w:rPr>
                <w:b/>
                <w:i/>
              </w:rPr>
              <w:tab/>
            </w:r>
            <w:r w:rsidRPr="001F2E97">
              <w:rPr>
                <w:b/>
                <w:i/>
              </w:rPr>
              <w:t>all'articolo 18 bis è aggiunto il comma seguente:</w:t>
            </w:r>
          </w:p>
        </w:tc>
      </w:tr>
      <w:tr w:rsidR="001F2E97" w:rsidRPr="001F2E97" w:rsidTr="002732A8">
        <w:trPr>
          <w:jc w:val="center"/>
        </w:trPr>
        <w:tc>
          <w:tcPr>
            <w:tcW w:w="4876" w:type="dxa"/>
          </w:tcPr>
          <w:p w:rsidR="002732A8" w:rsidRPr="001F2E97" w:rsidRDefault="002732A8" w:rsidP="002732A8">
            <w:pPr>
              <w:pStyle w:val="Normal6"/>
            </w:pPr>
          </w:p>
        </w:tc>
        <w:tc>
          <w:tcPr>
            <w:tcW w:w="4876" w:type="dxa"/>
          </w:tcPr>
          <w:p w:rsidR="002732A8" w:rsidRPr="001F2E97" w:rsidRDefault="00400F6B" w:rsidP="00CA1930">
            <w:pPr>
              <w:pStyle w:val="Normal6"/>
              <w:rPr>
                <w:szCs w:val="24"/>
              </w:rPr>
            </w:pPr>
            <w:r w:rsidRPr="001F2E97">
              <w:rPr>
                <w:b/>
                <w:i/>
              </w:rPr>
              <w:t>"Entro... [x mesi dalla data di entrata in vigore della presente direttiva modificativa], la Commissione riesamina l'attuazione della presente direttiva. Nell'ambito di tale riesame, essa valuta se è appr</w:t>
            </w:r>
            <w:r w:rsidRPr="001F2E97">
              <w:rPr>
                <w:b/>
                <w:i/>
              </w:rPr>
              <w:t>opriato apportare ulteriori modifiche alla presente direttiva, valuta la fattibilità di includere gli interferenti endocrini nell'ambito di applicazione della presente direttiva e, se del caso, presenta una proposta legislativa."</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w:t>
      </w:r>
      <w:r w:rsidRPr="001F2E97">
        <w:rPr>
          <w:rStyle w:val="HideTWBExt"/>
          <w:color w:val="auto"/>
        </w:rPr>
        <w:t>ginal&gt;</w:t>
      </w:r>
    </w:p>
    <w:p w:rsidR="0052409B" w:rsidRPr="001F2E97" w:rsidRDefault="00400F6B" w:rsidP="0052409B">
      <w:r w:rsidRPr="001F2E97">
        <w:rPr>
          <w:rStyle w:val="HideTWBExt"/>
          <w:color w:val="auto"/>
        </w:rPr>
        <w:lastRenderedPageBreak/>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26</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Articolo 2 – comma – 1 – punto 8 (nuovo)</w:t>
      </w:r>
      <w:r w:rsidRPr="001F2E97">
        <w:rPr>
          <w:rStyle w:val="HideTWBExt"/>
          <w:b w:val="0"/>
          <w:color w:val="auto"/>
        </w:rPr>
        <w:t>&lt;/Article&gt;</w:t>
      </w:r>
    </w:p>
    <w:p w:rsidR="0052409B" w:rsidRPr="001F2E97" w:rsidRDefault="00400F6B" w:rsidP="0052409B">
      <w:pPr>
        <w:keepNext/>
      </w:pPr>
      <w:r w:rsidRPr="001F2E97">
        <w:rPr>
          <w:rStyle w:val="HideTWBExt"/>
          <w:color w:val="auto"/>
        </w:rPr>
        <w:t>&lt;DocAmend2&gt;</w:t>
      </w:r>
      <w:r w:rsidRPr="001F2E97">
        <w:t>Direttiva 2004/37/CE</w:t>
      </w:r>
      <w:r w:rsidRPr="001F2E97">
        <w:rPr>
          <w:rStyle w:val="HideTWBExt"/>
          <w:color w:val="auto"/>
        </w:rPr>
        <w:t>&lt;/DocAmend2&gt;</w:t>
      </w:r>
    </w:p>
    <w:p w:rsidR="0052409B" w:rsidRPr="001F2E97" w:rsidRDefault="00400F6B" w:rsidP="0052409B">
      <w:r w:rsidRPr="001F2E97">
        <w:rPr>
          <w:rStyle w:val="HideTWBExt"/>
          <w:color w:val="auto"/>
        </w:rPr>
        <w:t>&lt;Article2&gt;</w:t>
      </w:r>
      <w:r w:rsidRPr="001F2E97">
        <w:t>Articolo 18 bis – comma 7 quater (nuovo)</w:t>
      </w:r>
      <w:r w:rsidRPr="001F2E97">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873F1C">
        <w:trPr>
          <w:jc w:val="center"/>
        </w:trPr>
        <w:tc>
          <w:tcPr>
            <w:tcW w:w="9752" w:type="dxa"/>
            <w:gridSpan w:val="2"/>
          </w:tcPr>
          <w:p w:rsidR="0052409B" w:rsidRPr="001F2E97" w:rsidRDefault="0052409B" w:rsidP="00413B1F">
            <w:pPr>
              <w:keepNext/>
            </w:pPr>
          </w:p>
        </w:tc>
      </w:tr>
      <w:tr w:rsidR="001F2E97" w:rsidRPr="001F2E97" w:rsidTr="00873F1C">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873F1C">
        <w:trPr>
          <w:jc w:val="center"/>
        </w:trPr>
        <w:tc>
          <w:tcPr>
            <w:tcW w:w="4876" w:type="dxa"/>
          </w:tcPr>
          <w:p w:rsidR="002732A8" w:rsidRPr="001F2E97" w:rsidRDefault="002732A8" w:rsidP="002732A8">
            <w:pPr>
              <w:pStyle w:val="Normal6"/>
            </w:pPr>
          </w:p>
        </w:tc>
        <w:tc>
          <w:tcPr>
            <w:tcW w:w="4876" w:type="dxa"/>
          </w:tcPr>
          <w:p w:rsidR="002732A8" w:rsidRPr="001F2E97" w:rsidRDefault="00400F6B" w:rsidP="002732A8">
            <w:pPr>
              <w:pStyle w:val="Normal6"/>
              <w:rPr>
                <w:szCs w:val="24"/>
              </w:rPr>
            </w:pPr>
            <w:r w:rsidRPr="001F2E97">
              <w:rPr>
                <w:b/>
                <w:i/>
              </w:rPr>
              <w:t xml:space="preserve">8) </w:t>
            </w:r>
            <w:r w:rsidRPr="001F2E97">
              <w:rPr>
                <w:b/>
                <w:i/>
              </w:rPr>
              <w:tab/>
              <w:t>all'articolo 18 bis è aggiunto il comma seguente:</w:t>
            </w:r>
          </w:p>
        </w:tc>
      </w:tr>
      <w:tr w:rsidR="001F2E97" w:rsidRPr="001F2E97" w:rsidTr="00873F1C">
        <w:trPr>
          <w:jc w:val="center"/>
        </w:trPr>
        <w:tc>
          <w:tcPr>
            <w:tcW w:w="4876" w:type="dxa"/>
          </w:tcPr>
          <w:p w:rsidR="002732A8" w:rsidRPr="001F2E97" w:rsidRDefault="002732A8" w:rsidP="002732A8">
            <w:pPr>
              <w:pStyle w:val="Normal6"/>
            </w:pPr>
          </w:p>
        </w:tc>
        <w:tc>
          <w:tcPr>
            <w:tcW w:w="4876" w:type="dxa"/>
          </w:tcPr>
          <w:p w:rsidR="002732A8" w:rsidRPr="001F2E97" w:rsidRDefault="00400F6B" w:rsidP="00225D5A">
            <w:pPr>
              <w:pStyle w:val="Normal6"/>
              <w:rPr>
                <w:b/>
                <w:i/>
              </w:rPr>
            </w:pPr>
            <w:r w:rsidRPr="001F2E97">
              <w:rPr>
                <w:b/>
                <w:i/>
              </w:rPr>
              <w:t xml:space="preserve">"Entro... </w:t>
            </w:r>
            <w:r w:rsidRPr="001F2E97">
              <w:rPr>
                <w:b/>
                <w:i/>
              </w:rPr>
              <w:t>[12 mesi dalla data di entrata in vigore della presente direttiva modificativa], la Commissione elabora una definizione di "professioni cancerogene" previa consultazione del CCSS. Un elenco non esaustivo di tali professioni è allegato alla presente diretti</w:t>
            </w:r>
            <w:r w:rsidRPr="001F2E97">
              <w:rPr>
                <w:b/>
                <w:i/>
              </w:rPr>
              <w:t>va."</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52409B" w:rsidRPr="001F2E97" w:rsidRDefault="00400F6B" w:rsidP="0052409B">
      <w:r w:rsidRPr="001F2E97">
        <w:rPr>
          <w:rStyle w:val="HideTWBExt"/>
          <w:color w:val="auto"/>
        </w:rPr>
        <w:t>&lt;/Amend&gt;</w:t>
      </w:r>
    </w:p>
    <w:p w:rsidR="0052409B" w:rsidRPr="001F2E97" w:rsidRDefault="00400F6B" w:rsidP="0052409B">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27</w:t>
      </w:r>
      <w:r w:rsidRPr="001F2E97">
        <w:rPr>
          <w:rStyle w:val="HideTWBExt"/>
          <w:b w:val="0"/>
          <w:color w:val="auto"/>
        </w:rPr>
        <w:t>&lt;/NumAm&gt;</w:t>
      </w:r>
    </w:p>
    <w:p w:rsidR="0052409B" w:rsidRPr="001F2E97" w:rsidRDefault="00400F6B" w:rsidP="005240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52409B" w:rsidRPr="001F2E97" w:rsidRDefault="00400F6B" w:rsidP="0052409B">
      <w:pPr>
        <w:pStyle w:val="NormalBold"/>
      </w:pPr>
      <w:r w:rsidRPr="001F2E97">
        <w:rPr>
          <w:rStyle w:val="HideTWBExt"/>
          <w:b w:val="0"/>
          <w:color w:val="auto"/>
        </w:rPr>
        <w:t>&lt;Article&gt;</w:t>
      </w:r>
      <w:r w:rsidRPr="001F2E97">
        <w:t>Articolo 2 – comma – 1 – punto 9 (nuovo)</w:t>
      </w:r>
      <w:r w:rsidRPr="001F2E97">
        <w:rPr>
          <w:rStyle w:val="HideTWBExt"/>
          <w:b w:val="0"/>
          <w:color w:val="auto"/>
        </w:rPr>
        <w:t>&lt;/Article&gt;</w:t>
      </w:r>
    </w:p>
    <w:p w:rsidR="0052409B" w:rsidRPr="001F2E97" w:rsidRDefault="00400F6B" w:rsidP="0052409B">
      <w:pPr>
        <w:keepNext/>
      </w:pPr>
      <w:r w:rsidRPr="001F2E97">
        <w:rPr>
          <w:rStyle w:val="HideTWBExt"/>
          <w:color w:val="auto"/>
        </w:rPr>
        <w:t>&lt;DocAmend2&gt;</w:t>
      </w:r>
      <w:r w:rsidRPr="001F2E97">
        <w:t>Direttiva 2004/37/CE</w:t>
      </w:r>
      <w:r w:rsidRPr="001F2E97">
        <w:rPr>
          <w:rStyle w:val="HideTWBExt"/>
          <w:color w:val="auto"/>
        </w:rPr>
        <w:t>&lt;/DocAmend2&gt;</w:t>
      </w:r>
    </w:p>
    <w:p w:rsidR="0052409B" w:rsidRPr="001F2E97" w:rsidRDefault="00400F6B" w:rsidP="0052409B">
      <w:r w:rsidRPr="001F2E97">
        <w:rPr>
          <w:rStyle w:val="HideTWBExt"/>
          <w:color w:val="auto"/>
        </w:rPr>
        <w:t>&lt;Article2&gt;</w:t>
      </w:r>
      <w:r w:rsidRPr="001F2E97">
        <w:t>Articolo 18 bi</w:t>
      </w:r>
      <w:r w:rsidRPr="001F2E97">
        <w:t>s – comma 7 quinquies (nuovo)</w:t>
      </w:r>
      <w:r w:rsidRPr="001F2E97">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2732A8">
        <w:trPr>
          <w:jc w:val="center"/>
        </w:trPr>
        <w:tc>
          <w:tcPr>
            <w:tcW w:w="9752" w:type="dxa"/>
            <w:gridSpan w:val="2"/>
          </w:tcPr>
          <w:p w:rsidR="0052409B" w:rsidRPr="001F2E97" w:rsidRDefault="0052409B" w:rsidP="00413B1F">
            <w:pPr>
              <w:keepNext/>
            </w:pPr>
          </w:p>
        </w:tc>
      </w:tr>
      <w:tr w:rsidR="001F2E97" w:rsidRPr="001F2E97" w:rsidTr="002732A8">
        <w:trPr>
          <w:jc w:val="center"/>
        </w:trPr>
        <w:tc>
          <w:tcPr>
            <w:tcW w:w="4876" w:type="dxa"/>
          </w:tcPr>
          <w:p w:rsidR="0052409B" w:rsidRPr="001F2E97" w:rsidRDefault="00400F6B" w:rsidP="00413B1F">
            <w:pPr>
              <w:pStyle w:val="ColumnHeading"/>
              <w:keepNext/>
            </w:pPr>
            <w:r w:rsidRPr="001F2E97">
              <w:t>Testo della Commissione</w:t>
            </w:r>
          </w:p>
        </w:tc>
        <w:tc>
          <w:tcPr>
            <w:tcW w:w="4876" w:type="dxa"/>
          </w:tcPr>
          <w:p w:rsidR="0052409B" w:rsidRPr="001F2E97" w:rsidRDefault="00400F6B" w:rsidP="00413B1F">
            <w:pPr>
              <w:pStyle w:val="ColumnHeading"/>
              <w:keepNext/>
            </w:pPr>
            <w:r w:rsidRPr="001F2E97">
              <w:t>Emendamento</w:t>
            </w:r>
          </w:p>
        </w:tc>
      </w:tr>
      <w:tr w:rsidR="001F2E97" w:rsidRPr="001F2E97" w:rsidTr="002732A8">
        <w:trPr>
          <w:jc w:val="center"/>
        </w:trPr>
        <w:tc>
          <w:tcPr>
            <w:tcW w:w="4876" w:type="dxa"/>
          </w:tcPr>
          <w:p w:rsidR="002732A8" w:rsidRPr="001F2E97" w:rsidRDefault="002732A8" w:rsidP="002732A8">
            <w:pPr>
              <w:pStyle w:val="Normal6"/>
            </w:pPr>
          </w:p>
        </w:tc>
        <w:tc>
          <w:tcPr>
            <w:tcW w:w="4876" w:type="dxa"/>
          </w:tcPr>
          <w:p w:rsidR="002732A8" w:rsidRPr="001F2E97" w:rsidRDefault="00400F6B" w:rsidP="002732A8">
            <w:pPr>
              <w:pStyle w:val="Normal6"/>
              <w:rPr>
                <w:szCs w:val="24"/>
              </w:rPr>
            </w:pPr>
            <w:r w:rsidRPr="001F2E97">
              <w:rPr>
                <w:b/>
                <w:i/>
              </w:rPr>
              <w:t xml:space="preserve">9) </w:t>
            </w:r>
            <w:r w:rsidRPr="001F2E97">
              <w:rPr>
                <w:b/>
                <w:i/>
              </w:rPr>
              <w:tab/>
              <w:t>all'articolo 18 bis è aggiunto il comma seguente:</w:t>
            </w:r>
          </w:p>
        </w:tc>
      </w:tr>
      <w:tr w:rsidR="001F2E97" w:rsidRPr="001F2E97" w:rsidTr="002732A8">
        <w:trPr>
          <w:jc w:val="center"/>
        </w:trPr>
        <w:tc>
          <w:tcPr>
            <w:tcW w:w="4876" w:type="dxa"/>
          </w:tcPr>
          <w:p w:rsidR="002732A8" w:rsidRPr="001F2E97" w:rsidRDefault="002732A8" w:rsidP="002732A8">
            <w:pPr>
              <w:pStyle w:val="Normal6"/>
            </w:pPr>
          </w:p>
        </w:tc>
        <w:tc>
          <w:tcPr>
            <w:tcW w:w="4876" w:type="dxa"/>
          </w:tcPr>
          <w:p w:rsidR="002732A8" w:rsidRPr="001F2E97" w:rsidRDefault="00400F6B" w:rsidP="00CA1930">
            <w:pPr>
              <w:pStyle w:val="Normal6"/>
              <w:rPr>
                <w:szCs w:val="24"/>
              </w:rPr>
            </w:pPr>
            <w:r w:rsidRPr="001F2E97">
              <w:rPr>
                <w:b/>
                <w:i/>
              </w:rPr>
              <w:t xml:space="preserve">"Entro... </w:t>
            </w:r>
            <w:r w:rsidRPr="001F2E97">
              <w:rPr>
                <w:b/>
                <w:i/>
              </w:rPr>
              <w:t>[12 mesi dalla data di entrata in vigore della presente direttiva modificativa], la Commissione, previa consultazione del CCSS, elabora orientamenti per quanto riguarda l'esposizione professionale al piombo antecedente, in particolare la protezione e la ri</w:t>
            </w:r>
            <w:r w:rsidRPr="001F2E97">
              <w:rPr>
                <w:b/>
                <w:i/>
              </w:rPr>
              <w:t>duzione dell'esposizione per i lavoratori i cui livelli ematici sono superiori al valore limite biologico. Tali orientamenti sono pubblicati sul sito web dell'EU-OSHA e diffusi in tutti gli Stati membri dalle autorità competenti interessate."</w:t>
            </w:r>
          </w:p>
        </w:tc>
      </w:tr>
    </w:tbl>
    <w:p w:rsidR="0052409B" w:rsidRPr="001F2E97" w:rsidRDefault="00400F6B" w:rsidP="0052409B">
      <w:pPr>
        <w:pStyle w:val="Olang"/>
        <w:rPr>
          <w:sz w:val="24"/>
          <w:szCs w:val="24"/>
        </w:rPr>
      </w:pPr>
      <w:r w:rsidRPr="001F2E97">
        <w:rPr>
          <w:sz w:val="24"/>
          <w:szCs w:val="24"/>
        </w:rPr>
        <w:t xml:space="preserve">Or. </w:t>
      </w:r>
      <w:r w:rsidRPr="001F2E97">
        <w:rPr>
          <w:rStyle w:val="HideTWBExt"/>
          <w:color w:val="auto"/>
        </w:rPr>
        <w:t>&lt;Origina</w:t>
      </w:r>
      <w:r w:rsidRPr="001F2E97">
        <w:rPr>
          <w:rStyle w:val="HideTWBExt"/>
          <w:color w:val="auto"/>
        </w:rPr>
        <w:t>l&gt;</w:t>
      </w:r>
      <w:r w:rsidRPr="001F2E97">
        <w:rPr>
          <w:rStyle w:val="HideTWBInt"/>
          <w:color w:val="auto"/>
          <w:sz w:val="24"/>
          <w:szCs w:val="24"/>
        </w:rPr>
        <w:t>{EN}</w:t>
      </w:r>
      <w:r w:rsidRPr="001F2E97">
        <w:rPr>
          <w:sz w:val="24"/>
          <w:szCs w:val="24"/>
        </w:rPr>
        <w:t>en</w:t>
      </w:r>
      <w:r w:rsidRPr="001F2E97">
        <w:rPr>
          <w:rStyle w:val="HideTWBExt"/>
          <w:color w:val="auto"/>
        </w:rPr>
        <w:t>&lt;/Original&gt;</w:t>
      </w:r>
    </w:p>
    <w:p w:rsidR="00A15B92" w:rsidRPr="001F2E97" w:rsidRDefault="00400F6B" w:rsidP="00A15B92">
      <w:r w:rsidRPr="001F2E97">
        <w:rPr>
          <w:rStyle w:val="HideTWBExt"/>
          <w:color w:val="auto"/>
        </w:rPr>
        <w:t>&lt;/Amend&gt;</w:t>
      </w:r>
    </w:p>
    <w:bookmarkEnd w:id="2"/>
    <w:p w:rsidR="00D9167F" w:rsidRPr="001F2E97" w:rsidRDefault="00400F6B" w:rsidP="00D9167F">
      <w:pPr>
        <w:pStyle w:val="AMNumberTabs0"/>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28</w:t>
      </w:r>
      <w:r w:rsidRPr="001F2E97">
        <w:rPr>
          <w:rStyle w:val="HideTWBExt"/>
          <w:b w:val="0"/>
          <w:color w:val="auto"/>
        </w:rPr>
        <w:t>&lt;/NumAm&gt;</w:t>
      </w:r>
    </w:p>
    <w:p w:rsidR="00D9167F" w:rsidRPr="001F2E97" w:rsidRDefault="00400F6B" w:rsidP="00D9167F">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D9167F" w:rsidRPr="001F2E97" w:rsidRDefault="00400F6B" w:rsidP="00D9167F">
      <w:pPr>
        <w:pStyle w:val="NormalBold"/>
      </w:pPr>
      <w:r w:rsidRPr="001F2E97">
        <w:rPr>
          <w:rStyle w:val="HideTWBExt"/>
          <w:b w:val="0"/>
          <w:color w:val="auto"/>
        </w:rPr>
        <w:t>&lt;Article&gt;</w:t>
      </w:r>
      <w:r w:rsidRPr="001F2E97">
        <w:t>Articolo 2 – comma 1</w:t>
      </w:r>
      <w:r w:rsidRPr="001F2E9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792141">
        <w:trPr>
          <w:jc w:val="center"/>
        </w:trPr>
        <w:tc>
          <w:tcPr>
            <w:tcW w:w="9752" w:type="dxa"/>
            <w:gridSpan w:val="2"/>
          </w:tcPr>
          <w:p w:rsidR="00D9167F" w:rsidRPr="001F2E97" w:rsidRDefault="00D9167F" w:rsidP="00792141">
            <w:pPr>
              <w:keepNext/>
            </w:pPr>
          </w:p>
        </w:tc>
      </w:tr>
      <w:tr w:rsidR="001F2E97" w:rsidRPr="001F2E97" w:rsidTr="00792141">
        <w:trPr>
          <w:jc w:val="center"/>
        </w:trPr>
        <w:tc>
          <w:tcPr>
            <w:tcW w:w="4876" w:type="dxa"/>
          </w:tcPr>
          <w:p w:rsidR="00D9167F" w:rsidRPr="001F2E97" w:rsidRDefault="00400F6B" w:rsidP="00792141">
            <w:pPr>
              <w:pStyle w:val="ColumnHeading"/>
              <w:keepNext/>
            </w:pPr>
            <w:r w:rsidRPr="001F2E97">
              <w:t>Testo della Commissione</w:t>
            </w:r>
          </w:p>
        </w:tc>
        <w:tc>
          <w:tcPr>
            <w:tcW w:w="4876" w:type="dxa"/>
          </w:tcPr>
          <w:p w:rsidR="00D9167F" w:rsidRPr="001F2E97" w:rsidRDefault="00400F6B" w:rsidP="00792141">
            <w:pPr>
              <w:pStyle w:val="ColumnHeading"/>
              <w:keepNext/>
            </w:pPr>
            <w:r w:rsidRPr="001F2E97">
              <w:t>Emendamento</w:t>
            </w:r>
          </w:p>
        </w:tc>
      </w:tr>
      <w:tr w:rsidR="001F2E97" w:rsidRPr="001F2E97" w:rsidTr="00792141">
        <w:trPr>
          <w:jc w:val="center"/>
        </w:trPr>
        <w:tc>
          <w:tcPr>
            <w:tcW w:w="4876" w:type="dxa"/>
          </w:tcPr>
          <w:p w:rsidR="00D9167F" w:rsidRPr="001F2E97" w:rsidRDefault="00400F6B" w:rsidP="00792141">
            <w:pPr>
              <w:pStyle w:val="Normal6"/>
            </w:pPr>
            <w:r w:rsidRPr="001F2E97">
              <w:t>Gli allegati III e III bis della direttiva 2004/37/CE sono modificati conformemente all'allegato II della presente direttiva.</w:t>
            </w:r>
          </w:p>
        </w:tc>
        <w:tc>
          <w:tcPr>
            <w:tcW w:w="4876" w:type="dxa"/>
          </w:tcPr>
          <w:p w:rsidR="00D9167F" w:rsidRPr="001F2E97" w:rsidRDefault="00400F6B" w:rsidP="00792141">
            <w:pPr>
              <w:pStyle w:val="Normal6"/>
              <w:rPr>
                <w:szCs w:val="24"/>
              </w:rPr>
            </w:pPr>
            <w:r w:rsidRPr="001F2E97">
              <w:t xml:space="preserve">Gli allegati </w:t>
            </w:r>
            <w:r w:rsidRPr="001F2E97">
              <w:rPr>
                <w:b/>
                <w:i/>
              </w:rPr>
              <w:t>I,</w:t>
            </w:r>
            <w:r w:rsidRPr="001F2E97">
              <w:t xml:space="preserve"> III e III bis della direttiva 2004/37/CE sono modificati conformemente all'allegato II della presente direttiva.</w:t>
            </w:r>
          </w:p>
        </w:tc>
      </w:tr>
    </w:tbl>
    <w:p w:rsidR="00D9167F" w:rsidRPr="001F2E97" w:rsidRDefault="00400F6B" w:rsidP="00D9167F">
      <w:pPr>
        <w:pStyle w:val="Olang"/>
        <w:rPr>
          <w:sz w:val="24"/>
          <w:szCs w:val="24"/>
        </w:rPr>
      </w:pPr>
      <w:r w:rsidRPr="001F2E97">
        <w:rPr>
          <w:sz w:val="24"/>
          <w:szCs w:val="24"/>
        </w:rPr>
        <w:t xml:space="preserve">Or. </w:t>
      </w:r>
      <w:r w:rsidRPr="001F2E97">
        <w:rPr>
          <w:rStyle w:val="HideTWBExt"/>
          <w:color w:val="auto"/>
        </w:rPr>
        <w:t>&lt;Original&gt;</w:t>
      </w:r>
      <w:r w:rsidRPr="001F2E97">
        <w:rPr>
          <w:rStyle w:val="HideTWBInt"/>
          <w:color w:val="auto"/>
          <w:sz w:val="24"/>
          <w:szCs w:val="24"/>
        </w:rPr>
        <w:t>{EN}</w:t>
      </w:r>
      <w:r w:rsidRPr="001F2E97">
        <w:rPr>
          <w:sz w:val="24"/>
          <w:szCs w:val="24"/>
        </w:rPr>
        <w:t>en</w:t>
      </w:r>
      <w:r w:rsidRPr="001F2E97">
        <w:rPr>
          <w:rStyle w:val="HideTWBExt"/>
          <w:color w:val="auto"/>
        </w:rPr>
        <w:t>&lt;/Original&gt;</w:t>
      </w:r>
    </w:p>
    <w:p w:rsidR="00D9167F" w:rsidRPr="001F2E97" w:rsidRDefault="00400F6B" w:rsidP="00D9167F">
      <w:r w:rsidRPr="001F2E97">
        <w:rPr>
          <w:rStyle w:val="HideTWBExt"/>
          <w:color w:val="auto"/>
        </w:rPr>
        <w:t>&lt;/Amend&gt;</w:t>
      </w:r>
    </w:p>
    <w:p w:rsidR="00037CB9" w:rsidRPr="001F2E97" w:rsidRDefault="00400F6B" w:rsidP="00037CB9">
      <w:pPr>
        <w:pStyle w:val="AmNumberTabs"/>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29</w:t>
      </w:r>
      <w:r w:rsidRPr="001F2E97">
        <w:rPr>
          <w:rStyle w:val="HideTWBExt"/>
          <w:b w:val="0"/>
          <w:color w:val="auto"/>
        </w:rPr>
        <w:t>&lt;/NumAm&gt;</w:t>
      </w:r>
    </w:p>
    <w:p w:rsidR="00037CB9" w:rsidRPr="001F2E97" w:rsidRDefault="00400F6B" w:rsidP="00037CB9">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037CB9" w:rsidRPr="001F2E97" w:rsidRDefault="00400F6B" w:rsidP="00037CB9">
      <w:pPr>
        <w:pStyle w:val="NormalBold"/>
        <w:keepNext/>
      </w:pPr>
      <w:r w:rsidRPr="001F2E97">
        <w:rPr>
          <w:rStyle w:val="HideTWBExt"/>
          <w:b w:val="0"/>
          <w:color w:val="auto"/>
        </w:rPr>
        <w:t>&lt;Article&gt;</w:t>
      </w:r>
      <w:r w:rsidRPr="001F2E97">
        <w:t>Allegato I</w:t>
      </w:r>
      <w:r w:rsidRPr="001F2E97">
        <w:rPr>
          <w:rStyle w:val="HideTWBExt"/>
          <w:b w:val="0"/>
          <w:color w:val="auto"/>
        </w:rPr>
        <w:t>&lt;/Article&gt;</w:t>
      </w:r>
    </w:p>
    <w:p w:rsidR="00037CB9" w:rsidRPr="001F2E97" w:rsidRDefault="00400F6B" w:rsidP="00037CB9">
      <w:pPr>
        <w:keepNext/>
      </w:pPr>
      <w:r w:rsidRPr="001F2E97">
        <w:rPr>
          <w:rStyle w:val="HideTWBExt"/>
          <w:color w:val="auto"/>
        </w:rPr>
        <w:t>&lt;DocAmend2&gt;</w:t>
      </w:r>
      <w:r w:rsidRPr="001F2E97">
        <w:t>Direttiva 98/24/CE</w:t>
      </w:r>
      <w:r w:rsidRPr="001F2E97">
        <w:rPr>
          <w:rStyle w:val="HideTWBExt"/>
          <w:color w:val="auto"/>
        </w:rPr>
        <w:t>&lt;/DocAmend2&gt;</w:t>
      </w:r>
    </w:p>
    <w:p w:rsidR="00037CB9" w:rsidRPr="001F2E97" w:rsidRDefault="00400F6B" w:rsidP="00037CB9">
      <w:r w:rsidRPr="001F2E97">
        <w:rPr>
          <w:rStyle w:val="HideTWBExt"/>
          <w:color w:val="auto"/>
        </w:rPr>
        <w:t>&lt;Article2&gt;</w:t>
      </w:r>
      <w:r w:rsidRPr="001F2E97">
        <w:t>Allegato I</w:t>
      </w:r>
      <w:r w:rsidRPr="001F2E97">
        <w:rPr>
          <w:rStyle w:val="HideTWBExt"/>
          <w:color w:val="auto"/>
        </w:rPr>
        <w:t>&lt;/Article2&gt;</w:t>
      </w:r>
    </w:p>
    <w:tbl>
      <w:tblPr>
        <w:tblW w:w="9781" w:type="dxa"/>
        <w:jc w:val="center"/>
        <w:tblLayout w:type="fixed"/>
        <w:tblCellMar>
          <w:left w:w="340" w:type="dxa"/>
          <w:right w:w="340" w:type="dxa"/>
        </w:tblCellMar>
        <w:tblLook w:val="0000" w:firstRow="0" w:lastRow="0" w:firstColumn="0" w:lastColumn="0" w:noHBand="0" w:noVBand="0"/>
      </w:tblPr>
      <w:tblGrid>
        <w:gridCol w:w="8"/>
        <w:gridCol w:w="1601"/>
        <w:gridCol w:w="52"/>
        <w:gridCol w:w="650"/>
        <w:gridCol w:w="75"/>
        <w:gridCol w:w="628"/>
        <w:gridCol w:w="98"/>
        <w:gridCol w:w="605"/>
        <w:gridCol w:w="120"/>
        <w:gridCol w:w="112"/>
        <w:gridCol w:w="331"/>
        <w:gridCol w:w="137"/>
        <w:gridCol w:w="426"/>
        <w:gridCol w:w="154"/>
        <w:gridCol w:w="549"/>
        <w:gridCol w:w="176"/>
        <w:gridCol w:w="526"/>
        <w:gridCol w:w="198"/>
        <w:gridCol w:w="1207"/>
        <w:gridCol w:w="244"/>
        <w:gridCol w:w="1829"/>
        <w:gridCol w:w="26"/>
        <w:gridCol w:w="29"/>
      </w:tblGrid>
      <w:tr w:rsidR="001F2E97" w:rsidRPr="001F2E97" w:rsidTr="00504A84">
        <w:trPr>
          <w:gridAfter w:val="1"/>
          <w:wAfter w:w="29" w:type="dxa"/>
          <w:jc w:val="center"/>
        </w:trPr>
        <w:tc>
          <w:tcPr>
            <w:tcW w:w="9752" w:type="dxa"/>
            <w:gridSpan w:val="22"/>
          </w:tcPr>
          <w:p w:rsidR="00037CB9" w:rsidRPr="001F2E97" w:rsidRDefault="00037CB9" w:rsidP="005F4C08">
            <w:pPr>
              <w:keepNext/>
            </w:pPr>
          </w:p>
        </w:tc>
      </w:tr>
      <w:tr w:rsidR="001F2E97" w:rsidRPr="001F2E97" w:rsidTr="00504A84">
        <w:trPr>
          <w:gridAfter w:val="1"/>
          <w:wAfter w:w="29" w:type="dxa"/>
          <w:jc w:val="center"/>
        </w:trPr>
        <w:tc>
          <w:tcPr>
            <w:tcW w:w="9752" w:type="dxa"/>
            <w:gridSpan w:val="22"/>
          </w:tcPr>
          <w:p w:rsidR="00037CB9" w:rsidRPr="001F2E97" w:rsidRDefault="00400F6B" w:rsidP="00037CB9">
            <w:pPr>
              <w:pStyle w:val="AmColumnHeading"/>
              <w:keepNext/>
              <w:jc w:val="left"/>
            </w:pPr>
            <w:r w:rsidRPr="001F2E97">
              <w:t>Testo della Commissione</w:t>
            </w:r>
          </w:p>
        </w:tc>
      </w:tr>
      <w:tr w:rsidR="001F2E97" w:rsidRPr="001F2E97" w:rsidTr="00504A84">
        <w:trPr>
          <w:gridAfter w:val="1"/>
          <w:wAfter w:w="29" w:type="dxa"/>
          <w:jc w:val="center"/>
        </w:trPr>
        <w:tc>
          <w:tcPr>
            <w:tcW w:w="9752" w:type="dxa"/>
            <w:gridSpan w:val="22"/>
          </w:tcPr>
          <w:p w:rsidR="00E941BF" w:rsidRPr="001F2E97" w:rsidRDefault="00400F6B" w:rsidP="00E941BF">
            <w:pPr>
              <w:spacing w:line="240" w:lineRule="atLeast"/>
            </w:pPr>
            <w:r w:rsidRPr="001F2E97">
              <w:t>L'allegato I della direttiva 98/24/CE è sostituito dal seguente:</w:t>
            </w:r>
          </w:p>
        </w:tc>
      </w:tr>
      <w:tr w:rsidR="001F2E97" w:rsidRPr="001F2E97" w:rsidTr="0004271C">
        <w:trPr>
          <w:gridAfter w:val="1"/>
          <w:wAfter w:w="29" w:type="dxa"/>
          <w:jc w:val="center"/>
        </w:trPr>
        <w:tc>
          <w:tcPr>
            <w:tcW w:w="9752" w:type="dxa"/>
            <w:gridSpan w:val="22"/>
          </w:tcPr>
          <w:p w:rsidR="00E941BF" w:rsidRPr="001F2E97" w:rsidRDefault="00400F6B" w:rsidP="00E941BF">
            <w:pPr>
              <w:spacing w:line="240" w:lineRule="atLeast"/>
              <w:jc w:val="center"/>
              <w:rPr>
                <w:rFonts w:eastAsia="Arial Unicode MS"/>
                <w:noProof/>
                <w:szCs w:val="24"/>
              </w:rPr>
            </w:pPr>
            <w:r w:rsidRPr="001F2E97">
              <w:t>ALLEGATO I</w:t>
            </w:r>
          </w:p>
        </w:tc>
      </w:tr>
      <w:tr w:rsidR="001F2E97" w:rsidRPr="001F2E97" w:rsidTr="0004271C">
        <w:trPr>
          <w:gridAfter w:val="1"/>
          <w:wAfter w:w="29" w:type="dxa"/>
          <w:jc w:val="center"/>
        </w:trPr>
        <w:tc>
          <w:tcPr>
            <w:tcW w:w="9752" w:type="dxa"/>
            <w:gridSpan w:val="22"/>
          </w:tcPr>
          <w:p w:rsidR="00037CB9" w:rsidRPr="001F2E97" w:rsidRDefault="00400F6B" w:rsidP="00037CB9">
            <w:pPr>
              <w:pStyle w:val="AmColumnHeading"/>
              <w:keepNext/>
              <w:jc w:val="left"/>
              <w:rPr>
                <w:i w:val="0"/>
              </w:rPr>
            </w:pPr>
            <w:r w:rsidRPr="001F2E97">
              <w:rPr>
                <w:i w:val="0"/>
              </w:rPr>
              <w:t>ELENCO DEI VALORI LIMITE DI ESPOSIZIONE PROFESSIONALE OBBLIGATORI</w:t>
            </w:r>
          </w:p>
        </w:tc>
      </w:tr>
      <w:tr w:rsidR="001F2E97" w:rsidRPr="001F2E97"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037CB9" w:rsidRPr="001F2E97" w:rsidRDefault="00400F6B">
            <w:pPr>
              <w:spacing w:before="60" w:after="60" w:line="276" w:lineRule="auto"/>
              <w:ind w:right="195"/>
              <w:jc w:val="center"/>
              <w:rPr>
                <w:bCs/>
                <w:noProof/>
                <w:szCs w:val="24"/>
              </w:rPr>
            </w:pPr>
            <w:r w:rsidRPr="001F2E97">
              <w:t>Nome agente</w:t>
            </w:r>
          </w:p>
        </w:tc>
        <w:tc>
          <w:tcPr>
            <w:tcW w:w="72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1F2E97" w:rsidRDefault="00400F6B">
            <w:pPr>
              <w:spacing w:after="60" w:line="276" w:lineRule="auto"/>
              <w:jc w:val="center"/>
              <w:rPr>
                <w:bCs/>
                <w:noProof/>
                <w:szCs w:val="24"/>
              </w:rPr>
            </w:pPr>
            <w:r w:rsidRPr="001F2E97">
              <w:t>N. CE (</w:t>
            </w:r>
            <w:r w:rsidRPr="001F2E97">
              <w:rPr>
                <w:vertAlign w:val="superscript"/>
              </w:rPr>
              <w:t>1</w:t>
            </w:r>
            <w:r w:rsidRPr="001F2E97">
              <w:t>)</w:t>
            </w:r>
          </w:p>
        </w:tc>
        <w:tc>
          <w:tcPr>
            <w:tcW w:w="72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1F2E97" w:rsidRDefault="00400F6B">
            <w:pPr>
              <w:spacing w:after="60" w:line="276" w:lineRule="auto"/>
              <w:jc w:val="center"/>
              <w:rPr>
                <w:bCs/>
                <w:noProof/>
                <w:szCs w:val="24"/>
              </w:rPr>
            </w:pPr>
            <w:r w:rsidRPr="001F2E97">
              <w:t>N. CAS (</w:t>
            </w:r>
            <w:r w:rsidRPr="001F2E97">
              <w:rPr>
                <w:vertAlign w:val="superscript"/>
              </w:rPr>
              <w:t>2</w:t>
            </w:r>
            <w:r w:rsidRPr="001F2E97">
              <w:t xml:space="preserve">) </w:t>
            </w:r>
          </w:p>
        </w:tc>
        <w:tc>
          <w:tcPr>
            <w:tcW w:w="3334" w:type="dxa"/>
            <w:gridSpan w:val="11"/>
            <w:tcBorders>
              <w:top w:val="single" w:sz="4" w:space="0" w:color="auto"/>
              <w:left w:val="single" w:sz="4" w:space="0" w:color="auto"/>
              <w:bottom w:val="single" w:sz="4" w:space="0" w:color="auto"/>
              <w:right w:val="single" w:sz="4" w:space="0" w:color="auto"/>
            </w:tcBorders>
            <w:vAlign w:val="center"/>
            <w:hideMark/>
          </w:tcPr>
          <w:p w:rsidR="00037CB9" w:rsidRPr="001F2E97" w:rsidRDefault="00400F6B">
            <w:pPr>
              <w:spacing w:before="60" w:after="60" w:line="276" w:lineRule="auto"/>
              <w:ind w:right="195"/>
              <w:jc w:val="center"/>
              <w:rPr>
                <w:bCs/>
                <w:noProof/>
                <w:szCs w:val="24"/>
              </w:rPr>
            </w:pPr>
            <w:r w:rsidRPr="001F2E97">
              <w:t>Valori limite</w:t>
            </w:r>
          </w:p>
        </w:tc>
        <w:tc>
          <w:tcPr>
            <w:tcW w:w="145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1F2E97" w:rsidRDefault="00400F6B">
            <w:pPr>
              <w:spacing w:before="60" w:after="60" w:line="276" w:lineRule="auto"/>
              <w:ind w:right="195"/>
              <w:jc w:val="center"/>
              <w:rPr>
                <w:bCs/>
                <w:noProof/>
                <w:szCs w:val="24"/>
              </w:rPr>
            </w:pPr>
            <w:r w:rsidRPr="001F2E97">
              <w:t xml:space="preserve"> Osservazioni</w:t>
            </w:r>
          </w:p>
        </w:tc>
        <w:tc>
          <w:tcPr>
            <w:tcW w:w="1829" w:type="dxa"/>
            <w:vMerge w:val="restart"/>
            <w:tcBorders>
              <w:top w:val="single" w:sz="4" w:space="0" w:color="auto"/>
              <w:left w:val="single" w:sz="4" w:space="0" w:color="auto"/>
              <w:bottom w:val="single" w:sz="4" w:space="0" w:color="auto"/>
              <w:right w:val="single" w:sz="4" w:space="0" w:color="auto"/>
            </w:tcBorders>
            <w:vAlign w:val="center"/>
            <w:hideMark/>
          </w:tcPr>
          <w:p w:rsidR="00037CB9" w:rsidRPr="001F2E97" w:rsidRDefault="00400F6B">
            <w:pPr>
              <w:spacing w:before="60" w:after="60" w:line="276" w:lineRule="auto"/>
              <w:ind w:right="104"/>
              <w:jc w:val="center"/>
              <w:rPr>
                <w:bCs/>
                <w:noProof/>
                <w:szCs w:val="24"/>
              </w:rPr>
            </w:pPr>
            <w:r w:rsidRPr="001F2E97">
              <w:t>Misure transitorie</w:t>
            </w:r>
          </w:p>
        </w:tc>
      </w:tr>
      <w:tr w:rsidR="001F2E97" w:rsidRPr="001F2E97"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c>
          <w:tcPr>
            <w:tcW w:w="72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c>
          <w:tcPr>
            <w:tcW w:w="726"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c>
          <w:tcPr>
            <w:tcW w:w="1885" w:type="dxa"/>
            <w:gridSpan w:val="7"/>
            <w:tcBorders>
              <w:top w:val="single" w:sz="4" w:space="0" w:color="auto"/>
              <w:left w:val="single" w:sz="4" w:space="0" w:color="auto"/>
              <w:bottom w:val="single" w:sz="4" w:space="0" w:color="auto"/>
              <w:right w:val="single" w:sz="4" w:space="0" w:color="auto"/>
            </w:tcBorders>
            <w:hideMark/>
          </w:tcPr>
          <w:p w:rsidR="00037CB9" w:rsidRPr="001F2E97" w:rsidRDefault="00400F6B">
            <w:pPr>
              <w:spacing w:before="60" w:after="60" w:line="276" w:lineRule="auto"/>
              <w:ind w:right="195"/>
              <w:jc w:val="center"/>
              <w:rPr>
                <w:bCs/>
                <w:noProof/>
                <w:szCs w:val="24"/>
              </w:rPr>
            </w:pPr>
            <w:r w:rsidRPr="001F2E97">
              <w:t>8 ore (</w:t>
            </w:r>
            <w:r w:rsidRPr="001F2E97">
              <w:rPr>
                <w:vertAlign w:val="superscript"/>
              </w:rPr>
              <w:t>3</w:t>
            </w:r>
            <w:r w:rsidRPr="001F2E97">
              <w:t>)</w:t>
            </w:r>
          </w:p>
        </w:tc>
        <w:tc>
          <w:tcPr>
            <w:tcW w:w="1449" w:type="dxa"/>
            <w:gridSpan w:val="4"/>
            <w:tcBorders>
              <w:top w:val="single" w:sz="4" w:space="0" w:color="auto"/>
              <w:left w:val="single" w:sz="4" w:space="0" w:color="auto"/>
              <w:bottom w:val="single" w:sz="4" w:space="0" w:color="auto"/>
              <w:right w:val="single" w:sz="4" w:space="0" w:color="auto"/>
            </w:tcBorders>
            <w:hideMark/>
          </w:tcPr>
          <w:p w:rsidR="00037CB9" w:rsidRPr="001F2E97" w:rsidRDefault="00400F6B">
            <w:pPr>
              <w:spacing w:before="60" w:after="60" w:line="276" w:lineRule="auto"/>
              <w:ind w:right="195"/>
              <w:jc w:val="center"/>
              <w:rPr>
                <w:bCs/>
                <w:noProof/>
                <w:szCs w:val="24"/>
              </w:rPr>
            </w:pPr>
            <w:r w:rsidRPr="001F2E97">
              <w:t>Breve durata (</w:t>
            </w:r>
            <w:r w:rsidRPr="001F2E97">
              <w:rPr>
                <w:vertAlign w:val="superscript"/>
              </w:rPr>
              <w:t>4</w:t>
            </w:r>
            <w:r w:rsidRPr="001F2E97">
              <w:t>)</w:t>
            </w:r>
            <w:r w:rsidRPr="001F2E97">
              <w:rPr>
                <w:b/>
              </w:rPr>
              <w:t xml:space="preserve"> </w:t>
            </w:r>
          </w:p>
        </w:tc>
        <w:tc>
          <w:tcPr>
            <w:tcW w:w="1451"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c>
          <w:tcPr>
            <w:tcW w:w="1829" w:type="dxa"/>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r>
      <w:tr w:rsidR="001F2E97" w:rsidRPr="001F2E97"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c>
          <w:tcPr>
            <w:tcW w:w="72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c>
          <w:tcPr>
            <w:tcW w:w="726"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c>
          <w:tcPr>
            <w:tcW w:w="725" w:type="dxa"/>
            <w:gridSpan w:val="2"/>
            <w:tcBorders>
              <w:top w:val="single" w:sz="4" w:space="0" w:color="auto"/>
              <w:left w:val="single" w:sz="4" w:space="0" w:color="auto"/>
              <w:bottom w:val="single" w:sz="4" w:space="0" w:color="auto"/>
              <w:right w:val="single" w:sz="4" w:space="0" w:color="auto"/>
            </w:tcBorders>
            <w:hideMark/>
          </w:tcPr>
          <w:p w:rsidR="00037CB9" w:rsidRPr="001F2E97" w:rsidRDefault="00400F6B">
            <w:pPr>
              <w:spacing w:before="60" w:after="60" w:line="276" w:lineRule="auto"/>
              <w:jc w:val="center"/>
              <w:rPr>
                <w:bCs/>
                <w:noProof/>
                <w:szCs w:val="24"/>
                <w:vertAlign w:val="superscript"/>
              </w:rPr>
            </w:pPr>
            <w:r w:rsidRPr="001F2E97">
              <w:t>µg/m</w:t>
            </w:r>
            <w:r w:rsidRPr="001F2E97">
              <w:rPr>
                <w:vertAlign w:val="superscript"/>
              </w:rPr>
              <w:t>3</w:t>
            </w:r>
          </w:p>
          <w:p w:rsidR="00037CB9" w:rsidRPr="001F2E97" w:rsidRDefault="00400F6B">
            <w:pPr>
              <w:spacing w:before="60" w:after="60" w:line="276" w:lineRule="auto"/>
              <w:jc w:val="center"/>
              <w:rPr>
                <w:bCs/>
                <w:noProof/>
                <w:szCs w:val="24"/>
                <w:vertAlign w:val="superscript"/>
              </w:rPr>
            </w:pPr>
            <w:r w:rsidRPr="001F2E97">
              <w:t>(</w:t>
            </w:r>
            <w:r w:rsidRPr="001F2E97">
              <w:rPr>
                <w:vertAlign w:val="superscript"/>
              </w:rPr>
              <w:t>5</w:t>
            </w:r>
            <w:r w:rsidRPr="001F2E97">
              <w:t>)</w:t>
            </w:r>
            <w:r w:rsidRPr="001F2E97">
              <w:rPr>
                <w:vertAlign w:val="superscript"/>
              </w:rPr>
              <w:t xml:space="preserve">  </w:t>
            </w:r>
            <w:r w:rsidRPr="001F2E97">
              <w:t xml:space="preserve"> </w:t>
            </w:r>
          </w:p>
        </w:tc>
        <w:tc>
          <w:tcPr>
            <w:tcW w:w="580" w:type="dxa"/>
            <w:gridSpan w:val="3"/>
            <w:tcBorders>
              <w:top w:val="single" w:sz="4" w:space="0" w:color="auto"/>
              <w:left w:val="single" w:sz="4" w:space="0" w:color="auto"/>
              <w:bottom w:val="single" w:sz="4" w:space="0" w:color="auto"/>
              <w:right w:val="single" w:sz="4" w:space="0" w:color="auto"/>
            </w:tcBorders>
            <w:hideMark/>
          </w:tcPr>
          <w:p w:rsidR="00037CB9" w:rsidRPr="001F2E97" w:rsidRDefault="00400F6B">
            <w:pPr>
              <w:spacing w:before="60" w:after="60" w:line="276" w:lineRule="auto"/>
              <w:jc w:val="center"/>
              <w:rPr>
                <w:bCs/>
                <w:noProof/>
                <w:szCs w:val="24"/>
              </w:rPr>
            </w:pPr>
            <w:r w:rsidRPr="001F2E97">
              <w:t>ppm (</w:t>
            </w:r>
            <w:r w:rsidRPr="001F2E97">
              <w:rPr>
                <w:vertAlign w:val="superscript"/>
              </w:rPr>
              <w:t>6</w:t>
            </w:r>
            <w:r w:rsidRPr="001F2E97">
              <w:t xml:space="preserve">)     </w:t>
            </w:r>
          </w:p>
        </w:tc>
        <w:tc>
          <w:tcPr>
            <w:tcW w:w="580" w:type="dxa"/>
            <w:gridSpan w:val="2"/>
            <w:tcBorders>
              <w:top w:val="single" w:sz="4" w:space="0" w:color="auto"/>
              <w:left w:val="single" w:sz="4" w:space="0" w:color="auto"/>
              <w:bottom w:val="single" w:sz="4" w:space="0" w:color="auto"/>
              <w:right w:val="single" w:sz="4" w:space="0" w:color="auto"/>
            </w:tcBorders>
          </w:tcPr>
          <w:p w:rsidR="00037CB9" w:rsidRPr="001F2E97" w:rsidRDefault="00400F6B" w:rsidP="00504A84">
            <w:pPr>
              <w:spacing w:before="60" w:line="276" w:lineRule="auto"/>
              <w:jc w:val="center"/>
              <w:rPr>
                <w:bCs/>
                <w:noProof/>
                <w:szCs w:val="24"/>
              </w:rPr>
            </w:pPr>
            <w:r w:rsidRPr="001F2E97">
              <w:t>f/ml (</w:t>
            </w:r>
            <w:r w:rsidRPr="001F2E97">
              <w:rPr>
                <w:vertAlign w:val="superscript"/>
              </w:rPr>
              <w:t>7</w:t>
            </w:r>
            <w:r w:rsidRPr="001F2E97">
              <w:t>)</w:t>
            </w:r>
          </w:p>
        </w:tc>
        <w:tc>
          <w:tcPr>
            <w:tcW w:w="725" w:type="dxa"/>
            <w:gridSpan w:val="2"/>
            <w:tcBorders>
              <w:top w:val="single" w:sz="4" w:space="0" w:color="auto"/>
              <w:left w:val="single" w:sz="4" w:space="0" w:color="auto"/>
              <w:bottom w:val="single" w:sz="4" w:space="0" w:color="auto"/>
              <w:right w:val="single" w:sz="4" w:space="0" w:color="auto"/>
            </w:tcBorders>
            <w:hideMark/>
          </w:tcPr>
          <w:p w:rsidR="00037CB9" w:rsidRPr="001F2E97" w:rsidRDefault="00400F6B">
            <w:pPr>
              <w:spacing w:before="60" w:after="60" w:line="276" w:lineRule="auto"/>
              <w:jc w:val="center"/>
              <w:rPr>
                <w:bCs/>
                <w:noProof/>
                <w:szCs w:val="24"/>
              </w:rPr>
            </w:pPr>
            <w:r w:rsidRPr="001F2E97">
              <w:t>µg/m</w:t>
            </w:r>
            <w:r w:rsidRPr="001F2E97">
              <w:rPr>
                <w:vertAlign w:val="superscript"/>
              </w:rPr>
              <w:t xml:space="preserve">3 </w:t>
            </w:r>
          </w:p>
        </w:tc>
        <w:tc>
          <w:tcPr>
            <w:tcW w:w="724" w:type="dxa"/>
            <w:gridSpan w:val="2"/>
            <w:tcBorders>
              <w:top w:val="single" w:sz="4" w:space="0" w:color="auto"/>
              <w:left w:val="single" w:sz="4" w:space="0" w:color="auto"/>
              <w:bottom w:val="single" w:sz="4" w:space="0" w:color="auto"/>
              <w:right w:val="single" w:sz="4" w:space="0" w:color="auto"/>
            </w:tcBorders>
          </w:tcPr>
          <w:p w:rsidR="00037CB9" w:rsidRPr="001F2E97" w:rsidRDefault="00400F6B" w:rsidP="00504A84">
            <w:pPr>
              <w:spacing w:before="60" w:after="60" w:line="276" w:lineRule="auto"/>
              <w:jc w:val="center"/>
              <w:rPr>
                <w:bCs/>
                <w:noProof/>
                <w:szCs w:val="24"/>
              </w:rPr>
            </w:pPr>
            <w:r w:rsidRPr="001F2E97">
              <w:t>ppm</w:t>
            </w:r>
          </w:p>
        </w:tc>
        <w:tc>
          <w:tcPr>
            <w:tcW w:w="1451"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c>
          <w:tcPr>
            <w:tcW w:w="1829" w:type="dxa"/>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r>
      <w:tr w:rsidR="001F2E97" w:rsidRPr="001F2E97"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gridAfter w:val="2"/>
          <w:wBefore w:w="8" w:type="dxa"/>
          <w:wAfter w:w="55" w:type="dxa"/>
          <w:tblCellSpacing w:w="0" w:type="dxa"/>
        </w:trPr>
        <w:tc>
          <w:tcPr>
            <w:tcW w:w="165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1F2E97" w:rsidRDefault="00400F6B">
            <w:pPr>
              <w:spacing w:line="276" w:lineRule="auto"/>
              <w:rPr>
                <w:rFonts w:eastAsiaTheme="minorHAnsi"/>
                <w:noProof/>
                <w:szCs w:val="24"/>
              </w:rPr>
            </w:pPr>
            <w:r w:rsidRPr="001F2E97">
              <w:t>Diisocianati</w:t>
            </w: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1F2E97" w:rsidRDefault="00037CB9">
            <w:pPr>
              <w:spacing w:before="40" w:after="40" w:line="276" w:lineRule="auto"/>
              <w:rPr>
                <w:noProof/>
                <w:szCs w:val="24"/>
              </w:rPr>
            </w:pPr>
          </w:p>
        </w:tc>
        <w:tc>
          <w:tcPr>
            <w:tcW w:w="726"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1F2E97" w:rsidRDefault="00037CB9">
            <w:pPr>
              <w:spacing w:before="40" w:after="40" w:line="276" w:lineRule="auto"/>
              <w:ind w:right="195"/>
              <w:rPr>
                <w:rFonts w:eastAsiaTheme="minorHAnsi"/>
                <w:noProof/>
                <w:szCs w:val="24"/>
                <w:lang w:eastAsia="en-US"/>
              </w:rPr>
            </w:pP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1F2E97" w:rsidRDefault="00400F6B">
            <w:pPr>
              <w:spacing w:before="40" w:after="40" w:line="276" w:lineRule="auto"/>
              <w:ind w:right="195"/>
              <w:rPr>
                <w:noProof/>
                <w:szCs w:val="24"/>
              </w:rPr>
            </w:pPr>
            <w:r w:rsidRPr="001F2E97">
              <w:t>6</w:t>
            </w:r>
          </w:p>
        </w:tc>
        <w:tc>
          <w:tcPr>
            <w:tcW w:w="580" w:type="dxa"/>
            <w:gridSpan w:val="3"/>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1F2E97" w:rsidRDefault="00037CB9">
            <w:pPr>
              <w:spacing w:before="40" w:after="40" w:line="276" w:lineRule="auto"/>
              <w:rPr>
                <w:noProof/>
                <w:szCs w:val="24"/>
              </w:rPr>
            </w:pPr>
          </w:p>
        </w:tc>
        <w:tc>
          <w:tcPr>
            <w:tcW w:w="580"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1F2E97" w:rsidRDefault="00037CB9">
            <w:pPr>
              <w:spacing w:before="40" w:after="40" w:line="276" w:lineRule="auto"/>
              <w:rPr>
                <w:noProof/>
                <w:szCs w:val="24"/>
              </w:rPr>
            </w:pPr>
          </w:p>
        </w:tc>
        <w:tc>
          <w:tcPr>
            <w:tcW w:w="72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1F2E97" w:rsidRDefault="00400F6B">
            <w:pPr>
              <w:spacing w:before="40" w:after="40" w:line="276" w:lineRule="auto"/>
              <w:rPr>
                <w:rFonts w:eastAsiaTheme="minorHAnsi"/>
                <w:noProof/>
                <w:szCs w:val="24"/>
              </w:rPr>
            </w:pPr>
            <w:r w:rsidRPr="001F2E97">
              <w:t>12</w:t>
            </w:r>
          </w:p>
        </w:tc>
        <w:tc>
          <w:tcPr>
            <w:tcW w:w="724"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1F2E97" w:rsidRDefault="00037CB9">
            <w:pPr>
              <w:spacing w:before="40" w:after="40" w:line="276" w:lineRule="auto"/>
              <w:rPr>
                <w:noProof/>
                <w:szCs w:val="24"/>
              </w:rPr>
            </w:pPr>
          </w:p>
        </w:tc>
        <w:tc>
          <w:tcPr>
            <w:tcW w:w="1451"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1F2E97" w:rsidRDefault="00400F6B" w:rsidP="00A04DDD">
            <w:pPr>
              <w:spacing w:before="40" w:after="40" w:line="276" w:lineRule="auto"/>
              <w:rPr>
                <w:noProof/>
                <w:szCs w:val="24"/>
              </w:rPr>
            </w:pPr>
            <w:r w:rsidRPr="001F2E97">
              <w:t>Pelle (</w:t>
            </w:r>
            <w:r w:rsidRPr="001F2E97">
              <w:rPr>
                <w:vertAlign w:val="superscript"/>
              </w:rPr>
              <w:t>8</w:t>
            </w:r>
            <w:r w:rsidRPr="001F2E97">
              <w:t>) Sensibilizzazione cutanea e respiratoria (</w:t>
            </w:r>
            <w:r w:rsidRPr="001F2E97">
              <w:rPr>
                <w:vertAlign w:val="superscript"/>
              </w:rPr>
              <w:t>9</w:t>
            </w:r>
            <w:r w:rsidRPr="001F2E97">
              <w:t xml:space="preserve">) </w:t>
            </w:r>
          </w:p>
        </w:tc>
        <w:tc>
          <w:tcPr>
            <w:tcW w:w="182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1F2E97" w:rsidRDefault="00400F6B">
            <w:pPr>
              <w:spacing w:before="40" w:after="40" w:line="276" w:lineRule="auto"/>
              <w:rPr>
                <w:noProof/>
                <w:szCs w:val="24"/>
              </w:rPr>
            </w:pPr>
            <w:r w:rsidRPr="001F2E97">
              <w:t>Fino al 31 dicembre 2028 si applicano un valore limite di 10 µg/m</w:t>
            </w:r>
            <w:r w:rsidRPr="001F2E97">
              <w:rPr>
                <w:vertAlign w:val="superscript"/>
              </w:rPr>
              <w:t>3</w:t>
            </w:r>
            <w:r w:rsidRPr="001F2E97">
              <w:t xml:space="preserve"> in relazione a un periodo di riferimento di otto ore e un valore limite di esposizione di </w:t>
            </w:r>
            <w:r w:rsidRPr="001F2E97">
              <w:lastRenderedPageBreak/>
              <w:t>breve durata di 20 µg/m</w:t>
            </w:r>
            <w:r w:rsidRPr="001F2E97">
              <w:rPr>
                <w:vertAlign w:val="superscript"/>
              </w:rPr>
              <w:t>3</w:t>
            </w:r>
            <w:r w:rsidRPr="001F2E97">
              <w:t>.</w:t>
            </w:r>
          </w:p>
        </w:tc>
      </w:tr>
      <w:tr w:rsidR="001F2E97" w:rsidRPr="001F2E97" w:rsidTr="0004271C">
        <w:trPr>
          <w:gridAfter w:val="1"/>
          <w:wAfter w:w="29" w:type="dxa"/>
          <w:jc w:val="center"/>
        </w:trPr>
        <w:tc>
          <w:tcPr>
            <w:tcW w:w="9752" w:type="dxa"/>
            <w:gridSpan w:val="22"/>
          </w:tcPr>
          <w:p w:rsidR="00504A84" w:rsidRPr="001F2E97" w:rsidRDefault="00400F6B" w:rsidP="00504A84">
            <w:pPr>
              <w:spacing w:before="40" w:after="40" w:line="276" w:lineRule="auto"/>
              <w:rPr>
                <w:noProof/>
                <w:szCs w:val="24"/>
              </w:rPr>
            </w:pPr>
            <w:r w:rsidRPr="001F2E97">
              <w:t>(</w:t>
            </w:r>
            <w:r w:rsidRPr="001F2E97">
              <w:rPr>
                <w:vertAlign w:val="superscript"/>
              </w:rPr>
              <w:t>1</w:t>
            </w:r>
            <w:r w:rsidRPr="001F2E97">
              <w:t>)    </w:t>
            </w:r>
            <w:r w:rsidRPr="001F2E97">
              <w:t>N. CE (ossia EINECS, ELINCS o NLP): è il numero ufficiale della sostanza all'interno dell'Unione europea, come definito nell'allegato VI, parte 1, punto 1.1.1.2, del regolamento (CE) n. 1272/2008.</w:t>
            </w:r>
          </w:p>
        </w:tc>
      </w:tr>
      <w:tr w:rsidR="001F2E97" w:rsidRPr="001F2E97" w:rsidTr="0004271C">
        <w:trPr>
          <w:gridAfter w:val="1"/>
          <w:wAfter w:w="29" w:type="dxa"/>
          <w:jc w:val="center"/>
        </w:trPr>
        <w:tc>
          <w:tcPr>
            <w:tcW w:w="9752" w:type="dxa"/>
            <w:gridSpan w:val="22"/>
          </w:tcPr>
          <w:p w:rsidR="00504A84" w:rsidRPr="001F2E97" w:rsidRDefault="00400F6B" w:rsidP="00504A84">
            <w:pPr>
              <w:spacing w:before="40" w:after="40" w:line="276" w:lineRule="auto"/>
              <w:rPr>
                <w:noProof/>
                <w:szCs w:val="24"/>
              </w:rPr>
            </w:pPr>
            <w:r w:rsidRPr="001F2E97">
              <w:t>(</w:t>
            </w:r>
            <w:r w:rsidRPr="001F2E97">
              <w:rPr>
                <w:vertAlign w:val="superscript"/>
              </w:rPr>
              <w:t>2</w:t>
            </w:r>
            <w:r w:rsidRPr="001F2E97">
              <w:t>)    N. CAS: numero di registrazione CAS (</w:t>
            </w:r>
            <w:r w:rsidRPr="001F2E97">
              <w:rPr>
                <w:i/>
                <w:iCs/>
              </w:rPr>
              <w:t>Chemical Abstr</w:t>
            </w:r>
            <w:r w:rsidRPr="001F2E97">
              <w:rPr>
                <w:i/>
                <w:iCs/>
              </w:rPr>
              <w:t>act Service</w:t>
            </w:r>
            <w:r w:rsidRPr="001F2E97">
              <w:t>).</w:t>
            </w:r>
          </w:p>
        </w:tc>
      </w:tr>
      <w:tr w:rsidR="001F2E97" w:rsidRPr="001F2E97" w:rsidTr="0004271C">
        <w:trPr>
          <w:gridAfter w:val="1"/>
          <w:wAfter w:w="29" w:type="dxa"/>
          <w:jc w:val="center"/>
        </w:trPr>
        <w:tc>
          <w:tcPr>
            <w:tcW w:w="9752" w:type="dxa"/>
            <w:gridSpan w:val="22"/>
          </w:tcPr>
          <w:p w:rsidR="00504A84" w:rsidRPr="001F2E97" w:rsidRDefault="00400F6B" w:rsidP="00504A84">
            <w:pPr>
              <w:spacing w:before="40" w:after="40" w:line="276" w:lineRule="auto"/>
              <w:rPr>
                <w:noProof/>
                <w:szCs w:val="24"/>
              </w:rPr>
            </w:pPr>
            <w:r w:rsidRPr="001F2E97">
              <w:t>(</w:t>
            </w:r>
            <w:r w:rsidRPr="001F2E97">
              <w:rPr>
                <w:vertAlign w:val="superscript"/>
              </w:rPr>
              <w:t>3</w:t>
            </w:r>
            <w:r w:rsidRPr="001F2E97">
              <w:t>)    Misurato o calcolato in relazione a un periodo di riferimento di otto ore, media ponderata nel tempo (TWA).</w:t>
            </w:r>
          </w:p>
        </w:tc>
      </w:tr>
      <w:tr w:rsidR="001F2E97" w:rsidRPr="001F2E97" w:rsidTr="0004271C">
        <w:trPr>
          <w:gridAfter w:val="1"/>
          <w:wAfter w:w="29" w:type="dxa"/>
          <w:jc w:val="center"/>
        </w:trPr>
        <w:tc>
          <w:tcPr>
            <w:tcW w:w="9752" w:type="dxa"/>
            <w:gridSpan w:val="22"/>
          </w:tcPr>
          <w:p w:rsidR="00504A84" w:rsidRPr="001F2E97" w:rsidRDefault="00400F6B" w:rsidP="00504A84">
            <w:pPr>
              <w:spacing w:line="240" w:lineRule="atLeast"/>
              <w:rPr>
                <w:noProof/>
                <w:szCs w:val="24"/>
              </w:rPr>
            </w:pPr>
            <w:r w:rsidRPr="001F2E97">
              <w:t>(</w:t>
            </w:r>
            <w:r w:rsidRPr="001F2E97">
              <w:rPr>
                <w:vertAlign w:val="superscript"/>
              </w:rPr>
              <w:t>4</w:t>
            </w:r>
            <w:r w:rsidRPr="001F2E97">
              <w:t xml:space="preserve">)    Limite per esposizione di breve durata (STEL). </w:t>
            </w:r>
            <w:r w:rsidRPr="001F2E97">
              <w:t>Valore limite al di sopra del quale l'esposizione dovrebbe essere evitata e che si riferisce a un periodo di 15 minuti salvo indicazione contraria.</w:t>
            </w:r>
          </w:p>
        </w:tc>
      </w:tr>
      <w:tr w:rsidR="001F2E97" w:rsidRPr="001F2E97" w:rsidTr="0004271C">
        <w:trPr>
          <w:gridAfter w:val="1"/>
          <w:wAfter w:w="29" w:type="dxa"/>
          <w:jc w:val="center"/>
        </w:trPr>
        <w:tc>
          <w:tcPr>
            <w:tcW w:w="9752" w:type="dxa"/>
            <w:gridSpan w:val="22"/>
          </w:tcPr>
          <w:p w:rsidR="00504A84" w:rsidRPr="001F2E97" w:rsidRDefault="00400F6B" w:rsidP="00504A84">
            <w:pPr>
              <w:spacing w:line="240" w:lineRule="atLeast"/>
            </w:pPr>
            <w:r w:rsidRPr="001F2E97">
              <w:t>(</w:t>
            </w:r>
            <w:r w:rsidRPr="001F2E97">
              <w:rPr>
                <w:vertAlign w:val="superscript"/>
              </w:rPr>
              <w:t>5</w:t>
            </w:r>
            <w:r w:rsidRPr="001F2E97">
              <w:t>)    µg/m</w:t>
            </w:r>
            <w:r w:rsidRPr="001F2E97">
              <w:rPr>
                <w:vertAlign w:val="superscript"/>
              </w:rPr>
              <w:t>3</w:t>
            </w:r>
            <w:r w:rsidRPr="001F2E97">
              <w:t xml:space="preserve"> = microgrammi per metro cubo di aria.</w:t>
            </w:r>
          </w:p>
        </w:tc>
      </w:tr>
      <w:tr w:rsidR="001F2E97" w:rsidRPr="001F2E97" w:rsidTr="0004271C">
        <w:trPr>
          <w:gridAfter w:val="1"/>
          <w:wAfter w:w="29" w:type="dxa"/>
          <w:jc w:val="center"/>
        </w:trPr>
        <w:tc>
          <w:tcPr>
            <w:tcW w:w="9752" w:type="dxa"/>
            <w:gridSpan w:val="22"/>
          </w:tcPr>
          <w:p w:rsidR="00504A84" w:rsidRPr="001F2E97" w:rsidRDefault="00400F6B" w:rsidP="00504A84">
            <w:pPr>
              <w:spacing w:line="240" w:lineRule="atLeast"/>
              <w:rPr>
                <w:rFonts w:eastAsia="Arial Unicode MS"/>
                <w:noProof/>
                <w:szCs w:val="24"/>
              </w:rPr>
            </w:pPr>
            <w:r w:rsidRPr="001F2E97">
              <w:t>(</w:t>
            </w:r>
            <w:r w:rsidRPr="001F2E97">
              <w:rPr>
                <w:vertAlign w:val="superscript"/>
              </w:rPr>
              <w:t>6</w:t>
            </w:r>
            <w:r w:rsidRPr="001F2E97">
              <w:t>)    ppm: parti per milione per volume di aria (ml/m3</w:t>
            </w:r>
            <w:r w:rsidRPr="001F2E97">
              <w:t>).</w:t>
            </w:r>
          </w:p>
        </w:tc>
      </w:tr>
      <w:tr w:rsidR="001F2E97" w:rsidRPr="001F2E97" w:rsidTr="0004271C">
        <w:trPr>
          <w:gridAfter w:val="1"/>
          <w:wAfter w:w="29" w:type="dxa"/>
          <w:jc w:val="center"/>
        </w:trPr>
        <w:tc>
          <w:tcPr>
            <w:tcW w:w="9752" w:type="dxa"/>
            <w:gridSpan w:val="22"/>
          </w:tcPr>
          <w:p w:rsidR="00504A84" w:rsidRPr="001F2E97" w:rsidRDefault="00400F6B" w:rsidP="00504A84">
            <w:pPr>
              <w:spacing w:line="240" w:lineRule="atLeast"/>
              <w:rPr>
                <w:rFonts w:eastAsia="Arial Unicode MS"/>
                <w:noProof/>
                <w:szCs w:val="24"/>
              </w:rPr>
            </w:pPr>
            <w:r w:rsidRPr="001F2E97">
              <w:t>(</w:t>
            </w:r>
            <w:r w:rsidRPr="001F2E97">
              <w:rPr>
                <w:vertAlign w:val="superscript"/>
              </w:rPr>
              <w:t>7</w:t>
            </w:r>
            <w:r w:rsidRPr="001F2E97">
              <w:t>)    f/ml = fibre per millilitro.</w:t>
            </w:r>
          </w:p>
        </w:tc>
      </w:tr>
      <w:tr w:rsidR="001F2E97" w:rsidRPr="001F2E97" w:rsidTr="0004271C">
        <w:trPr>
          <w:gridAfter w:val="1"/>
          <w:wAfter w:w="29" w:type="dxa"/>
          <w:jc w:val="center"/>
        </w:trPr>
        <w:tc>
          <w:tcPr>
            <w:tcW w:w="9752" w:type="dxa"/>
            <w:gridSpan w:val="22"/>
          </w:tcPr>
          <w:p w:rsidR="00504A84" w:rsidRPr="001F2E97" w:rsidRDefault="00400F6B" w:rsidP="00504A84">
            <w:pPr>
              <w:spacing w:before="40" w:after="40" w:line="276" w:lineRule="auto"/>
              <w:rPr>
                <w:noProof/>
                <w:szCs w:val="24"/>
              </w:rPr>
            </w:pPr>
            <w:r w:rsidRPr="001F2E97">
              <w:t>(</w:t>
            </w:r>
            <w:r w:rsidRPr="001F2E97">
              <w:rPr>
                <w:vertAlign w:val="superscript"/>
              </w:rPr>
              <w:t>8</w:t>
            </w:r>
            <w:r w:rsidRPr="001F2E97">
              <w:t>)    La sostanza può causare sensibilizzazione cutanea.</w:t>
            </w:r>
          </w:p>
        </w:tc>
      </w:tr>
      <w:tr w:rsidR="001F2E97" w:rsidRPr="001F2E97" w:rsidTr="0004271C">
        <w:trPr>
          <w:gridAfter w:val="1"/>
          <w:wAfter w:w="29" w:type="dxa"/>
          <w:jc w:val="center"/>
        </w:trPr>
        <w:tc>
          <w:tcPr>
            <w:tcW w:w="9752" w:type="dxa"/>
            <w:gridSpan w:val="22"/>
          </w:tcPr>
          <w:p w:rsidR="00504A84" w:rsidRPr="001F2E97" w:rsidRDefault="00400F6B" w:rsidP="00504A84">
            <w:pPr>
              <w:spacing w:line="240" w:lineRule="atLeast"/>
              <w:rPr>
                <w:rFonts w:eastAsia="Arial Unicode MS"/>
                <w:noProof/>
                <w:szCs w:val="24"/>
              </w:rPr>
            </w:pPr>
            <w:r w:rsidRPr="001F2E97">
              <w:t>(</w:t>
            </w:r>
            <w:r w:rsidRPr="001F2E97">
              <w:rPr>
                <w:vertAlign w:val="superscript"/>
              </w:rPr>
              <w:t>9</w:t>
            </w:r>
            <w:r w:rsidRPr="001F2E97">
              <w:t>)    La sostanza può causare sensibilizzazione cutanea e delle vie respiratorie.".</w:t>
            </w:r>
          </w:p>
        </w:tc>
      </w:tr>
      <w:tr w:rsidR="001F2E97" w:rsidRPr="001F2E97" w:rsidTr="0004271C">
        <w:trPr>
          <w:gridAfter w:val="1"/>
          <w:wAfter w:w="29" w:type="dxa"/>
          <w:trHeight w:val="552"/>
          <w:jc w:val="center"/>
        </w:trPr>
        <w:tc>
          <w:tcPr>
            <w:tcW w:w="9752" w:type="dxa"/>
            <w:gridSpan w:val="22"/>
          </w:tcPr>
          <w:p w:rsidR="00E941BF" w:rsidRPr="001F2E97" w:rsidRDefault="00E941BF" w:rsidP="005F4C08">
            <w:pPr>
              <w:keepNext/>
            </w:pPr>
          </w:p>
        </w:tc>
      </w:tr>
      <w:tr w:rsidR="001F2E97" w:rsidRPr="001F2E97" w:rsidTr="00504A84">
        <w:trPr>
          <w:gridAfter w:val="1"/>
          <w:wAfter w:w="29" w:type="dxa"/>
          <w:jc w:val="center"/>
        </w:trPr>
        <w:tc>
          <w:tcPr>
            <w:tcW w:w="9752" w:type="dxa"/>
            <w:gridSpan w:val="22"/>
          </w:tcPr>
          <w:p w:rsidR="00037CB9" w:rsidRPr="001F2E97" w:rsidRDefault="00400F6B" w:rsidP="005F4C08">
            <w:pPr>
              <w:pStyle w:val="AmColumnHeading"/>
              <w:keepNext/>
              <w:jc w:val="left"/>
            </w:pPr>
            <w:r w:rsidRPr="001F2E97">
              <w:t>Emendamento</w:t>
            </w:r>
          </w:p>
        </w:tc>
      </w:tr>
      <w:tr w:rsidR="001F2E97" w:rsidRPr="001F2E97" w:rsidTr="00504A84">
        <w:trPr>
          <w:gridAfter w:val="1"/>
          <w:wAfter w:w="29" w:type="dxa"/>
          <w:jc w:val="center"/>
        </w:trPr>
        <w:tc>
          <w:tcPr>
            <w:tcW w:w="9752" w:type="dxa"/>
            <w:gridSpan w:val="22"/>
          </w:tcPr>
          <w:p w:rsidR="0079442D" w:rsidRPr="001F2E97" w:rsidRDefault="00400F6B" w:rsidP="005F4C08">
            <w:pPr>
              <w:pStyle w:val="AmColumnHeading"/>
              <w:keepNext/>
              <w:jc w:val="left"/>
              <w:rPr>
                <w:i w:val="0"/>
              </w:rPr>
            </w:pPr>
            <w:r w:rsidRPr="001F2E97">
              <w:rPr>
                <w:i w:val="0"/>
              </w:rPr>
              <w:t>L'allegato I della direttiva 98/24/CE è sostituito dal seguente:</w:t>
            </w:r>
          </w:p>
        </w:tc>
      </w:tr>
      <w:tr w:rsidR="001F2E97" w:rsidRPr="001F2E97" w:rsidTr="0004271C">
        <w:trPr>
          <w:gridAfter w:val="1"/>
          <w:wAfter w:w="29" w:type="dxa"/>
          <w:jc w:val="center"/>
        </w:trPr>
        <w:tc>
          <w:tcPr>
            <w:tcW w:w="9752" w:type="dxa"/>
            <w:gridSpan w:val="22"/>
          </w:tcPr>
          <w:p w:rsidR="00E941BF" w:rsidRPr="001F2E97" w:rsidRDefault="00400F6B" w:rsidP="005F4C08">
            <w:pPr>
              <w:spacing w:line="240" w:lineRule="atLeast"/>
              <w:jc w:val="center"/>
              <w:rPr>
                <w:rFonts w:eastAsia="Arial Unicode MS"/>
                <w:noProof/>
                <w:szCs w:val="24"/>
              </w:rPr>
            </w:pPr>
            <w:r w:rsidRPr="001F2E97">
              <w:t>ALLEGATO I</w:t>
            </w:r>
          </w:p>
        </w:tc>
      </w:tr>
      <w:tr w:rsidR="001F2E97" w:rsidRPr="001F2E97" w:rsidTr="0004271C">
        <w:trPr>
          <w:gridAfter w:val="1"/>
          <w:wAfter w:w="29" w:type="dxa"/>
          <w:jc w:val="center"/>
        </w:trPr>
        <w:tc>
          <w:tcPr>
            <w:tcW w:w="9752" w:type="dxa"/>
            <w:gridSpan w:val="22"/>
          </w:tcPr>
          <w:p w:rsidR="00037CB9" w:rsidRPr="001F2E97" w:rsidRDefault="00400F6B" w:rsidP="005F4C08">
            <w:pPr>
              <w:pStyle w:val="AmColumnHeading"/>
              <w:keepNext/>
              <w:jc w:val="left"/>
              <w:rPr>
                <w:i w:val="0"/>
              </w:rPr>
            </w:pPr>
            <w:r w:rsidRPr="001F2E97">
              <w:rPr>
                <w:i w:val="0"/>
              </w:rPr>
              <w:t>ELENCO DEI VALORI LIMITE DI ESPOSIZIONE PROFESSIONALE OBBLIGATORI</w:t>
            </w:r>
          </w:p>
        </w:tc>
      </w:tr>
      <w:tr w:rsidR="001F2E97" w:rsidRPr="001F2E97"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037CB9" w:rsidRPr="001F2E97" w:rsidRDefault="00400F6B">
            <w:pPr>
              <w:spacing w:before="60" w:after="60" w:line="276" w:lineRule="auto"/>
              <w:ind w:right="195"/>
              <w:jc w:val="center"/>
              <w:rPr>
                <w:bCs/>
                <w:noProof/>
                <w:szCs w:val="24"/>
              </w:rPr>
            </w:pPr>
            <w:r w:rsidRPr="001F2E97">
              <w:t>Nome agente</w:t>
            </w:r>
          </w:p>
        </w:tc>
        <w:tc>
          <w:tcPr>
            <w:tcW w:w="70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1F2E97" w:rsidRDefault="00400F6B">
            <w:pPr>
              <w:spacing w:after="60" w:line="276" w:lineRule="auto"/>
              <w:jc w:val="center"/>
              <w:rPr>
                <w:bCs/>
                <w:noProof/>
                <w:szCs w:val="24"/>
              </w:rPr>
            </w:pPr>
            <w:r w:rsidRPr="001F2E97">
              <w:t>N. CE (</w:t>
            </w:r>
            <w:r w:rsidRPr="001F2E97">
              <w:rPr>
                <w:vertAlign w:val="superscript"/>
              </w:rPr>
              <w:t>1</w:t>
            </w:r>
            <w:r w:rsidRPr="001F2E97">
              <w:t>)</w:t>
            </w:r>
          </w:p>
        </w:tc>
        <w:tc>
          <w:tcPr>
            <w:tcW w:w="70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1F2E97" w:rsidRDefault="00400F6B">
            <w:pPr>
              <w:spacing w:after="60" w:line="276" w:lineRule="auto"/>
              <w:jc w:val="center"/>
              <w:rPr>
                <w:bCs/>
                <w:noProof/>
                <w:szCs w:val="24"/>
              </w:rPr>
            </w:pPr>
            <w:r w:rsidRPr="001F2E97">
              <w:t>N. CAS (</w:t>
            </w:r>
            <w:r w:rsidRPr="001F2E97">
              <w:rPr>
                <w:vertAlign w:val="superscript"/>
              </w:rPr>
              <w:t>2</w:t>
            </w:r>
            <w:r w:rsidRPr="001F2E97">
              <w:t xml:space="preserve">) </w:t>
            </w:r>
          </w:p>
        </w:tc>
        <w:tc>
          <w:tcPr>
            <w:tcW w:w="3234" w:type="dxa"/>
            <w:gridSpan w:val="11"/>
            <w:tcBorders>
              <w:top w:val="single" w:sz="4" w:space="0" w:color="auto"/>
              <w:left w:val="single" w:sz="4" w:space="0" w:color="auto"/>
              <w:bottom w:val="single" w:sz="4" w:space="0" w:color="auto"/>
              <w:right w:val="single" w:sz="4" w:space="0" w:color="auto"/>
            </w:tcBorders>
            <w:vAlign w:val="center"/>
            <w:hideMark/>
          </w:tcPr>
          <w:p w:rsidR="00037CB9" w:rsidRPr="001F2E97" w:rsidRDefault="00400F6B">
            <w:pPr>
              <w:spacing w:before="60" w:after="60" w:line="276" w:lineRule="auto"/>
              <w:ind w:right="195"/>
              <w:jc w:val="center"/>
              <w:rPr>
                <w:bCs/>
                <w:noProof/>
                <w:szCs w:val="24"/>
              </w:rPr>
            </w:pPr>
            <w:r w:rsidRPr="001F2E97">
              <w:t>Valori limite</w:t>
            </w:r>
          </w:p>
        </w:tc>
        <w:tc>
          <w:tcPr>
            <w:tcW w:w="140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37CB9" w:rsidRPr="001F2E97" w:rsidRDefault="00400F6B">
            <w:pPr>
              <w:spacing w:before="60" w:after="60" w:line="276" w:lineRule="auto"/>
              <w:ind w:right="195"/>
              <w:jc w:val="center"/>
              <w:rPr>
                <w:bCs/>
                <w:noProof/>
                <w:szCs w:val="24"/>
              </w:rPr>
            </w:pPr>
            <w:r w:rsidRPr="001F2E97">
              <w:t xml:space="preserve"> Osservazioni</w:t>
            </w:r>
          </w:p>
        </w:tc>
        <w:tc>
          <w:tcPr>
            <w:tcW w:w="2128"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037CB9" w:rsidRPr="001F2E97" w:rsidRDefault="00400F6B">
            <w:pPr>
              <w:spacing w:before="60" w:after="60" w:line="276" w:lineRule="auto"/>
              <w:ind w:right="104"/>
              <w:jc w:val="center"/>
              <w:rPr>
                <w:bCs/>
                <w:noProof/>
                <w:szCs w:val="24"/>
              </w:rPr>
            </w:pPr>
            <w:r w:rsidRPr="001F2E97">
              <w:t>Misure transitorie</w:t>
            </w:r>
          </w:p>
        </w:tc>
      </w:tr>
      <w:tr w:rsidR="001F2E97" w:rsidRPr="001F2E97"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c>
          <w:tcPr>
            <w:tcW w:w="702"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c>
          <w:tcPr>
            <w:tcW w:w="70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c>
          <w:tcPr>
            <w:tcW w:w="1829" w:type="dxa"/>
            <w:gridSpan w:val="7"/>
            <w:tcBorders>
              <w:top w:val="single" w:sz="4" w:space="0" w:color="auto"/>
              <w:left w:val="single" w:sz="4" w:space="0" w:color="auto"/>
              <w:bottom w:val="single" w:sz="4" w:space="0" w:color="auto"/>
              <w:right w:val="single" w:sz="4" w:space="0" w:color="auto"/>
            </w:tcBorders>
            <w:hideMark/>
          </w:tcPr>
          <w:p w:rsidR="00037CB9" w:rsidRPr="001F2E97" w:rsidRDefault="00400F6B">
            <w:pPr>
              <w:spacing w:before="60" w:after="60" w:line="276" w:lineRule="auto"/>
              <w:ind w:right="195"/>
              <w:jc w:val="center"/>
              <w:rPr>
                <w:bCs/>
                <w:noProof/>
                <w:szCs w:val="24"/>
              </w:rPr>
            </w:pPr>
            <w:r w:rsidRPr="001F2E97">
              <w:t>8 ore (</w:t>
            </w:r>
            <w:r w:rsidRPr="001F2E97">
              <w:rPr>
                <w:vertAlign w:val="superscript"/>
              </w:rPr>
              <w:t>3</w:t>
            </w:r>
            <w:r w:rsidRPr="001F2E97">
              <w:t>)</w:t>
            </w:r>
          </w:p>
        </w:tc>
        <w:tc>
          <w:tcPr>
            <w:tcW w:w="1405" w:type="dxa"/>
            <w:gridSpan w:val="4"/>
            <w:tcBorders>
              <w:top w:val="single" w:sz="4" w:space="0" w:color="auto"/>
              <w:left w:val="single" w:sz="4" w:space="0" w:color="auto"/>
              <w:bottom w:val="single" w:sz="4" w:space="0" w:color="auto"/>
              <w:right w:val="single" w:sz="4" w:space="0" w:color="auto"/>
            </w:tcBorders>
            <w:hideMark/>
          </w:tcPr>
          <w:p w:rsidR="00037CB9" w:rsidRPr="001F2E97" w:rsidRDefault="00400F6B">
            <w:pPr>
              <w:spacing w:before="60" w:after="60" w:line="276" w:lineRule="auto"/>
              <w:ind w:right="195"/>
              <w:jc w:val="center"/>
              <w:rPr>
                <w:bCs/>
                <w:noProof/>
                <w:szCs w:val="24"/>
              </w:rPr>
            </w:pPr>
            <w:r w:rsidRPr="001F2E97">
              <w:t>Breve durata (</w:t>
            </w:r>
            <w:r w:rsidRPr="001F2E97">
              <w:rPr>
                <w:vertAlign w:val="superscript"/>
              </w:rPr>
              <w:t>4</w:t>
            </w:r>
            <w:r w:rsidRPr="001F2E97">
              <w:t>)</w:t>
            </w:r>
            <w:r w:rsidRPr="001F2E97">
              <w:rPr>
                <w:b/>
              </w:rPr>
              <w:t xml:space="preserve"> </w:t>
            </w:r>
          </w:p>
        </w:tc>
        <w:tc>
          <w:tcPr>
            <w:tcW w:w="140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c>
          <w:tcPr>
            <w:tcW w:w="2128" w:type="dxa"/>
            <w:gridSpan w:val="4"/>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r>
      <w:tr w:rsidR="001F2E97" w:rsidRPr="001F2E97"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c>
          <w:tcPr>
            <w:tcW w:w="702"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c>
          <w:tcPr>
            <w:tcW w:w="703"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c>
          <w:tcPr>
            <w:tcW w:w="935" w:type="dxa"/>
            <w:gridSpan w:val="4"/>
            <w:tcBorders>
              <w:top w:val="single" w:sz="4" w:space="0" w:color="auto"/>
              <w:left w:val="single" w:sz="4" w:space="0" w:color="auto"/>
              <w:bottom w:val="single" w:sz="4" w:space="0" w:color="auto"/>
              <w:right w:val="single" w:sz="4" w:space="0" w:color="auto"/>
            </w:tcBorders>
            <w:hideMark/>
          </w:tcPr>
          <w:p w:rsidR="00037CB9" w:rsidRPr="001F2E97" w:rsidRDefault="00400F6B">
            <w:pPr>
              <w:spacing w:before="60" w:after="60" w:line="276" w:lineRule="auto"/>
              <w:jc w:val="center"/>
              <w:rPr>
                <w:bCs/>
                <w:noProof/>
                <w:szCs w:val="24"/>
                <w:vertAlign w:val="superscript"/>
              </w:rPr>
            </w:pPr>
            <w:r w:rsidRPr="001F2E97">
              <w:t xml:space="preserve">µg </w:t>
            </w:r>
            <w:r w:rsidRPr="001F2E97">
              <w:rPr>
                <w:b/>
                <w:i/>
              </w:rPr>
              <w:t>NCO</w:t>
            </w:r>
            <w:r w:rsidRPr="001F2E97">
              <w:t>/m</w:t>
            </w:r>
            <w:r w:rsidRPr="001F2E97">
              <w:rPr>
                <w:vertAlign w:val="superscript"/>
              </w:rPr>
              <w:t>3</w:t>
            </w:r>
          </w:p>
          <w:p w:rsidR="00037CB9" w:rsidRPr="001F2E97" w:rsidRDefault="00400F6B">
            <w:pPr>
              <w:spacing w:before="60" w:after="60" w:line="276" w:lineRule="auto"/>
              <w:jc w:val="center"/>
              <w:rPr>
                <w:bCs/>
                <w:noProof/>
                <w:szCs w:val="24"/>
                <w:vertAlign w:val="superscript"/>
              </w:rPr>
            </w:pPr>
            <w:r w:rsidRPr="001F2E97">
              <w:t>(</w:t>
            </w:r>
            <w:r w:rsidRPr="001F2E97">
              <w:rPr>
                <w:vertAlign w:val="superscript"/>
              </w:rPr>
              <w:t>5</w:t>
            </w:r>
            <w:r w:rsidRPr="001F2E97">
              <w:t>)</w:t>
            </w:r>
            <w:r w:rsidRPr="001F2E97">
              <w:rPr>
                <w:vertAlign w:val="superscript"/>
              </w:rPr>
              <w:t xml:space="preserve">  </w:t>
            </w:r>
            <w:r w:rsidRPr="001F2E97">
              <w:t xml:space="preserve"> </w:t>
            </w:r>
          </w:p>
        </w:tc>
        <w:tc>
          <w:tcPr>
            <w:tcW w:w="331" w:type="dxa"/>
            <w:tcBorders>
              <w:top w:val="single" w:sz="4" w:space="0" w:color="auto"/>
              <w:left w:val="single" w:sz="4" w:space="0" w:color="auto"/>
              <w:bottom w:val="single" w:sz="4" w:space="0" w:color="auto"/>
              <w:right w:val="single" w:sz="4" w:space="0" w:color="auto"/>
            </w:tcBorders>
            <w:hideMark/>
          </w:tcPr>
          <w:p w:rsidR="00037CB9" w:rsidRPr="001F2E97" w:rsidRDefault="00400F6B">
            <w:pPr>
              <w:spacing w:before="60" w:after="60" w:line="276" w:lineRule="auto"/>
              <w:jc w:val="center"/>
              <w:rPr>
                <w:bCs/>
                <w:noProof/>
                <w:szCs w:val="24"/>
              </w:rPr>
            </w:pPr>
            <w:r w:rsidRPr="001F2E97">
              <w:t>ppm (</w:t>
            </w:r>
            <w:r w:rsidRPr="001F2E97">
              <w:rPr>
                <w:vertAlign w:val="superscript"/>
              </w:rPr>
              <w:t>6</w:t>
            </w:r>
            <w:r w:rsidRPr="001F2E97">
              <w:t xml:space="preserve">)     </w:t>
            </w:r>
          </w:p>
        </w:tc>
        <w:tc>
          <w:tcPr>
            <w:tcW w:w="563" w:type="dxa"/>
            <w:gridSpan w:val="2"/>
            <w:tcBorders>
              <w:top w:val="single" w:sz="4" w:space="0" w:color="auto"/>
              <w:left w:val="single" w:sz="4" w:space="0" w:color="auto"/>
              <w:bottom w:val="single" w:sz="4" w:space="0" w:color="auto"/>
              <w:right w:val="single" w:sz="4" w:space="0" w:color="auto"/>
            </w:tcBorders>
          </w:tcPr>
          <w:p w:rsidR="00037CB9" w:rsidRPr="001F2E97" w:rsidRDefault="00400F6B" w:rsidP="00037CB9">
            <w:pPr>
              <w:spacing w:before="60" w:line="276" w:lineRule="auto"/>
              <w:jc w:val="center"/>
              <w:rPr>
                <w:bCs/>
                <w:noProof/>
                <w:szCs w:val="24"/>
              </w:rPr>
            </w:pPr>
            <w:r w:rsidRPr="001F2E97">
              <w:t>f/ml (</w:t>
            </w:r>
            <w:r w:rsidRPr="001F2E97">
              <w:rPr>
                <w:vertAlign w:val="superscript"/>
              </w:rPr>
              <w:t>7</w:t>
            </w:r>
            <w:r w:rsidRPr="001F2E97">
              <w:t>)</w:t>
            </w:r>
          </w:p>
        </w:tc>
        <w:tc>
          <w:tcPr>
            <w:tcW w:w="703" w:type="dxa"/>
            <w:gridSpan w:val="2"/>
            <w:tcBorders>
              <w:top w:val="single" w:sz="4" w:space="0" w:color="auto"/>
              <w:left w:val="single" w:sz="4" w:space="0" w:color="auto"/>
              <w:bottom w:val="single" w:sz="4" w:space="0" w:color="auto"/>
              <w:right w:val="single" w:sz="4" w:space="0" w:color="auto"/>
            </w:tcBorders>
            <w:hideMark/>
          </w:tcPr>
          <w:p w:rsidR="00037CB9" w:rsidRPr="001F2E97" w:rsidRDefault="00400F6B">
            <w:pPr>
              <w:spacing w:before="60" w:after="60" w:line="276" w:lineRule="auto"/>
              <w:jc w:val="center"/>
              <w:rPr>
                <w:bCs/>
                <w:noProof/>
                <w:szCs w:val="24"/>
              </w:rPr>
            </w:pPr>
            <w:r w:rsidRPr="001F2E97">
              <w:t xml:space="preserve">µg </w:t>
            </w:r>
            <w:r w:rsidRPr="001F2E97">
              <w:rPr>
                <w:b/>
                <w:i/>
              </w:rPr>
              <w:t>NCO</w:t>
            </w:r>
            <w:r w:rsidRPr="001F2E97">
              <w:t>/m</w:t>
            </w:r>
            <w:r w:rsidRPr="001F2E97">
              <w:rPr>
                <w:vertAlign w:val="superscript"/>
              </w:rPr>
              <w:t xml:space="preserve">3 </w:t>
            </w:r>
          </w:p>
        </w:tc>
        <w:tc>
          <w:tcPr>
            <w:tcW w:w="702" w:type="dxa"/>
            <w:gridSpan w:val="2"/>
            <w:tcBorders>
              <w:top w:val="single" w:sz="4" w:space="0" w:color="auto"/>
              <w:left w:val="single" w:sz="4" w:space="0" w:color="auto"/>
              <w:bottom w:val="single" w:sz="4" w:space="0" w:color="auto"/>
              <w:right w:val="single" w:sz="4" w:space="0" w:color="auto"/>
            </w:tcBorders>
          </w:tcPr>
          <w:p w:rsidR="00037CB9" w:rsidRPr="001F2E97" w:rsidRDefault="00400F6B" w:rsidP="00037CB9">
            <w:pPr>
              <w:spacing w:before="60" w:after="60" w:line="276" w:lineRule="auto"/>
              <w:jc w:val="center"/>
              <w:rPr>
                <w:bCs/>
                <w:noProof/>
                <w:szCs w:val="24"/>
              </w:rPr>
            </w:pPr>
            <w:r w:rsidRPr="001F2E97">
              <w:t>ppm</w:t>
            </w:r>
          </w:p>
        </w:tc>
        <w:tc>
          <w:tcPr>
            <w:tcW w:w="1405" w:type="dxa"/>
            <w:gridSpan w:val="2"/>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c>
          <w:tcPr>
            <w:tcW w:w="2128" w:type="dxa"/>
            <w:gridSpan w:val="4"/>
            <w:vMerge/>
            <w:tcBorders>
              <w:top w:val="single" w:sz="4" w:space="0" w:color="auto"/>
              <w:left w:val="single" w:sz="4" w:space="0" w:color="auto"/>
              <w:bottom w:val="single" w:sz="4" w:space="0" w:color="auto"/>
              <w:right w:val="single" w:sz="4" w:space="0" w:color="auto"/>
            </w:tcBorders>
            <w:vAlign w:val="center"/>
            <w:hideMark/>
          </w:tcPr>
          <w:p w:rsidR="00037CB9" w:rsidRPr="001F2E97" w:rsidRDefault="00037CB9">
            <w:pPr>
              <w:spacing w:line="276" w:lineRule="auto"/>
              <w:rPr>
                <w:bCs/>
                <w:noProof/>
                <w:szCs w:val="24"/>
              </w:rPr>
            </w:pPr>
          </w:p>
        </w:tc>
      </w:tr>
      <w:tr w:rsidR="001F2E97" w:rsidRPr="001F2E97" w:rsidTr="00EC2EAE">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609"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1F2E97" w:rsidRDefault="00400F6B">
            <w:pPr>
              <w:spacing w:line="276" w:lineRule="auto"/>
              <w:rPr>
                <w:rFonts w:eastAsiaTheme="minorHAnsi"/>
                <w:noProof/>
                <w:szCs w:val="24"/>
              </w:rPr>
            </w:pPr>
            <w:r w:rsidRPr="001F2E97">
              <w:t>Diisocianati</w:t>
            </w:r>
          </w:p>
        </w:tc>
        <w:tc>
          <w:tcPr>
            <w:tcW w:w="702"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1F2E97" w:rsidRDefault="00037CB9">
            <w:pPr>
              <w:spacing w:before="40" w:after="40" w:line="276" w:lineRule="auto"/>
              <w:rPr>
                <w:noProof/>
                <w:szCs w:val="24"/>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1F2E97" w:rsidRDefault="00037CB9">
            <w:pPr>
              <w:spacing w:before="40" w:after="40" w:line="276" w:lineRule="auto"/>
              <w:ind w:right="195"/>
              <w:rPr>
                <w:rFonts w:eastAsiaTheme="minorHAnsi"/>
                <w:noProof/>
                <w:szCs w:val="24"/>
                <w:lang w:eastAsia="en-US"/>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1F2E97" w:rsidRDefault="00400F6B">
            <w:pPr>
              <w:spacing w:before="40" w:after="40" w:line="276" w:lineRule="auto"/>
              <w:ind w:right="195"/>
              <w:rPr>
                <w:noProof/>
                <w:szCs w:val="24"/>
              </w:rPr>
            </w:pPr>
            <w:r w:rsidRPr="001F2E97">
              <w:t xml:space="preserve">6 </w:t>
            </w:r>
          </w:p>
        </w:tc>
        <w:tc>
          <w:tcPr>
            <w:tcW w:w="563" w:type="dxa"/>
            <w:gridSpan w:val="3"/>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1F2E97" w:rsidRDefault="00037CB9">
            <w:pPr>
              <w:spacing w:before="40" w:after="40" w:line="276" w:lineRule="auto"/>
              <w:rPr>
                <w:noProof/>
                <w:szCs w:val="24"/>
              </w:rPr>
            </w:pPr>
          </w:p>
        </w:tc>
        <w:tc>
          <w:tcPr>
            <w:tcW w:w="56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1F2E97" w:rsidRDefault="00037CB9">
            <w:pPr>
              <w:spacing w:before="40" w:after="40" w:line="276" w:lineRule="auto"/>
              <w:rPr>
                <w:noProof/>
                <w:szCs w:val="24"/>
              </w:rPr>
            </w:pPr>
          </w:p>
        </w:tc>
        <w:tc>
          <w:tcPr>
            <w:tcW w:w="703"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1F2E97" w:rsidRDefault="00400F6B">
            <w:pPr>
              <w:spacing w:before="40" w:after="40" w:line="276" w:lineRule="auto"/>
              <w:rPr>
                <w:rFonts w:eastAsiaTheme="minorHAnsi"/>
                <w:noProof/>
                <w:szCs w:val="24"/>
              </w:rPr>
            </w:pPr>
            <w:r w:rsidRPr="001F2E97">
              <w:t xml:space="preserve">12 </w:t>
            </w:r>
          </w:p>
        </w:tc>
        <w:tc>
          <w:tcPr>
            <w:tcW w:w="702"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1F2E97" w:rsidRDefault="00037CB9">
            <w:pPr>
              <w:spacing w:before="40" w:after="40" w:line="276" w:lineRule="auto"/>
              <w:rPr>
                <w:noProof/>
                <w:szCs w:val="24"/>
              </w:rPr>
            </w:pPr>
          </w:p>
        </w:tc>
        <w:tc>
          <w:tcPr>
            <w:tcW w:w="140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037CB9" w:rsidRPr="001F2E97" w:rsidRDefault="00400F6B" w:rsidP="0012174F">
            <w:pPr>
              <w:spacing w:before="40" w:after="40" w:line="276" w:lineRule="auto"/>
              <w:rPr>
                <w:noProof/>
                <w:szCs w:val="24"/>
              </w:rPr>
            </w:pPr>
            <w:r w:rsidRPr="001F2E97">
              <w:t>Pelle (</w:t>
            </w:r>
            <w:r w:rsidRPr="001F2E97">
              <w:rPr>
                <w:vertAlign w:val="superscript"/>
              </w:rPr>
              <w:t>8</w:t>
            </w:r>
            <w:r w:rsidRPr="001F2E97">
              <w:t>) Sensibilizzazione cutanea e respiratoria (</w:t>
            </w:r>
            <w:r w:rsidRPr="001F2E97">
              <w:rPr>
                <w:vertAlign w:val="superscript"/>
              </w:rPr>
              <w:t>9</w:t>
            </w:r>
            <w:r w:rsidRPr="001F2E97">
              <w:t xml:space="preserve">) </w:t>
            </w:r>
          </w:p>
        </w:tc>
        <w:tc>
          <w:tcPr>
            <w:tcW w:w="2128" w:type="dxa"/>
            <w:gridSpan w:val="4"/>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037CB9" w:rsidRPr="001F2E97" w:rsidRDefault="00400F6B">
            <w:pPr>
              <w:spacing w:before="40" w:after="40" w:line="276" w:lineRule="auto"/>
              <w:rPr>
                <w:noProof/>
                <w:szCs w:val="24"/>
              </w:rPr>
            </w:pPr>
            <w:r w:rsidRPr="001F2E97">
              <w:t>Fino al 31 dicembre 2028 si applicano un valore limite di 10 µg</w:t>
            </w:r>
            <w:r w:rsidRPr="001F2E97">
              <w:rPr>
                <w:b/>
                <w:i/>
              </w:rPr>
              <w:t xml:space="preserve"> NCO</w:t>
            </w:r>
            <w:r w:rsidRPr="001F2E97">
              <w:t>/m</w:t>
            </w:r>
            <w:r w:rsidRPr="001F2E97">
              <w:rPr>
                <w:vertAlign w:val="superscript"/>
              </w:rPr>
              <w:t>3</w:t>
            </w:r>
            <w:r w:rsidRPr="001F2E97">
              <w:t xml:space="preserve"> in relazione a un periodo di riferimento di otto ore e un valore limite di esposizione di breve durata di 20 </w:t>
            </w:r>
            <w:r w:rsidRPr="001F2E97">
              <w:rPr>
                <w:b/>
                <w:i/>
              </w:rPr>
              <w:t>NCO</w:t>
            </w:r>
            <w:r w:rsidRPr="001F2E97">
              <w:t>/µg/m</w:t>
            </w:r>
            <w:r w:rsidRPr="001F2E97">
              <w:rPr>
                <w:vertAlign w:val="superscript"/>
              </w:rPr>
              <w:t>3</w:t>
            </w:r>
            <w:r w:rsidRPr="001F2E97">
              <w:t>.</w:t>
            </w:r>
          </w:p>
        </w:tc>
      </w:tr>
      <w:tr w:rsidR="001F2E97" w:rsidRPr="001F2E97" w:rsidTr="0004271C">
        <w:trPr>
          <w:gridAfter w:val="1"/>
          <w:wAfter w:w="29" w:type="dxa"/>
          <w:jc w:val="center"/>
        </w:trPr>
        <w:tc>
          <w:tcPr>
            <w:tcW w:w="9752" w:type="dxa"/>
            <w:gridSpan w:val="22"/>
          </w:tcPr>
          <w:p w:rsidR="00504A84" w:rsidRPr="001F2E97" w:rsidRDefault="00400F6B" w:rsidP="005F4C08">
            <w:pPr>
              <w:spacing w:before="40" w:after="40" w:line="276" w:lineRule="auto"/>
              <w:rPr>
                <w:noProof/>
                <w:szCs w:val="24"/>
              </w:rPr>
            </w:pPr>
            <w:r w:rsidRPr="001F2E97">
              <w:t>(</w:t>
            </w:r>
            <w:r w:rsidRPr="001F2E97">
              <w:rPr>
                <w:vertAlign w:val="superscript"/>
              </w:rPr>
              <w:t>1</w:t>
            </w:r>
            <w:r w:rsidRPr="001F2E97">
              <w:t>)    </w:t>
            </w:r>
            <w:r w:rsidRPr="001F2E97">
              <w:t>N. CE (ossia EINECS, ELINCS o NLP): è il numero ufficiale della sostanza all'interno dell'Unione europea, come definito nell'allegato VI, parte 1, punto 1.1.1.2, del regolamento (CE) n. 1272/2008.</w:t>
            </w:r>
          </w:p>
        </w:tc>
      </w:tr>
      <w:tr w:rsidR="001F2E97" w:rsidRPr="001F2E97" w:rsidTr="0004271C">
        <w:trPr>
          <w:gridAfter w:val="1"/>
          <w:wAfter w:w="29" w:type="dxa"/>
          <w:jc w:val="center"/>
        </w:trPr>
        <w:tc>
          <w:tcPr>
            <w:tcW w:w="9752" w:type="dxa"/>
            <w:gridSpan w:val="22"/>
          </w:tcPr>
          <w:p w:rsidR="00504A84" w:rsidRPr="001F2E97" w:rsidRDefault="00400F6B" w:rsidP="005F4C08">
            <w:pPr>
              <w:spacing w:before="40" w:after="40" w:line="276" w:lineRule="auto"/>
              <w:rPr>
                <w:noProof/>
                <w:szCs w:val="24"/>
              </w:rPr>
            </w:pPr>
            <w:r w:rsidRPr="001F2E97">
              <w:t>(</w:t>
            </w:r>
            <w:r w:rsidRPr="001F2E97">
              <w:rPr>
                <w:vertAlign w:val="superscript"/>
              </w:rPr>
              <w:t>2</w:t>
            </w:r>
            <w:r w:rsidRPr="001F2E97">
              <w:t>)    N. CAS: numero di registrazione CAS (</w:t>
            </w:r>
            <w:r w:rsidRPr="001F2E97">
              <w:rPr>
                <w:i/>
                <w:iCs/>
              </w:rPr>
              <w:t>Chemical Abstr</w:t>
            </w:r>
            <w:r w:rsidRPr="001F2E97">
              <w:rPr>
                <w:i/>
                <w:iCs/>
              </w:rPr>
              <w:t>act Service</w:t>
            </w:r>
            <w:r w:rsidRPr="001F2E97">
              <w:t>).</w:t>
            </w:r>
          </w:p>
        </w:tc>
      </w:tr>
      <w:tr w:rsidR="001F2E97" w:rsidRPr="001F2E97" w:rsidTr="0004271C">
        <w:trPr>
          <w:gridAfter w:val="1"/>
          <w:wAfter w:w="29" w:type="dxa"/>
          <w:jc w:val="center"/>
        </w:trPr>
        <w:tc>
          <w:tcPr>
            <w:tcW w:w="9752" w:type="dxa"/>
            <w:gridSpan w:val="22"/>
          </w:tcPr>
          <w:p w:rsidR="00504A84" w:rsidRPr="001F2E97" w:rsidRDefault="00400F6B" w:rsidP="005F4C08">
            <w:pPr>
              <w:spacing w:before="40" w:after="40" w:line="276" w:lineRule="auto"/>
              <w:rPr>
                <w:noProof/>
                <w:szCs w:val="24"/>
              </w:rPr>
            </w:pPr>
            <w:r w:rsidRPr="001F2E97">
              <w:t>(</w:t>
            </w:r>
            <w:r w:rsidRPr="001F2E97">
              <w:rPr>
                <w:vertAlign w:val="superscript"/>
              </w:rPr>
              <w:t>3</w:t>
            </w:r>
            <w:r w:rsidRPr="001F2E97">
              <w:t>)    Misurato o calcolato in relazione a un periodo di riferimento di otto ore, media ponderata nel tempo (TWA).</w:t>
            </w:r>
          </w:p>
        </w:tc>
      </w:tr>
      <w:tr w:rsidR="001F2E97" w:rsidRPr="001F2E97" w:rsidTr="0004271C">
        <w:trPr>
          <w:gridAfter w:val="1"/>
          <w:wAfter w:w="29" w:type="dxa"/>
          <w:jc w:val="center"/>
        </w:trPr>
        <w:tc>
          <w:tcPr>
            <w:tcW w:w="9752" w:type="dxa"/>
            <w:gridSpan w:val="22"/>
          </w:tcPr>
          <w:p w:rsidR="00504A84" w:rsidRPr="001F2E97" w:rsidRDefault="00400F6B" w:rsidP="005F4C08">
            <w:pPr>
              <w:spacing w:line="240" w:lineRule="atLeast"/>
              <w:rPr>
                <w:noProof/>
                <w:szCs w:val="24"/>
              </w:rPr>
            </w:pPr>
            <w:r w:rsidRPr="001F2E97">
              <w:t>(</w:t>
            </w:r>
            <w:r w:rsidRPr="001F2E97">
              <w:rPr>
                <w:vertAlign w:val="superscript"/>
              </w:rPr>
              <w:t>4</w:t>
            </w:r>
            <w:r w:rsidRPr="001F2E97">
              <w:t xml:space="preserve">)    Limite per esposizione di breve durata (STEL). </w:t>
            </w:r>
            <w:r w:rsidRPr="001F2E97">
              <w:t>Valore limite al di sopra del quale l'esposizione dovrebbe essere evitata e che si riferisce a un periodo di 15 minuti salvo indicazione contraria.</w:t>
            </w:r>
          </w:p>
        </w:tc>
      </w:tr>
      <w:tr w:rsidR="001F2E97" w:rsidRPr="001F2E97" w:rsidTr="0004271C">
        <w:trPr>
          <w:gridAfter w:val="1"/>
          <w:wAfter w:w="29" w:type="dxa"/>
          <w:jc w:val="center"/>
        </w:trPr>
        <w:tc>
          <w:tcPr>
            <w:tcW w:w="9752" w:type="dxa"/>
            <w:gridSpan w:val="22"/>
          </w:tcPr>
          <w:p w:rsidR="00504A84" w:rsidRPr="001F2E97" w:rsidRDefault="00400F6B" w:rsidP="005F4C08">
            <w:pPr>
              <w:spacing w:line="240" w:lineRule="atLeast"/>
              <w:rPr>
                <w:rFonts w:eastAsia="Arial Unicode MS"/>
                <w:noProof/>
                <w:szCs w:val="24"/>
              </w:rPr>
            </w:pPr>
            <w:r w:rsidRPr="001F2E97">
              <w:t>(</w:t>
            </w:r>
            <w:r w:rsidRPr="001F2E97">
              <w:rPr>
                <w:vertAlign w:val="superscript"/>
              </w:rPr>
              <w:t>5</w:t>
            </w:r>
            <w:r w:rsidRPr="001F2E97">
              <w:t>)    </w:t>
            </w:r>
            <w:r w:rsidRPr="001F2E97">
              <w:rPr>
                <w:b/>
                <w:i/>
              </w:rPr>
              <w:t>Misurato come</w:t>
            </w:r>
            <w:r w:rsidRPr="001F2E97">
              <w:t xml:space="preserve"> µg </w:t>
            </w:r>
            <w:r w:rsidRPr="001F2E97">
              <w:rPr>
                <w:b/>
                <w:i/>
              </w:rPr>
              <w:t xml:space="preserve">NCO </w:t>
            </w:r>
            <w:r w:rsidRPr="001F2E97">
              <w:t>/m</w:t>
            </w:r>
            <w:r w:rsidRPr="001F2E97">
              <w:rPr>
                <w:vertAlign w:val="superscript"/>
              </w:rPr>
              <w:t xml:space="preserve">3 </w:t>
            </w:r>
            <w:r w:rsidRPr="001F2E97">
              <w:t xml:space="preserve">= microgrammi di </w:t>
            </w:r>
            <w:r w:rsidRPr="001F2E97">
              <w:rPr>
                <w:b/>
                <w:i/>
              </w:rPr>
              <w:t>NCO/gruppo isocianato dai diisocianati</w:t>
            </w:r>
            <w:r w:rsidRPr="001F2E97">
              <w:t xml:space="preserve"> per metro cubo di a</w:t>
            </w:r>
            <w:r w:rsidRPr="001F2E97">
              <w:t>ria.</w:t>
            </w:r>
          </w:p>
        </w:tc>
      </w:tr>
      <w:tr w:rsidR="001F2E97" w:rsidRPr="001F2E97" w:rsidTr="0004271C">
        <w:trPr>
          <w:gridAfter w:val="1"/>
          <w:wAfter w:w="29" w:type="dxa"/>
          <w:jc w:val="center"/>
        </w:trPr>
        <w:tc>
          <w:tcPr>
            <w:tcW w:w="9752" w:type="dxa"/>
            <w:gridSpan w:val="22"/>
          </w:tcPr>
          <w:p w:rsidR="00504A84" w:rsidRPr="001F2E97" w:rsidRDefault="00400F6B" w:rsidP="005F4C08">
            <w:pPr>
              <w:spacing w:line="240" w:lineRule="atLeast"/>
              <w:rPr>
                <w:rFonts w:eastAsia="Arial Unicode MS"/>
                <w:noProof/>
                <w:szCs w:val="24"/>
              </w:rPr>
            </w:pPr>
            <w:r w:rsidRPr="001F2E97">
              <w:t>(</w:t>
            </w:r>
            <w:r w:rsidRPr="001F2E97">
              <w:rPr>
                <w:vertAlign w:val="superscript"/>
              </w:rPr>
              <w:t>6</w:t>
            </w:r>
            <w:r w:rsidRPr="001F2E97">
              <w:t>)    ppm: parti per milione per volume di aria (ml/m3).</w:t>
            </w:r>
          </w:p>
        </w:tc>
      </w:tr>
      <w:tr w:rsidR="001F2E97" w:rsidRPr="001F2E97" w:rsidTr="0004271C">
        <w:trPr>
          <w:gridAfter w:val="1"/>
          <w:wAfter w:w="29" w:type="dxa"/>
          <w:jc w:val="center"/>
        </w:trPr>
        <w:tc>
          <w:tcPr>
            <w:tcW w:w="9752" w:type="dxa"/>
            <w:gridSpan w:val="22"/>
          </w:tcPr>
          <w:p w:rsidR="00504A84" w:rsidRPr="001F2E97" w:rsidRDefault="00400F6B" w:rsidP="005F4C08">
            <w:pPr>
              <w:spacing w:line="240" w:lineRule="atLeast"/>
              <w:rPr>
                <w:rFonts w:eastAsia="Arial Unicode MS"/>
                <w:noProof/>
                <w:szCs w:val="24"/>
              </w:rPr>
            </w:pPr>
            <w:r w:rsidRPr="001F2E97">
              <w:t>(</w:t>
            </w:r>
            <w:r w:rsidRPr="001F2E97">
              <w:rPr>
                <w:vertAlign w:val="superscript"/>
              </w:rPr>
              <w:t>7</w:t>
            </w:r>
            <w:r w:rsidRPr="001F2E97">
              <w:t>)    f/ml = fibre per millilitro.</w:t>
            </w:r>
          </w:p>
        </w:tc>
      </w:tr>
      <w:tr w:rsidR="001F2E97" w:rsidRPr="001F2E97" w:rsidTr="0004271C">
        <w:trPr>
          <w:gridAfter w:val="1"/>
          <w:wAfter w:w="29" w:type="dxa"/>
          <w:jc w:val="center"/>
        </w:trPr>
        <w:tc>
          <w:tcPr>
            <w:tcW w:w="9752" w:type="dxa"/>
            <w:gridSpan w:val="22"/>
          </w:tcPr>
          <w:p w:rsidR="00504A84" w:rsidRPr="001F2E97" w:rsidRDefault="00400F6B" w:rsidP="00504A84">
            <w:pPr>
              <w:spacing w:before="40" w:after="40" w:line="276" w:lineRule="auto"/>
              <w:rPr>
                <w:noProof/>
                <w:szCs w:val="24"/>
              </w:rPr>
            </w:pPr>
            <w:r w:rsidRPr="001F2E97">
              <w:t>(</w:t>
            </w:r>
            <w:r w:rsidRPr="001F2E97">
              <w:rPr>
                <w:vertAlign w:val="superscript"/>
              </w:rPr>
              <w:t>8</w:t>
            </w:r>
            <w:r w:rsidRPr="001F2E97">
              <w:t>)    La sostanza può causare sensibilizzazione cutanea.</w:t>
            </w:r>
          </w:p>
        </w:tc>
      </w:tr>
      <w:tr w:rsidR="001F2E97" w:rsidRPr="001F2E97" w:rsidTr="0004271C">
        <w:trPr>
          <w:gridAfter w:val="1"/>
          <w:wAfter w:w="29" w:type="dxa"/>
          <w:jc w:val="center"/>
        </w:trPr>
        <w:tc>
          <w:tcPr>
            <w:tcW w:w="9752" w:type="dxa"/>
            <w:gridSpan w:val="22"/>
          </w:tcPr>
          <w:p w:rsidR="00504A84" w:rsidRPr="001F2E97" w:rsidRDefault="00400F6B" w:rsidP="00504A84">
            <w:pPr>
              <w:spacing w:line="240" w:lineRule="atLeast"/>
              <w:rPr>
                <w:rFonts w:eastAsia="Arial Unicode MS"/>
                <w:noProof/>
                <w:szCs w:val="24"/>
              </w:rPr>
            </w:pPr>
            <w:r w:rsidRPr="001F2E97">
              <w:t>(</w:t>
            </w:r>
            <w:r w:rsidRPr="001F2E97">
              <w:rPr>
                <w:vertAlign w:val="superscript"/>
              </w:rPr>
              <w:t>9</w:t>
            </w:r>
            <w:r w:rsidRPr="001F2E97">
              <w:t>)    La sostanza può causare sensibilizzazione cutanea e delle vie respiratorie.".</w:t>
            </w:r>
          </w:p>
        </w:tc>
      </w:tr>
    </w:tbl>
    <w:p w:rsidR="00037CB9" w:rsidRPr="001F2E97" w:rsidRDefault="00400F6B" w:rsidP="00037CB9">
      <w:pPr>
        <w:pStyle w:val="AmOrLang"/>
      </w:pPr>
      <w:r w:rsidRPr="001F2E97">
        <w:t xml:space="preserve">Or. </w:t>
      </w:r>
      <w:r w:rsidRPr="001F2E97">
        <w:rPr>
          <w:rStyle w:val="HideTWBExt"/>
          <w:noProof w:val="0"/>
          <w:color w:val="auto"/>
        </w:rPr>
        <w:t>&lt;Orig</w:t>
      </w:r>
      <w:r w:rsidRPr="001F2E97">
        <w:rPr>
          <w:rStyle w:val="HideTWBExt"/>
          <w:noProof w:val="0"/>
          <w:color w:val="auto"/>
        </w:rPr>
        <w:t>inal&gt;</w:t>
      </w:r>
      <w:r w:rsidRPr="001F2E97">
        <w:rPr>
          <w:rStyle w:val="HideTWBInt"/>
          <w:color w:val="auto"/>
        </w:rPr>
        <w:t>{EN}</w:t>
      </w:r>
      <w:r w:rsidRPr="001F2E97">
        <w:t>en</w:t>
      </w:r>
      <w:r w:rsidRPr="001F2E97">
        <w:rPr>
          <w:rStyle w:val="HideTWBExt"/>
          <w:noProof w:val="0"/>
          <w:color w:val="auto"/>
        </w:rPr>
        <w:t>&lt;/Original&gt;</w:t>
      </w:r>
    </w:p>
    <w:p w:rsidR="00C730C7" w:rsidRPr="001F2E97" w:rsidRDefault="00400F6B" w:rsidP="00C730C7">
      <w:r w:rsidRPr="001F2E97">
        <w:rPr>
          <w:rStyle w:val="HideTWBExt"/>
          <w:color w:val="auto"/>
        </w:rPr>
        <w:t>&lt;/Amend&gt;</w:t>
      </w:r>
    </w:p>
    <w:p w:rsidR="00D9167F" w:rsidRPr="001F2E97" w:rsidRDefault="00400F6B" w:rsidP="00D9167F">
      <w:pPr>
        <w:pStyle w:val="AmNumberTabs"/>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30</w:t>
      </w:r>
      <w:r w:rsidRPr="001F2E97">
        <w:rPr>
          <w:rStyle w:val="HideTWBExt"/>
          <w:b w:val="0"/>
          <w:color w:val="auto"/>
        </w:rPr>
        <w:t>&lt;/NumAm&gt;</w:t>
      </w:r>
    </w:p>
    <w:p w:rsidR="00D9167F" w:rsidRPr="001F2E97" w:rsidRDefault="00400F6B" w:rsidP="00D9167F">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D9167F" w:rsidRPr="001F2E97" w:rsidRDefault="00400F6B" w:rsidP="00D9167F">
      <w:pPr>
        <w:pStyle w:val="NormalBold"/>
        <w:keepNext/>
      </w:pPr>
      <w:r w:rsidRPr="001F2E97">
        <w:rPr>
          <w:rStyle w:val="HideTWBExt"/>
          <w:b w:val="0"/>
          <w:color w:val="auto"/>
        </w:rPr>
        <w:t>&lt;Article&gt;</w:t>
      </w:r>
      <w:r w:rsidRPr="001F2E97">
        <w:t>Allegato II – parte introduttiva</w:t>
      </w:r>
      <w:r w:rsidRPr="001F2E9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792141">
        <w:trPr>
          <w:jc w:val="center"/>
        </w:trPr>
        <w:tc>
          <w:tcPr>
            <w:tcW w:w="9752" w:type="dxa"/>
            <w:gridSpan w:val="2"/>
          </w:tcPr>
          <w:p w:rsidR="00D9167F" w:rsidRPr="001F2E97" w:rsidRDefault="00D9167F" w:rsidP="00792141">
            <w:pPr>
              <w:keepNext/>
            </w:pPr>
          </w:p>
        </w:tc>
      </w:tr>
      <w:tr w:rsidR="001F2E97" w:rsidRPr="001F2E97" w:rsidTr="00792141">
        <w:trPr>
          <w:jc w:val="center"/>
        </w:trPr>
        <w:tc>
          <w:tcPr>
            <w:tcW w:w="4876" w:type="dxa"/>
          </w:tcPr>
          <w:p w:rsidR="00D9167F" w:rsidRPr="001F2E97" w:rsidRDefault="00400F6B" w:rsidP="00D9167F">
            <w:pPr>
              <w:pStyle w:val="AmColumnHeading"/>
              <w:keepNext/>
            </w:pPr>
            <w:r w:rsidRPr="001F2E97">
              <w:t>Testo della Commissione</w:t>
            </w:r>
          </w:p>
        </w:tc>
        <w:tc>
          <w:tcPr>
            <w:tcW w:w="4876" w:type="dxa"/>
          </w:tcPr>
          <w:p w:rsidR="00D9167F" w:rsidRPr="001F2E97" w:rsidRDefault="00400F6B" w:rsidP="00792141">
            <w:pPr>
              <w:pStyle w:val="AmColumnHeading"/>
              <w:keepNext/>
            </w:pPr>
            <w:r w:rsidRPr="001F2E97">
              <w:t>Emendamento</w:t>
            </w:r>
          </w:p>
        </w:tc>
      </w:tr>
      <w:tr w:rsidR="001F2E97" w:rsidRPr="001F2E97" w:rsidTr="00792141">
        <w:trPr>
          <w:jc w:val="center"/>
        </w:trPr>
        <w:tc>
          <w:tcPr>
            <w:tcW w:w="4876" w:type="dxa"/>
          </w:tcPr>
          <w:p w:rsidR="00D9167F" w:rsidRPr="001F2E97" w:rsidRDefault="00400F6B" w:rsidP="00945BF3">
            <w:pPr>
              <w:pStyle w:val="Normal6a"/>
            </w:pPr>
            <w:r w:rsidRPr="001F2E97">
              <w:t>Gli allegati III e III bis della direttiva 2004/37/CE sono così modificati:</w:t>
            </w:r>
          </w:p>
        </w:tc>
        <w:tc>
          <w:tcPr>
            <w:tcW w:w="4876" w:type="dxa"/>
          </w:tcPr>
          <w:p w:rsidR="00D9167F" w:rsidRPr="001F2E97" w:rsidRDefault="00400F6B" w:rsidP="00D9167F">
            <w:pPr>
              <w:pStyle w:val="Normal6a"/>
              <w:rPr>
                <w:szCs w:val="24"/>
              </w:rPr>
            </w:pPr>
            <w:r w:rsidRPr="001F2E97">
              <w:t xml:space="preserve">Gli allegati </w:t>
            </w:r>
            <w:r w:rsidRPr="001F2E97">
              <w:rPr>
                <w:b/>
                <w:i/>
              </w:rPr>
              <w:t>I,</w:t>
            </w:r>
            <w:r w:rsidRPr="001F2E97">
              <w:t xml:space="preserve"> III e III bis della direttiva 2004/37/CE sono così modificati:</w:t>
            </w:r>
          </w:p>
        </w:tc>
      </w:tr>
    </w:tbl>
    <w:p w:rsidR="00D9167F" w:rsidRPr="001F2E97" w:rsidRDefault="00400F6B" w:rsidP="00D9167F">
      <w:pPr>
        <w:pStyle w:val="AmOrLang"/>
      </w:pPr>
      <w:r w:rsidRPr="001F2E97">
        <w:t xml:space="preserve">Or. </w:t>
      </w:r>
      <w:r w:rsidRPr="001F2E97">
        <w:rPr>
          <w:rStyle w:val="HideTWBExt"/>
          <w:noProof w:val="0"/>
          <w:color w:val="auto"/>
        </w:rPr>
        <w:t>&lt;Original&gt;</w:t>
      </w:r>
      <w:r w:rsidRPr="001F2E97">
        <w:rPr>
          <w:rStyle w:val="HideTWBInt"/>
          <w:color w:val="auto"/>
        </w:rPr>
        <w:t>{EN}</w:t>
      </w:r>
      <w:r w:rsidRPr="001F2E97">
        <w:t>en</w:t>
      </w:r>
      <w:r w:rsidRPr="001F2E97">
        <w:rPr>
          <w:rStyle w:val="HideTWBExt"/>
          <w:noProof w:val="0"/>
          <w:color w:val="auto"/>
        </w:rPr>
        <w:t>&lt;/Original&gt;</w:t>
      </w:r>
    </w:p>
    <w:p w:rsidR="00D9167F" w:rsidRPr="001F2E97" w:rsidRDefault="00400F6B" w:rsidP="00D9167F">
      <w:pPr>
        <w:pStyle w:val="AmJustTitle"/>
      </w:pPr>
      <w:r w:rsidRPr="001F2E97">
        <w:rPr>
          <w:rStyle w:val="HideTWBExt"/>
          <w:i w:val="0"/>
          <w:color w:val="auto"/>
        </w:rPr>
        <w:t>&lt;TitreJust&gt;</w:t>
      </w:r>
      <w:r w:rsidRPr="001F2E97">
        <w:t>Motivazione</w:t>
      </w:r>
      <w:r w:rsidRPr="001F2E97">
        <w:rPr>
          <w:rStyle w:val="HideTWBExt"/>
          <w:i w:val="0"/>
          <w:color w:val="auto"/>
        </w:rPr>
        <w:t>&lt;/TitreJust&gt;</w:t>
      </w:r>
    </w:p>
    <w:p w:rsidR="00D9167F" w:rsidRPr="001F2E97" w:rsidRDefault="00400F6B" w:rsidP="00D9167F">
      <w:pPr>
        <w:pStyle w:val="AmJustText"/>
      </w:pPr>
      <w:r w:rsidRPr="001F2E97">
        <w:t>L'allegato I riguarda tutte le sostanze pericolose disciplinate dalla presente direttiva, tra cui gli "agenti mutageni" e le "sostanze tossiche per la riproduzione".</w:t>
      </w:r>
    </w:p>
    <w:p w:rsidR="00D9167F" w:rsidRPr="001F2E97" w:rsidRDefault="00400F6B" w:rsidP="00D9167F">
      <w:r w:rsidRPr="001F2E97">
        <w:rPr>
          <w:rStyle w:val="HideTWBExt"/>
          <w:color w:val="auto"/>
        </w:rPr>
        <w:t>&lt;/Amend&gt;</w:t>
      </w:r>
    </w:p>
    <w:p w:rsidR="00105F9B" w:rsidRPr="001F2E97" w:rsidRDefault="00400F6B" w:rsidP="00105F9B">
      <w:pPr>
        <w:pStyle w:val="AmNumberTabs"/>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31</w:t>
      </w:r>
      <w:r w:rsidRPr="001F2E97">
        <w:rPr>
          <w:rStyle w:val="HideTWBExt"/>
          <w:b w:val="0"/>
          <w:color w:val="auto"/>
        </w:rPr>
        <w:t>&lt;/NumAm&gt;</w:t>
      </w:r>
    </w:p>
    <w:p w:rsidR="00105F9B" w:rsidRPr="001F2E97" w:rsidRDefault="00400F6B" w:rsidP="00105F9B">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105F9B" w:rsidRPr="001F2E97" w:rsidRDefault="00400F6B" w:rsidP="00105F9B">
      <w:pPr>
        <w:pStyle w:val="NormalBold"/>
        <w:keepNext/>
      </w:pPr>
      <w:r w:rsidRPr="001F2E97">
        <w:rPr>
          <w:rStyle w:val="HideTWBExt"/>
          <w:b w:val="0"/>
          <w:color w:val="auto"/>
        </w:rPr>
        <w:t>&lt;Article&gt;</w:t>
      </w:r>
      <w:r w:rsidRPr="001F2E97">
        <w:t>Allegato II – punto -1 (nuovo)</w:t>
      </w:r>
      <w:r w:rsidRPr="001F2E97">
        <w:rPr>
          <w:rStyle w:val="HideTWBExt"/>
          <w:b w:val="0"/>
          <w:color w:val="auto"/>
        </w:rPr>
        <w:t>&lt;/Article&gt;</w:t>
      </w:r>
    </w:p>
    <w:p w:rsidR="00105F9B" w:rsidRPr="001F2E97" w:rsidRDefault="00400F6B" w:rsidP="00105F9B">
      <w:pPr>
        <w:keepNext/>
      </w:pPr>
      <w:r w:rsidRPr="001F2E97">
        <w:rPr>
          <w:rStyle w:val="HideTWBExt"/>
          <w:color w:val="auto"/>
        </w:rPr>
        <w:t>&lt;DocAmend2&gt;</w:t>
      </w:r>
      <w:r w:rsidRPr="001F2E97">
        <w:t>Direttiva 2004/37/CE</w:t>
      </w:r>
      <w:r w:rsidRPr="001F2E97">
        <w:rPr>
          <w:rStyle w:val="HideTWBExt"/>
          <w:color w:val="auto"/>
        </w:rPr>
        <w:t>&lt;/DocAmend2&gt;</w:t>
      </w:r>
    </w:p>
    <w:p w:rsidR="00105F9B" w:rsidRPr="001F2E97" w:rsidRDefault="00400F6B" w:rsidP="00105F9B">
      <w:r w:rsidRPr="001F2E97">
        <w:rPr>
          <w:rStyle w:val="HideTWBExt"/>
          <w:color w:val="auto"/>
        </w:rPr>
        <w:t>&lt;Article2&gt;</w:t>
      </w:r>
      <w:r w:rsidRPr="001F2E97">
        <w:t>Allegato I – titolo</w:t>
      </w:r>
      <w:r w:rsidRPr="001F2E97">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5F4C08">
        <w:trPr>
          <w:jc w:val="center"/>
        </w:trPr>
        <w:tc>
          <w:tcPr>
            <w:tcW w:w="9752" w:type="dxa"/>
            <w:gridSpan w:val="2"/>
          </w:tcPr>
          <w:p w:rsidR="00105F9B" w:rsidRPr="001F2E97" w:rsidRDefault="00105F9B" w:rsidP="005F4C08">
            <w:pPr>
              <w:keepNext/>
            </w:pPr>
          </w:p>
        </w:tc>
      </w:tr>
      <w:tr w:rsidR="001F2E97" w:rsidRPr="001F2E97" w:rsidTr="005F4C08">
        <w:trPr>
          <w:jc w:val="center"/>
        </w:trPr>
        <w:tc>
          <w:tcPr>
            <w:tcW w:w="4876" w:type="dxa"/>
          </w:tcPr>
          <w:p w:rsidR="00105F9B" w:rsidRPr="001F2E97" w:rsidRDefault="00400F6B" w:rsidP="005F4C08">
            <w:pPr>
              <w:pStyle w:val="AmColumnHeading"/>
              <w:keepNext/>
            </w:pPr>
            <w:r w:rsidRPr="001F2E97">
              <w:t>Testo in vigore</w:t>
            </w:r>
          </w:p>
        </w:tc>
        <w:tc>
          <w:tcPr>
            <w:tcW w:w="4876" w:type="dxa"/>
          </w:tcPr>
          <w:p w:rsidR="00105F9B" w:rsidRPr="001F2E97" w:rsidRDefault="00400F6B" w:rsidP="005F4C08">
            <w:pPr>
              <w:pStyle w:val="AmColumnHeading"/>
              <w:keepNext/>
            </w:pPr>
            <w:r w:rsidRPr="001F2E97">
              <w:t>Emendamento</w:t>
            </w:r>
          </w:p>
        </w:tc>
      </w:tr>
      <w:tr w:rsidR="001F2E97" w:rsidRPr="001F2E97" w:rsidTr="005F4C08">
        <w:trPr>
          <w:jc w:val="center"/>
        </w:trPr>
        <w:tc>
          <w:tcPr>
            <w:tcW w:w="4876" w:type="dxa"/>
          </w:tcPr>
          <w:p w:rsidR="00C5402B" w:rsidRPr="001F2E97" w:rsidRDefault="00C5402B" w:rsidP="00C5402B">
            <w:pPr>
              <w:pStyle w:val="Normal6a"/>
              <w:jc w:val="center"/>
            </w:pPr>
          </w:p>
        </w:tc>
        <w:tc>
          <w:tcPr>
            <w:tcW w:w="4876" w:type="dxa"/>
          </w:tcPr>
          <w:p w:rsidR="00C5402B" w:rsidRPr="001F2E97" w:rsidRDefault="00400F6B" w:rsidP="007C2624">
            <w:pPr>
              <w:pStyle w:val="Normal6a"/>
              <w:rPr>
                <w:b/>
                <w:i/>
                <w:szCs w:val="24"/>
              </w:rPr>
            </w:pPr>
            <w:r w:rsidRPr="001F2E97">
              <w:rPr>
                <w:b/>
                <w:i/>
              </w:rPr>
              <w:t xml:space="preserve">-1) </w:t>
            </w:r>
            <w:r w:rsidRPr="001F2E97">
              <w:rPr>
                <w:b/>
                <w:i/>
              </w:rPr>
              <w:tab/>
              <w:t>nell'allegato I la tabella è modificata come segue:</w:t>
            </w:r>
          </w:p>
        </w:tc>
      </w:tr>
      <w:tr w:rsidR="001F2E97" w:rsidRPr="001F2E97" w:rsidTr="005F4C08">
        <w:trPr>
          <w:jc w:val="center"/>
        </w:trPr>
        <w:tc>
          <w:tcPr>
            <w:tcW w:w="4876" w:type="dxa"/>
          </w:tcPr>
          <w:p w:rsidR="00C5402B" w:rsidRPr="001F2E97" w:rsidRDefault="00400F6B" w:rsidP="00C5402B">
            <w:pPr>
              <w:pStyle w:val="Normal6a"/>
            </w:pPr>
            <w:r w:rsidRPr="001F2E97">
              <w:t>Elenco di sostanze, miscele e procedimenti</w:t>
            </w:r>
          </w:p>
        </w:tc>
        <w:tc>
          <w:tcPr>
            <w:tcW w:w="4876" w:type="dxa"/>
          </w:tcPr>
          <w:p w:rsidR="00C5402B" w:rsidRPr="001F2E97" w:rsidRDefault="00400F6B" w:rsidP="00C5402B">
            <w:pPr>
              <w:pStyle w:val="Normal6a"/>
            </w:pPr>
            <w:r w:rsidRPr="001F2E97">
              <w:t>Elenco di sostanze, miscele e procedimenti</w:t>
            </w:r>
          </w:p>
        </w:tc>
      </w:tr>
      <w:tr w:rsidR="001F2E97" w:rsidRPr="001F2E97" w:rsidTr="005F4C08">
        <w:trPr>
          <w:jc w:val="center"/>
        </w:trPr>
        <w:tc>
          <w:tcPr>
            <w:tcW w:w="4876" w:type="dxa"/>
          </w:tcPr>
          <w:p w:rsidR="00C5402B" w:rsidRPr="001F2E97" w:rsidRDefault="00400F6B" w:rsidP="00C5402B">
            <w:pPr>
              <w:pStyle w:val="Normal6a"/>
              <w:jc w:val="center"/>
              <w:rPr>
                <w:b/>
                <w:i/>
              </w:rPr>
            </w:pPr>
            <w:r w:rsidRPr="001F2E97">
              <w:rPr>
                <w:b/>
                <w:i/>
              </w:rPr>
              <w:t>[Articolo 2, lettera a), punto iii)]</w:t>
            </w:r>
          </w:p>
        </w:tc>
        <w:tc>
          <w:tcPr>
            <w:tcW w:w="4876" w:type="dxa"/>
          </w:tcPr>
          <w:p w:rsidR="00C5402B" w:rsidRPr="001F2E97" w:rsidRDefault="00400F6B" w:rsidP="00C5402B">
            <w:pPr>
              <w:pStyle w:val="Normal6a"/>
              <w:jc w:val="center"/>
              <w:rPr>
                <w:b/>
                <w:i/>
              </w:rPr>
            </w:pPr>
            <w:r w:rsidRPr="001F2E97">
              <w:rPr>
                <w:b/>
                <w:i/>
              </w:rPr>
              <w:t>[Articolo 2, lettera a), punto ii), articolo 2, lettera b), punto ii), articolo 2, lettera b bis), punto ii)]"</w:t>
            </w:r>
          </w:p>
        </w:tc>
      </w:tr>
    </w:tbl>
    <w:p w:rsidR="00105F9B" w:rsidRPr="001F2E97" w:rsidRDefault="00400F6B" w:rsidP="00105F9B">
      <w:pPr>
        <w:pStyle w:val="AmOrLang"/>
      </w:pPr>
      <w:r w:rsidRPr="001F2E97">
        <w:t xml:space="preserve">Or. </w:t>
      </w:r>
      <w:r w:rsidRPr="001F2E97">
        <w:rPr>
          <w:rStyle w:val="HideTWBExt"/>
          <w:noProof w:val="0"/>
          <w:color w:val="auto"/>
        </w:rPr>
        <w:t>&lt;Original&gt;</w:t>
      </w:r>
      <w:r w:rsidRPr="001F2E97">
        <w:rPr>
          <w:rStyle w:val="HideTWBInt"/>
          <w:color w:val="auto"/>
        </w:rPr>
        <w:t>{EN}</w:t>
      </w:r>
      <w:r w:rsidRPr="001F2E97">
        <w:t>en</w:t>
      </w:r>
      <w:r w:rsidRPr="001F2E97">
        <w:rPr>
          <w:rStyle w:val="HideTWBExt"/>
          <w:noProof w:val="0"/>
          <w:color w:val="auto"/>
        </w:rPr>
        <w:t>&lt;/Original&gt;</w:t>
      </w:r>
    </w:p>
    <w:p w:rsidR="00105F9B" w:rsidRPr="001F2E97" w:rsidRDefault="00400F6B" w:rsidP="00105F9B">
      <w:pPr>
        <w:pStyle w:val="AmJustTitle"/>
      </w:pPr>
      <w:r w:rsidRPr="001F2E97">
        <w:rPr>
          <w:rStyle w:val="HideTWBExt"/>
          <w:i w:val="0"/>
          <w:color w:val="auto"/>
        </w:rPr>
        <w:t>&lt;TitreJust&gt;</w:t>
      </w:r>
      <w:r w:rsidRPr="001F2E97">
        <w:t>Motivazione</w:t>
      </w:r>
      <w:r w:rsidRPr="001F2E97">
        <w:rPr>
          <w:rStyle w:val="HideTWBExt"/>
          <w:i w:val="0"/>
          <w:color w:val="auto"/>
        </w:rPr>
        <w:t>&lt;/TitreJust&gt;</w:t>
      </w:r>
    </w:p>
    <w:p w:rsidR="00105F9B" w:rsidRPr="001F2E97" w:rsidRDefault="00400F6B" w:rsidP="00105F9B">
      <w:pPr>
        <w:pStyle w:val="AmJustText"/>
      </w:pPr>
      <w:r w:rsidRPr="001F2E97">
        <w:t>L'allegato I riguarda tutte le sostanze pericolose disciplinate dalla presente direttiva, tra cui gli "agenti mutageni" e le "sostanze tossiche per la riproduzione".</w:t>
      </w:r>
    </w:p>
    <w:p w:rsidR="00105F9B" w:rsidRPr="001F2E97" w:rsidRDefault="00400F6B" w:rsidP="00105F9B">
      <w:r w:rsidRPr="001F2E97">
        <w:rPr>
          <w:rStyle w:val="HideTWBExt"/>
          <w:color w:val="auto"/>
        </w:rPr>
        <w:t>&lt;/Amend&gt;</w:t>
      </w:r>
    </w:p>
    <w:p w:rsidR="00F4607D" w:rsidRPr="001F2E97" w:rsidRDefault="00400F6B" w:rsidP="00F4607D">
      <w:pPr>
        <w:pStyle w:val="AmNumberTabs"/>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32</w:t>
      </w:r>
      <w:r w:rsidRPr="001F2E97">
        <w:rPr>
          <w:rStyle w:val="HideTWBExt"/>
          <w:b w:val="0"/>
          <w:color w:val="auto"/>
        </w:rPr>
        <w:t>&lt;/NumAm&gt;</w:t>
      </w:r>
    </w:p>
    <w:p w:rsidR="00F4607D" w:rsidRPr="001F2E97" w:rsidRDefault="00400F6B" w:rsidP="00F4607D">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F4607D" w:rsidRPr="001F2E97" w:rsidRDefault="00400F6B" w:rsidP="00F4607D">
      <w:pPr>
        <w:pStyle w:val="NormalBold"/>
        <w:keepNext/>
      </w:pPr>
      <w:r w:rsidRPr="001F2E97">
        <w:rPr>
          <w:rStyle w:val="HideTWBExt"/>
          <w:b w:val="0"/>
          <w:color w:val="auto"/>
        </w:rPr>
        <w:t>&lt;Article&gt;</w:t>
      </w:r>
      <w:r w:rsidRPr="001F2E97">
        <w:t>Allegato II – punto -1 bis (nuovo)</w:t>
      </w:r>
      <w:r w:rsidRPr="001F2E97">
        <w:rPr>
          <w:rStyle w:val="HideTWBExt"/>
          <w:b w:val="0"/>
          <w:color w:val="auto"/>
        </w:rPr>
        <w:t>&lt;/Article&gt;</w:t>
      </w:r>
    </w:p>
    <w:p w:rsidR="00F4607D" w:rsidRPr="001F2E97" w:rsidRDefault="00400F6B" w:rsidP="00F4607D">
      <w:pPr>
        <w:keepNext/>
      </w:pPr>
      <w:r w:rsidRPr="001F2E97">
        <w:rPr>
          <w:rStyle w:val="HideTWBExt"/>
          <w:color w:val="auto"/>
        </w:rPr>
        <w:t>&lt;DocAmend2&gt;</w:t>
      </w:r>
      <w:r w:rsidRPr="001F2E97">
        <w:t>Direttiva 2004/37/CE</w:t>
      </w:r>
      <w:r w:rsidRPr="001F2E97">
        <w:rPr>
          <w:rStyle w:val="HideTWBExt"/>
          <w:color w:val="auto"/>
        </w:rPr>
        <w:t>&lt;/DocAmend2&gt;</w:t>
      </w:r>
    </w:p>
    <w:p w:rsidR="00F4607D" w:rsidRPr="001F2E97" w:rsidRDefault="00400F6B" w:rsidP="00F4607D">
      <w:r w:rsidRPr="001F2E97">
        <w:rPr>
          <w:rStyle w:val="HideTWBExt"/>
          <w:color w:val="auto"/>
        </w:rPr>
        <w:t>&lt;Article2&gt;</w:t>
      </w:r>
      <w:r w:rsidRPr="001F2E97">
        <w:t>Allegato I – punto 8 bis (nuovo)</w:t>
      </w:r>
      <w:r w:rsidRPr="001F2E97">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5F4C08">
        <w:trPr>
          <w:jc w:val="center"/>
        </w:trPr>
        <w:tc>
          <w:tcPr>
            <w:tcW w:w="9752" w:type="dxa"/>
            <w:gridSpan w:val="2"/>
          </w:tcPr>
          <w:p w:rsidR="00F4607D" w:rsidRPr="001F2E97" w:rsidRDefault="00F4607D" w:rsidP="005F4C08">
            <w:pPr>
              <w:keepNext/>
            </w:pPr>
          </w:p>
        </w:tc>
      </w:tr>
      <w:tr w:rsidR="001F2E97" w:rsidRPr="001F2E97" w:rsidTr="005F4C08">
        <w:trPr>
          <w:jc w:val="center"/>
        </w:trPr>
        <w:tc>
          <w:tcPr>
            <w:tcW w:w="4876" w:type="dxa"/>
          </w:tcPr>
          <w:p w:rsidR="00F4607D" w:rsidRPr="001F2E97" w:rsidRDefault="00400F6B" w:rsidP="005F4C08">
            <w:pPr>
              <w:pStyle w:val="AmColumnHeading"/>
              <w:keepNext/>
            </w:pPr>
            <w:r w:rsidRPr="001F2E97">
              <w:t>Testo in vigore</w:t>
            </w:r>
          </w:p>
        </w:tc>
        <w:tc>
          <w:tcPr>
            <w:tcW w:w="4876" w:type="dxa"/>
          </w:tcPr>
          <w:p w:rsidR="00F4607D" w:rsidRPr="001F2E97" w:rsidRDefault="00400F6B" w:rsidP="005F4C08">
            <w:pPr>
              <w:pStyle w:val="AmColumnHeading"/>
              <w:keepNext/>
            </w:pPr>
            <w:r w:rsidRPr="001F2E97">
              <w:t>Emendamento</w:t>
            </w:r>
          </w:p>
        </w:tc>
      </w:tr>
      <w:tr w:rsidR="001F2E97" w:rsidRPr="001F2E97" w:rsidTr="005F4C08">
        <w:trPr>
          <w:jc w:val="center"/>
        </w:trPr>
        <w:tc>
          <w:tcPr>
            <w:tcW w:w="4876" w:type="dxa"/>
          </w:tcPr>
          <w:p w:rsidR="00C5402B" w:rsidRPr="001F2E97" w:rsidRDefault="00C5402B" w:rsidP="00C5402B">
            <w:pPr>
              <w:pStyle w:val="Normal6a"/>
              <w:jc w:val="center"/>
            </w:pPr>
          </w:p>
        </w:tc>
        <w:tc>
          <w:tcPr>
            <w:tcW w:w="4876" w:type="dxa"/>
          </w:tcPr>
          <w:p w:rsidR="00C5402B" w:rsidRPr="001F2E97" w:rsidRDefault="00400F6B" w:rsidP="007C2624">
            <w:pPr>
              <w:pStyle w:val="Normal6a"/>
              <w:rPr>
                <w:b/>
                <w:i/>
                <w:szCs w:val="24"/>
              </w:rPr>
            </w:pPr>
            <w:r w:rsidRPr="001F2E97">
              <w:rPr>
                <w:b/>
                <w:i/>
              </w:rPr>
              <w:t xml:space="preserve">-1 bis) </w:t>
            </w:r>
            <w:r w:rsidRPr="001F2E97">
              <w:rPr>
                <w:b/>
                <w:i/>
              </w:rPr>
              <w:tab/>
            </w:r>
            <w:r w:rsidRPr="001F2E97">
              <w:rPr>
                <w:b/>
                <w:i/>
              </w:rPr>
              <w:t>nell'allegato I è aggiunto il punto seguente:</w:t>
            </w:r>
          </w:p>
        </w:tc>
      </w:tr>
      <w:tr w:rsidR="001F2E97" w:rsidRPr="001F2E97" w:rsidTr="005F4C08">
        <w:trPr>
          <w:jc w:val="center"/>
        </w:trPr>
        <w:tc>
          <w:tcPr>
            <w:tcW w:w="4876" w:type="dxa"/>
          </w:tcPr>
          <w:p w:rsidR="00C5402B" w:rsidRPr="001F2E97" w:rsidRDefault="00C5402B" w:rsidP="00C5402B">
            <w:pPr>
              <w:pStyle w:val="Normal6a"/>
              <w:rPr>
                <w:sz w:val="27"/>
                <w:szCs w:val="27"/>
              </w:rPr>
            </w:pPr>
          </w:p>
        </w:tc>
        <w:tc>
          <w:tcPr>
            <w:tcW w:w="4876" w:type="dxa"/>
          </w:tcPr>
          <w:p w:rsidR="00C5402B" w:rsidRPr="001F2E97" w:rsidRDefault="00400F6B" w:rsidP="007C2624">
            <w:pPr>
              <w:pStyle w:val="Normal6a"/>
              <w:rPr>
                <w:rFonts w:ascii="Arial Unicode MS" w:eastAsia="Arial Unicode MS" w:hAnsi="Arial Unicode MS" w:cs="Arial Unicode MS"/>
                <w:b/>
                <w:i/>
                <w:sz w:val="21"/>
                <w:szCs w:val="21"/>
              </w:rPr>
            </w:pPr>
            <w:r w:rsidRPr="001F2E97">
              <w:rPr>
                <w:b/>
                <w:i/>
              </w:rPr>
              <w:t>"8 bis.</w:t>
            </w:r>
            <w:r w:rsidRPr="001F2E97">
              <w:rPr>
                <w:rFonts w:ascii="Arial Unicode MS" w:hAnsi="Arial Unicode MS"/>
                <w:b/>
                <w:i/>
                <w:sz w:val="21"/>
              </w:rPr>
              <w:tab/>
            </w:r>
            <w:r w:rsidRPr="001F2E97">
              <w:rPr>
                <w:b/>
                <w:i/>
              </w:rPr>
              <w:t>Lavori che prevedono l'esposizione a farmaci pericolosi."</w:t>
            </w:r>
          </w:p>
        </w:tc>
      </w:tr>
    </w:tbl>
    <w:p w:rsidR="00F4607D" w:rsidRPr="001F2E97" w:rsidRDefault="00400F6B" w:rsidP="00F4607D">
      <w:pPr>
        <w:pStyle w:val="AmOrLang"/>
      </w:pPr>
      <w:r w:rsidRPr="001F2E97">
        <w:t xml:space="preserve">Or. </w:t>
      </w:r>
      <w:r w:rsidRPr="001F2E97">
        <w:rPr>
          <w:rStyle w:val="HideTWBExt"/>
          <w:noProof w:val="0"/>
          <w:color w:val="auto"/>
        </w:rPr>
        <w:t>&lt;Original&gt;</w:t>
      </w:r>
      <w:r w:rsidRPr="001F2E97">
        <w:rPr>
          <w:rStyle w:val="HideTWBInt"/>
          <w:color w:val="auto"/>
        </w:rPr>
        <w:t>{EN}</w:t>
      </w:r>
      <w:r w:rsidRPr="001F2E97">
        <w:t>en</w:t>
      </w:r>
      <w:r w:rsidRPr="001F2E97">
        <w:rPr>
          <w:rStyle w:val="HideTWBExt"/>
          <w:noProof w:val="0"/>
          <w:color w:val="auto"/>
        </w:rPr>
        <w:t>&lt;/Original&gt;</w:t>
      </w:r>
    </w:p>
    <w:p w:rsidR="00F4607D" w:rsidRPr="001F2E97" w:rsidRDefault="00400F6B" w:rsidP="00F4607D">
      <w:r w:rsidRPr="001F2E97">
        <w:rPr>
          <w:rStyle w:val="HideTWBExt"/>
          <w:color w:val="auto"/>
        </w:rPr>
        <w:t>&lt;/Amend&gt;</w:t>
      </w:r>
    </w:p>
    <w:p w:rsidR="006D08C7" w:rsidRPr="001F2E97" w:rsidRDefault="00400F6B" w:rsidP="006D08C7">
      <w:pPr>
        <w:pStyle w:val="AmNumberTabs"/>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33</w:t>
      </w:r>
      <w:r w:rsidRPr="001F2E97">
        <w:rPr>
          <w:rStyle w:val="HideTWBExt"/>
          <w:b w:val="0"/>
          <w:color w:val="auto"/>
        </w:rPr>
        <w:t>&lt;/NumAm&gt;</w:t>
      </w:r>
    </w:p>
    <w:p w:rsidR="006D08C7" w:rsidRPr="001F2E97" w:rsidRDefault="00400F6B" w:rsidP="006D08C7">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6D08C7" w:rsidRPr="001F2E97" w:rsidRDefault="00400F6B" w:rsidP="006D08C7">
      <w:pPr>
        <w:pStyle w:val="NormalBold"/>
        <w:keepNext/>
        <w:rPr>
          <w:rStyle w:val="HideTWBExt"/>
          <w:rFonts w:eastAsiaTheme="majorEastAsia"/>
          <w:b w:val="0"/>
          <w:color w:val="auto"/>
        </w:rPr>
      </w:pPr>
      <w:r w:rsidRPr="001F2E97">
        <w:rPr>
          <w:rStyle w:val="HideTWBExt"/>
          <w:b w:val="0"/>
          <w:color w:val="auto"/>
        </w:rPr>
        <w:t>&lt;Article&gt;</w:t>
      </w:r>
      <w:r w:rsidRPr="001F2E97">
        <w:t>Allegato II – punto 1</w:t>
      </w:r>
      <w:r w:rsidRPr="001F2E97">
        <w:rPr>
          <w:rStyle w:val="HideTWBExt"/>
          <w:b w:val="0"/>
          <w:color w:val="auto"/>
        </w:rPr>
        <w:t>&lt;/Article&gt;</w:t>
      </w:r>
    </w:p>
    <w:p w:rsidR="008C7BDF" w:rsidRPr="001F2E97" w:rsidRDefault="00400F6B" w:rsidP="008C7BDF">
      <w:pPr>
        <w:keepNext/>
      </w:pPr>
      <w:r w:rsidRPr="001F2E97">
        <w:rPr>
          <w:rStyle w:val="HideTWBExt"/>
          <w:color w:val="auto"/>
        </w:rPr>
        <w:t>&lt;DocAmend2&gt;</w:t>
      </w:r>
      <w:r w:rsidRPr="001F2E97">
        <w:t>Direttiva 2004/37/CE</w:t>
      </w:r>
      <w:r w:rsidRPr="001F2E97">
        <w:rPr>
          <w:rStyle w:val="HideTWBExt"/>
          <w:color w:val="auto"/>
        </w:rPr>
        <w:t>&lt;/DocAmend2&gt;</w:t>
      </w:r>
    </w:p>
    <w:p w:rsidR="008C7BDF" w:rsidRPr="001F2E97" w:rsidRDefault="00400F6B" w:rsidP="00945BF3">
      <w:r w:rsidRPr="001F2E97">
        <w:rPr>
          <w:rStyle w:val="HideTWBExt"/>
          <w:color w:val="auto"/>
        </w:rPr>
        <w:t>&lt;Article2&gt;</w:t>
      </w:r>
      <w:r w:rsidRPr="001F2E97">
        <w:t>Allegato III – lettera A – riga 31</w:t>
      </w:r>
      <w:r w:rsidRPr="001F2E97">
        <w:rPr>
          <w:rStyle w:val="HideTWBExt"/>
          <w:color w:val="auto"/>
        </w:rPr>
        <w:t>&lt;/Article2&gt;</w:t>
      </w:r>
    </w:p>
    <w:tbl>
      <w:tblPr>
        <w:tblW w:w="9781" w:type="dxa"/>
        <w:jc w:val="center"/>
        <w:tblLayout w:type="fixed"/>
        <w:tblCellMar>
          <w:left w:w="340" w:type="dxa"/>
          <w:right w:w="340" w:type="dxa"/>
        </w:tblCellMar>
        <w:tblLook w:val="0000" w:firstRow="0" w:lastRow="0" w:firstColumn="0" w:lastColumn="0" w:noHBand="0" w:noVBand="0"/>
      </w:tblPr>
      <w:tblGrid>
        <w:gridCol w:w="6"/>
        <w:gridCol w:w="1918"/>
        <w:gridCol w:w="735"/>
        <w:gridCol w:w="702"/>
        <w:gridCol w:w="884"/>
        <w:gridCol w:w="463"/>
        <w:gridCol w:w="564"/>
        <w:gridCol w:w="710"/>
        <w:gridCol w:w="568"/>
        <w:gridCol w:w="568"/>
        <w:gridCol w:w="848"/>
        <w:gridCol w:w="1776"/>
        <w:gridCol w:w="39"/>
      </w:tblGrid>
      <w:tr w:rsidR="001F2E97" w:rsidRPr="001F2E97" w:rsidTr="005F4C08">
        <w:trPr>
          <w:jc w:val="center"/>
        </w:trPr>
        <w:tc>
          <w:tcPr>
            <w:tcW w:w="9781" w:type="dxa"/>
            <w:gridSpan w:val="13"/>
          </w:tcPr>
          <w:p w:rsidR="006D08C7" w:rsidRPr="001F2E97" w:rsidRDefault="006D08C7" w:rsidP="005F4C08">
            <w:pPr>
              <w:keepNext/>
            </w:pPr>
          </w:p>
        </w:tc>
      </w:tr>
      <w:tr w:rsidR="001F2E97" w:rsidRPr="001F2E97" w:rsidTr="005F4C08">
        <w:trPr>
          <w:jc w:val="center"/>
        </w:trPr>
        <w:tc>
          <w:tcPr>
            <w:tcW w:w="9781" w:type="dxa"/>
            <w:gridSpan w:val="13"/>
          </w:tcPr>
          <w:p w:rsidR="006D08C7" w:rsidRPr="001F2E97" w:rsidRDefault="00400F6B" w:rsidP="005F4C08">
            <w:pPr>
              <w:pStyle w:val="AmColumnHeading"/>
              <w:keepNext/>
              <w:jc w:val="left"/>
            </w:pPr>
            <w:r w:rsidRPr="001F2E97">
              <w:t>Testo della Commissione</w:t>
            </w:r>
          </w:p>
        </w:tc>
      </w:tr>
      <w:tr w:rsidR="001F2E97" w:rsidRPr="001F2E97" w:rsidTr="005F4C08">
        <w:trPr>
          <w:jc w:val="center"/>
        </w:trPr>
        <w:tc>
          <w:tcPr>
            <w:tcW w:w="9781" w:type="dxa"/>
            <w:gridSpan w:val="13"/>
          </w:tcPr>
          <w:p w:rsidR="006D08C7" w:rsidRPr="001F2E97" w:rsidRDefault="00400F6B" w:rsidP="005F4C08">
            <w:pPr>
              <w:pStyle w:val="Normal6a"/>
              <w:rPr>
                <w:szCs w:val="24"/>
              </w:rPr>
            </w:pPr>
            <w:r w:rsidRPr="001F2E97">
              <w:t>1)</w:t>
            </w:r>
            <w:r w:rsidRPr="001F2E97">
              <w:tab/>
              <w:t>nell'</w:t>
            </w:r>
            <w:r w:rsidRPr="001F2E97">
              <w:t xml:space="preserve">allegato III, lettera A, </w:t>
            </w:r>
            <w:r w:rsidRPr="001F2E97">
              <w:t>la riga relativa al piombo inorganico e ai suoi composti è sostituita dalla seguente:</w:t>
            </w:r>
          </w:p>
        </w:tc>
      </w:tr>
      <w:tr w:rsidR="001F2E97" w:rsidRPr="001F2E97"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1F2E97" w:rsidRDefault="00400F6B" w:rsidP="005F4C08">
            <w:pPr>
              <w:spacing w:before="60" w:after="60"/>
              <w:ind w:right="195"/>
              <w:jc w:val="center"/>
              <w:rPr>
                <w:bCs/>
                <w:noProof/>
                <w:szCs w:val="24"/>
              </w:rPr>
            </w:pPr>
            <w:r w:rsidRPr="001F2E97">
              <w:t>Nome agente</w:t>
            </w:r>
          </w:p>
        </w:tc>
        <w:tc>
          <w:tcPr>
            <w:tcW w:w="73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1F2E97" w:rsidRDefault="00400F6B" w:rsidP="005F4C08">
            <w:pPr>
              <w:spacing w:after="60"/>
              <w:jc w:val="center"/>
              <w:rPr>
                <w:bCs/>
                <w:noProof/>
                <w:szCs w:val="24"/>
              </w:rPr>
            </w:pPr>
            <w:r w:rsidRPr="001F2E97">
              <w:t xml:space="preserve">N. CE </w:t>
            </w:r>
            <w:r w:rsidRPr="001F2E97">
              <w:lastRenderedPageBreak/>
              <w:t>(</w:t>
            </w:r>
            <w:r w:rsidRPr="001F2E97">
              <w:rPr>
                <w:vertAlign w:val="superscript"/>
              </w:rPr>
              <w:t>1</w:t>
            </w:r>
            <w:r w:rsidRPr="001F2E97">
              <w:t xml:space="preserve">) </w:t>
            </w:r>
          </w:p>
        </w:tc>
        <w:tc>
          <w:tcPr>
            <w:tcW w:w="7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1F2E97" w:rsidRDefault="00400F6B" w:rsidP="005F4C08">
            <w:pPr>
              <w:spacing w:after="60"/>
              <w:jc w:val="center"/>
              <w:rPr>
                <w:bCs/>
                <w:noProof/>
                <w:szCs w:val="24"/>
              </w:rPr>
            </w:pPr>
            <w:r w:rsidRPr="001F2E97">
              <w:lastRenderedPageBreak/>
              <w:t>N. CA</w:t>
            </w:r>
            <w:r w:rsidRPr="001F2E97">
              <w:lastRenderedPageBreak/>
              <w:t>S (</w:t>
            </w:r>
            <w:r w:rsidRPr="001F2E97">
              <w:rPr>
                <w:vertAlign w:val="superscript"/>
              </w:rPr>
              <w:t>2</w:t>
            </w:r>
            <w:r w:rsidRPr="001F2E97">
              <w:t xml:space="preserve">) </w:t>
            </w:r>
          </w:p>
        </w:tc>
        <w:tc>
          <w:tcPr>
            <w:tcW w:w="3757"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1F2E97" w:rsidRDefault="00400F6B" w:rsidP="005F4C08">
            <w:pPr>
              <w:spacing w:before="60" w:after="60"/>
              <w:ind w:right="195"/>
              <w:jc w:val="center"/>
              <w:rPr>
                <w:bCs/>
                <w:noProof/>
                <w:szCs w:val="24"/>
              </w:rPr>
            </w:pPr>
            <w:r w:rsidRPr="001F2E97">
              <w:lastRenderedPageBreak/>
              <w:t xml:space="preserve">    Valori limite</w:t>
            </w:r>
          </w:p>
        </w:tc>
        <w:tc>
          <w:tcPr>
            <w:tcW w:w="848"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6D08C7" w:rsidRPr="001F2E97" w:rsidRDefault="00400F6B" w:rsidP="005F4C08">
            <w:pPr>
              <w:spacing w:before="60" w:after="60"/>
              <w:ind w:right="195"/>
              <w:jc w:val="center"/>
              <w:rPr>
                <w:bCs/>
                <w:noProof/>
                <w:szCs w:val="24"/>
              </w:rPr>
            </w:pPr>
            <w:r w:rsidRPr="001F2E97">
              <w:t xml:space="preserve"> </w:t>
            </w:r>
            <w:r w:rsidRPr="001F2E97">
              <w:lastRenderedPageBreak/>
              <w:t>Osservazioni</w:t>
            </w:r>
          </w:p>
        </w:tc>
        <w:tc>
          <w:tcPr>
            <w:tcW w:w="1815"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1F2E97" w:rsidRDefault="00400F6B" w:rsidP="005F4C08">
            <w:pPr>
              <w:spacing w:before="60" w:after="60"/>
              <w:ind w:right="104"/>
              <w:jc w:val="center"/>
              <w:rPr>
                <w:bCs/>
                <w:noProof/>
                <w:szCs w:val="24"/>
              </w:rPr>
            </w:pPr>
            <w:r w:rsidRPr="001F2E97">
              <w:lastRenderedPageBreak/>
              <w:t xml:space="preserve">Misure </w:t>
            </w:r>
            <w:r w:rsidRPr="001F2E97">
              <w:lastRenderedPageBreak/>
              <w:t>transitorie</w:t>
            </w:r>
          </w:p>
        </w:tc>
      </w:tr>
      <w:tr w:rsidR="001F2E97" w:rsidRPr="001F2E97"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6D08C7" w:rsidP="005F4C08">
            <w:pPr>
              <w:spacing w:before="60" w:after="60"/>
              <w:ind w:right="195"/>
              <w:jc w:val="cente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1F2E97" w:rsidRDefault="006D08C7" w:rsidP="005F4C08">
            <w:pPr>
              <w:spacing w:before="60" w:after="60"/>
              <w:ind w:right="195"/>
              <w:jc w:val="cente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1F2E97" w:rsidRDefault="006D08C7" w:rsidP="005F4C08">
            <w:pPr>
              <w:spacing w:before="60" w:after="60"/>
              <w:ind w:right="195"/>
              <w:jc w:val="center"/>
              <w:rPr>
                <w:bCs/>
                <w:noProof/>
                <w:szCs w:val="24"/>
              </w:rPr>
            </w:pPr>
          </w:p>
        </w:tc>
        <w:tc>
          <w:tcPr>
            <w:tcW w:w="1911"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1F2E97" w:rsidRDefault="00400F6B" w:rsidP="005F4C08">
            <w:pPr>
              <w:spacing w:before="60" w:after="60"/>
              <w:ind w:right="195"/>
              <w:jc w:val="center"/>
              <w:rPr>
                <w:bCs/>
                <w:noProof/>
                <w:szCs w:val="24"/>
              </w:rPr>
            </w:pPr>
            <w:r w:rsidRPr="001F2E97">
              <w:t>8 ore (</w:t>
            </w:r>
            <w:r w:rsidRPr="001F2E97">
              <w:rPr>
                <w:vertAlign w:val="superscript"/>
              </w:rPr>
              <w:t>3</w:t>
            </w:r>
            <w:r w:rsidRPr="001F2E97">
              <w:t>)</w:t>
            </w:r>
          </w:p>
        </w:tc>
        <w:tc>
          <w:tcPr>
            <w:tcW w:w="1846" w:type="dxa"/>
            <w:gridSpan w:val="3"/>
            <w:tcBorders>
              <w:top w:val="single" w:sz="4" w:space="0" w:color="auto"/>
              <w:left w:val="single" w:sz="4" w:space="0" w:color="auto"/>
              <w:bottom w:val="single" w:sz="4" w:space="0" w:color="auto"/>
              <w:right w:val="single" w:sz="4" w:space="0" w:color="auto"/>
            </w:tcBorders>
          </w:tcPr>
          <w:p w:rsidR="006D08C7" w:rsidRPr="001F2E97" w:rsidRDefault="00400F6B" w:rsidP="005F4C08">
            <w:pPr>
              <w:spacing w:before="60" w:after="60"/>
              <w:ind w:right="195"/>
              <w:jc w:val="center"/>
              <w:rPr>
                <w:bCs/>
                <w:noProof/>
                <w:szCs w:val="24"/>
              </w:rPr>
            </w:pPr>
            <w:r w:rsidRPr="001F2E97">
              <w:t xml:space="preserve">Breve durata </w:t>
            </w:r>
            <w:r w:rsidRPr="001F2E97">
              <w:rPr>
                <w:b/>
              </w:rPr>
              <w:t xml:space="preserve"> </w:t>
            </w:r>
            <w:r w:rsidRPr="001F2E97">
              <w:t>(</w:t>
            </w:r>
            <w:r w:rsidRPr="001F2E97">
              <w:rPr>
                <w:vertAlign w:val="superscript"/>
              </w:rPr>
              <w:t>4</w:t>
            </w:r>
            <w:r w:rsidRPr="001F2E97">
              <w:t>)</w:t>
            </w:r>
          </w:p>
        </w:tc>
        <w:tc>
          <w:tcPr>
            <w:tcW w:w="848" w:type="dxa"/>
            <w:vMerge/>
            <w:tcBorders>
              <w:top w:val="single" w:sz="4" w:space="0" w:color="auto"/>
              <w:left w:val="single" w:sz="4" w:space="0" w:color="auto"/>
              <w:bottom w:val="single" w:sz="4" w:space="0" w:color="auto"/>
              <w:right w:val="single" w:sz="4" w:space="0" w:color="auto"/>
            </w:tcBorders>
          </w:tcPr>
          <w:p w:rsidR="006D08C7" w:rsidRPr="001F2E97" w:rsidRDefault="006D08C7" w:rsidP="005F4C08">
            <w:pPr>
              <w:spacing w:before="60" w:after="60"/>
              <w:ind w:right="195"/>
              <w:jc w:val="cente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1F2E97" w:rsidRDefault="006D08C7" w:rsidP="005F4C08">
            <w:pPr>
              <w:spacing w:before="60" w:after="60"/>
              <w:ind w:right="195"/>
              <w:jc w:val="center"/>
              <w:rPr>
                <w:bCs/>
                <w:noProof/>
                <w:szCs w:val="24"/>
              </w:rPr>
            </w:pPr>
          </w:p>
        </w:tc>
      </w:tr>
      <w:tr w:rsidR="001F2E97" w:rsidRPr="001F2E97"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1F2E97" w:rsidRDefault="006D08C7" w:rsidP="005F4C08">
            <w:pP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1F2E97" w:rsidRDefault="006D08C7" w:rsidP="005F4C08">
            <w:pP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1F2E97" w:rsidRDefault="006D08C7" w:rsidP="005F4C08">
            <w:pPr>
              <w:rPr>
                <w:bCs/>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1F2E97" w:rsidRDefault="00400F6B" w:rsidP="005F4C08">
            <w:pPr>
              <w:spacing w:before="60" w:after="60"/>
              <w:jc w:val="center"/>
              <w:rPr>
                <w:bCs/>
                <w:noProof/>
                <w:szCs w:val="24"/>
                <w:vertAlign w:val="superscript"/>
              </w:rPr>
            </w:pPr>
            <w:r w:rsidRPr="001F2E97">
              <w:t>mg/m</w:t>
            </w:r>
            <w:r w:rsidRPr="001F2E97">
              <w:rPr>
                <w:vertAlign w:val="superscript"/>
              </w:rPr>
              <w:t xml:space="preserve">3 </w:t>
            </w:r>
            <w:r w:rsidRPr="001F2E97">
              <w:t>(</w:t>
            </w:r>
            <w:r w:rsidRPr="001F2E97">
              <w:rPr>
                <w:vertAlign w:val="superscript"/>
              </w:rPr>
              <w:t>5</w:t>
            </w:r>
            <w:r w:rsidRPr="001F2E97">
              <w:t>)</w:t>
            </w:r>
            <w:r w:rsidRPr="001F2E97">
              <w:rPr>
                <w:vertAlign w:val="superscript"/>
              </w:rPr>
              <w:t xml:space="preserve">  </w:t>
            </w:r>
            <w:r w:rsidRPr="001F2E97">
              <w:t xml:space="preserve">  </w:t>
            </w:r>
          </w:p>
        </w:tc>
        <w:tc>
          <w:tcPr>
            <w:tcW w:w="463" w:type="dxa"/>
            <w:tcBorders>
              <w:top w:val="single" w:sz="4" w:space="0" w:color="auto"/>
              <w:left w:val="single" w:sz="4" w:space="0" w:color="auto"/>
              <w:bottom w:val="single" w:sz="4" w:space="0" w:color="auto"/>
              <w:right w:val="single" w:sz="4" w:space="0" w:color="auto"/>
            </w:tcBorders>
          </w:tcPr>
          <w:p w:rsidR="006D08C7" w:rsidRPr="001F2E97" w:rsidRDefault="00400F6B" w:rsidP="005F4C08">
            <w:pPr>
              <w:spacing w:before="60" w:after="60"/>
              <w:jc w:val="center"/>
              <w:rPr>
                <w:bCs/>
                <w:noProof/>
                <w:szCs w:val="24"/>
              </w:rPr>
            </w:pPr>
            <w:r w:rsidRPr="001F2E97">
              <w:t>ppm (</w:t>
            </w:r>
            <w:r w:rsidRPr="001F2E97">
              <w:rPr>
                <w:vertAlign w:val="superscript"/>
              </w:rPr>
              <w:t>6</w:t>
            </w:r>
            <w:r w:rsidRPr="001F2E97">
              <w:t xml:space="preserve">)      </w:t>
            </w:r>
          </w:p>
        </w:tc>
        <w:tc>
          <w:tcPr>
            <w:tcW w:w="564" w:type="dxa"/>
            <w:tcBorders>
              <w:top w:val="single" w:sz="4" w:space="0" w:color="auto"/>
              <w:left w:val="single" w:sz="4" w:space="0" w:color="auto"/>
              <w:bottom w:val="single" w:sz="4" w:space="0" w:color="auto"/>
              <w:right w:val="single" w:sz="4" w:space="0" w:color="auto"/>
            </w:tcBorders>
          </w:tcPr>
          <w:p w:rsidR="006D08C7" w:rsidRPr="001F2E97" w:rsidRDefault="00400F6B" w:rsidP="005F4C08">
            <w:pPr>
              <w:spacing w:before="60"/>
              <w:jc w:val="center"/>
              <w:rPr>
                <w:bCs/>
                <w:noProof/>
                <w:szCs w:val="24"/>
              </w:rPr>
            </w:pPr>
            <w:r w:rsidRPr="001F2E97">
              <w:t>f/ml (</w:t>
            </w:r>
            <w:r w:rsidRPr="001F2E97">
              <w:rPr>
                <w:vertAlign w:val="superscript"/>
              </w:rPr>
              <w:t>7</w:t>
            </w:r>
            <w:r w:rsidRPr="001F2E97">
              <w:t>)</w:t>
            </w:r>
          </w:p>
        </w:tc>
        <w:tc>
          <w:tcPr>
            <w:tcW w:w="710" w:type="dxa"/>
            <w:tcBorders>
              <w:top w:val="single" w:sz="4" w:space="0" w:color="auto"/>
              <w:left w:val="single" w:sz="4" w:space="0" w:color="auto"/>
              <w:bottom w:val="single" w:sz="4" w:space="0" w:color="auto"/>
              <w:right w:val="single" w:sz="4" w:space="0" w:color="auto"/>
            </w:tcBorders>
          </w:tcPr>
          <w:p w:rsidR="006D08C7" w:rsidRPr="001F2E97" w:rsidRDefault="00400F6B" w:rsidP="005F4C08">
            <w:pPr>
              <w:spacing w:before="60" w:after="60"/>
              <w:jc w:val="center"/>
              <w:rPr>
                <w:bCs/>
                <w:noProof/>
                <w:szCs w:val="24"/>
              </w:rPr>
            </w:pPr>
            <w:r w:rsidRPr="001F2E97">
              <w:t>mg/m</w:t>
            </w:r>
            <w:r w:rsidRPr="001F2E97">
              <w:rPr>
                <w:vertAlign w:val="superscript"/>
              </w:rPr>
              <w:t>3</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1F2E97" w:rsidRDefault="00400F6B" w:rsidP="005F4C08">
            <w:pPr>
              <w:spacing w:before="60" w:after="60"/>
              <w:jc w:val="center"/>
              <w:rPr>
                <w:bCs/>
                <w:noProof/>
                <w:szCs w:val="24"/>
              </w:rPr>
            </w:pPr>
            <w:r w:rsidRPr="001F2E97">
              <w:t>ppm</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1F2E97" w:rsidRDefault="00400F6B" w:rsidP="005F4C08">
            <w:pPr>
              <w:spacing w:before="60" w:after="60"/>
              <w:jc w:val="center"/>
              <w:rPr>
                <w:bCs/>
                <w:noProof/>
                <w:szCs w:val="24"/>
              </w:rPr>
            </w:pPr>
            <w:r w:rsidRPr="001F2E97">
              <w:t>f/ml</w:t>
            </w:r>
          </w:p>
        </w:tc>
        <w:tc>
          <w:tcPr>
            <w:tcW w:w="84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1F2E97" w:rsidRDefault="006D08C7" w:rsidP="005F4C08">
            <w:pP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1F2E97" w:rsidRDefault="006D08C7" w:rsidP="005F4C08">
            <w:pPr>
              <w:rPr>
                <w:bCs/>
                <w:noProof/>
                <w:szCs w:val="24"/>
              </w:rPr>
            </w:pPr>
          </w:p>
        </w:tc>
      </w:tr>
      <w:tr w:rsidR="001F2E97" w:rsidRPr="001F2E97"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tblCellSpacing w:w="0" w:type="dxa"/>
        </w:trPr>
        <w:tc>
          <w:tcPr>
            <w:tcW w:w="1924"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400F6B" w:rsidP="005F4C08">
            <w:pPr>
              <w:rPr>
                <w:noProof/>
                <w:szCs w:val="24"/>
              </w:rPr>
            </w:pPr>
            <w:r w:rsidRPr="001F2E97">
              <w:t>Piombo inorganico e suoi composti</w:t>
            </w:r>
          </w:p>
        </w:tc>
        <w:tc>
          <w:tcPr>
            <w:tcW w:w="73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6D08C7" w:rsidP="005F4C08">
            <w:pPr>
              <w:spacing w:before="40" w:after="40"/>
              <w:rPr>
                <w:noProof/>
                <w:szCs w:val="24"/>
              </w:rPr>
            </w:pPr>
          </w:p>
        </w:tc>
        <w:tc>
          <w:tcPr>
            <w:tcW w:w="702"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6D08C7" w:rsidP="005F4C08">
            <w:pPr>
              <w:spacing w:before="40" w:after="40"/>
              <w:ind w:right="195"/>
              <w:rPr>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400F6B" w:rsidP="005F4C08">
            <w:pPr>
              <w:spacing w:before="40" w:after="40"/>
              <w:ind w:right="195"/>
              <w:rPr>
                <w:b/>
                <w:i/>
                <w:noProof/>
                <w:szCs w:val="24"/>
              </w:rPr>
            </w:pPr>
            <w:r w:rsidRPr="001F2E97">
              <w:rPr>
                <w:b/>
                <w:i/>
              </w:rPr>
              <w:t>0,03</w:t>
            </w:r>
          </w:p>
        </w:tc>
        <w:tc>
          <w:tcPr>
            <w:tcW w:w="463"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1F2E97" w:rsidRDefault="006D08C7" w:rsidP="005F4C08">
            <w:pPr>
              <w:spacing w:before="40" w:after="40"/>
              <w:rPr>
                <w:noProof/>
                <w:szCs w:val="24"/>
              </w:rPr>
            </w:pPr>
          </w:p>
        </w:tc>
        <w:tc>
          <w:tcPr>
            <w:tcW w:w="564"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1F2E97" w:rsidRDefault="006D08C7" w:rsidP="005F4C08">
            <w:pPr>
              <w:spacing w:before="40" w:after="40"/>
              <w:rPr>
                <w:noProof/>
                <w:szCs w:val="24"/>
              </w:rPr>
            </w:pPr>
          </w:p>
        </w:tc>
        <w:tc>
          <w:tcPr>
            <w:tcW w:w="710"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1F2E97" w:rsidRDefault="006D08C7" w:rsidP="005F4C08">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6D08C7" w:rsidP="005F4C08">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6D08C7" w:rsidP="005F4C08">
            <w:pPr>
              <w:spacing w:before="40" w:after="40"/>
              <w:rPr>
                <w:noProof/>
                <w:szCs w:val="24"/>
              </w:rPr>
            </w:pPr>
          </w:p>
        </w:tc>
        <w:tc>
          <w:tcPr>
            <w:tcW w:w="84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6D08C7" w:rsidP="005F4C08">
            <w:pPr>
              <w:spacing w:before="40" w:after="40"/>
              <w:rPr>
                <w:noProof/>
                <w:szCs w:val="24"/>
              </w:rPr>
            </w:pPr>
          </w:p>
        </w:tc>
        <w:tc>
          <w:tcPr>
            <w:tcW w:w="181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6D08C7" w:rsidP="005F4C08">
            <w:pPr>
              <w:spacing w:before="40" w:after="40"/>
              <w:rPr>
                <w:noProof/>
                <w:szCs w:val="24"/>
              </w:rPr>
            </w:pPr>
          </w:p>
        </w:tc>
      </w:tr>
      <w:tr w:rsidR="001F2E97" w:rsidRPr="001F2E97" w:rsidTr="0004271C">
        <w:trPr>
          <w:gridAfter w:val="1"/>
          <w:wAfter w:w="39" w:type="dxa"/>
          <w:jc w:val="center"/>
        </w:trPr>
        <w:tc>
          <w:tcPr>
            <w:tcW w:w="9742" w:type="dxa"/>
            <w:gridSpan w:val="12"/>
          </w:tcPr>
          <w:p w:rsidR="006D08C7" w:rsidRPr="001F2E97" w:rsidRDefault="00400F6B" w:rsidP="005F4C08">
            <w:pPr>
              <w:pStyle w:val="AmColumnHeading"/>
              <w:keepNext/>
              <w:jc w:val="left"/>
              <w:rPr>
                <w:i w:val="0"/>
              </w:rPr>
            </w:pPr>
            <w:r w:rsidRPr="001F2E97">
              <w:rPr>
                <w:i w:val="0"/>
              </w:rPr>
              <w:t>(</w:t>
            </w:r>
            <w:r w:rsidRPr="001F2E97">
              <w:rPr>
                <w:i w:val="0"/>
                <w:vertAlign w:val="superscript"/>
              </w:rPr>
              <w:t>1</w:t>
            </w:r>
            <w:r w:rsidRPr="001F2E97">
              <w:rPr>
                <w:i w:val="0"/>
              </w:rPr>
              <w:t>)    </w:t>
            </w:r>
            <w:r w:rsidRPr="001F2E97">
              <w:rPr>
                <w:i w:val="0"/>
              </w:rPr>
              <w:t>N. CE (ossia EINECS, ELINCS o NLP): è il numero ufficiale della sostanza all'interno dell'Unione europea, come definito nell'allegato VI, parte 1, punto 1.1.1.2, del regolamento (CE) n. 1272/2008.</w:t>
            </w:r>
          </w:p>
        </w:tc>
      </w:tr>
      <w:tr w:rsidR="001F2E97" w:rsidRPr="001F2E97" w:rsidTr="0004271C">
        <w:trPr>
          <w:gridAfter w:val="1"/>
          <w:wAfter w:w="39" w:type="dxa"/>
          <w:jc w:val="center"/>
        </w:trPr>
        <w:tc>
          <w:tcPr>
            <w:tcW w:w="9742" w:type="dxa"/>
            <w:gridSpan w:val="12"/>
          </w:tcPr>
          <w:p w:rsidR="006D08C7" w:rsidRPr="001F2E97" w:rsidRDefault="00400F6B" w:rsidP="005F4C08">
            <w:pPr>
              <w:pStyle w:val="AmColumnHeading"/>
              <w:keepNext/>
              <w:jc w:val="left"/>
              <w:rPr>
                <w:rFonts w:eastAsia="Arial Unicode MS"/>
                <w:i w:val="0"/>
                <w:noProof/>
                <w:szCs w:val="24"/>
              </w:rPr>
            </w:pPr>
            <w:r w:rsidRPr="001F2E97">
              <w:rPr>
                <w:i w:val="0"/>
              </w:rPr>
              <w:t>(</w:t>
            </w:r>
            <w:r w:rsidRPr="001F2E97">
              <w:rPr>
                <w:i w:val="0"/>
                <w:vertAlign w:val="superscript"/>
              </w:rPr>
              <w:t>2</w:t>
            </w:r>
            <w:r w:rsidRPr="001F2E97">
              <w:rPr>
                <w:i w:val="0"/>
              </w:rPr>
              <w:t>)    N. CAS: numero di registrazione CAS (</w:t>
            </w:r>
            <w:r w:rsidRPr="001F2E97">
              <w:rPr>
                <w:iCs/>
              </w:rPr>
              <w:t>Chemical Abstr</w:t>
            </w:r>
            <w:r w:rsidRPr="001F2E97">
              <w:rPr>
                <w:iCs/>
              </w:rPr>
              <w:t>act Service</w:t>
            </w:r>
            <w:r w:rsidRPr="001F2E97">
              <w:rPr>
                <w:i w:val="0"/>
              </w:rPr>
              <w:t>).</w:t>
            </w:r>
          </w:p>
        </w:tc>
      </w:tr>
      <w:tr w:rsidR="001F2E97" w:rsidRPr="001F2E97" w:rsidTr="0004271C">
        <w:trPr>
          <w:gridAfter w:val="1"/>
          <w:wAfter w:w="39" w:type="dxa"/>
          <w:jc w:val="center"/>
        </w:trPr>
        <w:tc>
          <w:tcPr>
            <w:tcW w:w="9742" w:type="dxa"/>
            <w:gridSpan w:val="12"/>
          </w:tcPr>
          <w:p w:rsidR="006D08C7" w:rsidRPr="001F2E97" w:rsidRDefault="00400F6B" w:rsidP="005F4C08">
            <w:pPr>
              <w:pStyle w:val="AmColumnHeading"/>
              <w:keepNext/>
              <w:jc w:val="left"/>
              <w:rPr>
                <w:rFonts w:eastAsia="Arial Unicode MS"/>
                <w:i w:val="0"/>
                <w:noProof/>
                <w:szCs w:val="24"/>
              </w:rPr>
            </w:pPr>
            <w:r w:rsidRPr="001F2E97">
              <w:rPr>
                <w:i w:val="0"/>
              </w:rPr>
              <w:t>(</w:t>
            </w:r>
            <w:r w:rsidRPr="001F2E97">
              <w:rPr>
                <w:i w:val="0"/>
                <w:vertAlign w:val="superscript"/>
              </w:rPr>
              <w:t>3</w:t>
            </w:r>
            <w:r w:rsidRPr="001F2E97">
              <w:rPr>
                <w:i w:val="0"/>
              </w:rPr>
              <w:t>)    Misurato o calcolato in relazione a un periodo di riferimento di 8 ore.</w:t>
            </w:r>
          </w:p>
        </w:tc>
      </w:tr>
      <w:tr w:rsidR="001F2E97" w:rsidRPr="001F2E97" w:rsidTr="0004271C">
        <w:trPr>
          <w:gridAfter w:val="1"/>
          <w:wAfter w:w="39" w:type="dxa"/>
          <w:jc w:val="center"/>
        </w:trPr>
        <w:tc>
          <w:tcPr>
            <w:tcW w:w="9742" w:type="dxa"/>
            <w:gridSpan w:val="12"/>
          </w:tcPr>
          <w:p w:rsidR="006D08C7" w:rsidRPr="001F2E97" w:rsidRDefault="00400F6B" w:rsidP="005F4C08">
            <w:pPr>
              <w:pStyle w:val="AmColumnHeading"/>
              <w:keepNext/>
              <w:jc w:val="left"/>
              <w:rPr>
                <w:rFonts w:eastAsia="Arial Unicode MS"/>
                <w:i w:val="0"/>
                <w:noProof/>
                <w:szCs w:val="24"/>
              </w:rPr>
            </w:pPr>
            <w:r w:rsidRPr="001F2E97">
              <w:rPr>
                <w:i w:val="0"/>
              </w:rPr>
              <w:t>(</w:t>
            </w:r>
            <w:r w:rsidRPr="001F2E97">
              <w:rPr>
                <w:i w:val="0"/>
                <w:vertAlign w:val="superscript"/>
              </w:rPr>
              <w:t>4</w:t>
            </w:r>
            <w:r w:rsidRPr="001F2E97">
              <w:rPr>
                <w:i w:val="0"/>
              </w:rPr>
              <w:t xml:space="preserve">)    Limite per esposizione di breve durata (STEL). </w:t>
            </w:r>
            <w:r w:rsidRPr="001F2E97">
              <w:rPr>
                <w:i w:val="0"/>
              </w:rPr>
              <w:t>Valore limite al di sopra del quale l'esposizione dovrebbe essere evitata e che si riferisce a un periodo di 15 minuti salvo indicazione contraria.</w:t>
            </w:r>
          </w:p>
        </w:tc>
      </w:tr>
      <w:tr w:rsidR="001F2E97" w:rsidRPr="001F2E97" w:rsidTr="0004271C">
        <w:trPr>
          <w:gridAfter w:val="1"/>
          <w:wAfter w:w="39" w:type="dxa"/>
          <w:jc w:val="center"/>
        </w:trPr>
        <w:tc>
          <w:tcPr>
            <w:tcW w:w="9742" w:type="dxa"/>
            <w:gridSpan w:val="12"/>
          </w:tcPr>
          <w:p w:rsidR="006D08C7" w:rsidRPr="001F2E97" w:rsidRDefault="00400F6B" w:rsidP="005F4C08">
            <w:pPr>
              <w:pStyle w:val="AmColumnHeading"/>
              <w:keepNext/>
              <w:jc w:val="left"/>
              <w:rPr>
                <w:rFonts w:eastAsia="Arial Unicode MS"/>
                <w:i w:val="0"/>
                <w:noProof/>
                <w:szCs w:val="24"/>
              </w:rPr>
            </w:pPr>
            <w:r w:rsidRPr="001F2E97">
              <w:rPr>
                <w:i w:val="0"/>
              </w:rPr>
              <w:t>(</w:t>
            </w:r>
            <w:r w:rsidRPr="001F2E97">
              <w:rPr>
                <w:i w:val="0"/>
                <w:vertAlign w:val="superscript"/>
              </w:rPr>
              <w:t>5</w:t>
            </w:r>
            <w:r w:rsidRPr="001F2E97">
              <w:rPr>
                <w:i w:val="0"/>
              </w:rPr>
              <w:t>)    mg/m3 = milligrammi per metro cubo di aria a 20 °C e 101,3 kPa (corrispondenti alla pressione di 760</w:t>
            </w:r>
            <w:r w:rsidRPr="001F2E97">
              <w:rPr>
                <w:i w:val="0"/>
              </w:rPr>
              <w:t xml:space="preserve"> mm di mercurio).</w:t>
            </w:r>
          </w:p>
        </w:tc>
      </w:tr>
      <w:tr w:rsidR="001F2E97" w:rsidRPr="001F2E97" w:rsidTr="0004271C">
        <w:trPr>
          <w:gridAfter w:val="1"/>
          <w:wAfter w:w="39" w:type="dxa"/>
          <w:jc w:val="center"/>
        </w:trPr>
        <w:tc>
          <w:tcPr>
            <w:tcW w:w="9742" w:type="dxa"/>
            <w:gridSpan w:val="12"/>
          </w:tcPr>
          <w:p w:rsidR="006D08C7" w:rsidRPr="001F2E97" w:rsidRDefault="00400F6B" w:rsidP="005F4C08">
            <w:pPr>
              <w:pStyle w:val="AmColumnHeading"/>
              <w:keepNext/>
              <w:jc w:val="left"/>
              <w:rPr>
                <w:rFonts w:eastAsia="Arial Unicode MS"/>
                <w:i w:val="0"/>
                <w:noProof/>
                <w:szCs w:val="24"/>
              </w:rPr>
            </w:pPr>
            <w:r w:rsidRPr="001F2E97">
              <w:rPr>
                <w:i w:val="0"/>
              </w:rPr>
              <w:t>(</w:t>
            </w:r>
            <w:r w:rsidRPr="001F2E97">
              <w:rPr>
                <w:i w:val="0"/>
                <w:vertAlign w:val="superscript"/>
              </w:rPr>
              <w:t>6</w:t>
            </w:r>
            <w:r w:rsidRPr="001F2E97">
              <w:rPr>
                <w:i w:val="0"/>
              </w:rPr>
              <w:t>)    ppm: parti per milione per volume di aria (ml/m3).</w:t>
            </w:r>
          </w:p>
        </w:tc>
      </w:tr>
      <w:tr w:rsidR="001F2E97" w:rsidRPr="001F2E97" w:rsidTr="0004271C">
        <w:trPr>
          <w:gridAfter w:val="1"/>
          <w:wAfter w:w="39" w:type="dxa"/>
          <w:jc w:val="center"/>
        </w:trPr>
        <w:tc>
          <w:tcPr>
            <w:tcW w:w="9742" w:type="dxa"/>
            <w:gridSpan w:val="12"/>
          </w:tcPr>
          <w:p w:rsidR="006D08C7" w:rsidRPr="001F2E97" w:rsidRDefault="00400F6B" w:rsidP="005F4C08">
            <w:pPr>
              <w:pStyle w:val="AmColumnHeading"/>
              <w:keepNext/>
              <w:jc w:val="left"/>
              <w:rPr>
                <w:rFonts w:eastAsia="Arial Unicode MS"/>
                <w:i w:val="0"/>
                <w:noProof/>
                <w:szCs w:val="24"/>
              </w:rPr>
            </w:pPr>
            <w:r w:rsidRPr="001F2E97">
              <w:rPr>
                <w:i w:val="0"/>
              </w:rPr>
              <w:t>(</w:t>
            </w:r>
            <w:r w:rsidRPr="001F2E97">
              <w:rPr>
                <w:i w:val="0"/>
                <w:vertAlign w:val="superscript"/>
              </w:rPr>
              <w:t>7</w:t>
            </w:r>
            <w:r w:rsidRPr="001F2E97">
              <w:rPr>
                <w:i w:val="0"/>
              </w:rPr>
              <w:t>)    f/ml = fibre per millilitro.";</w:t>
            </w:r>
          </w:p>
        </w:tc>
      </w:tr>
      <w:tr w:rsidR="001F2E97" w:rsidRPr="001F2E97" w:rsidTr="005F4C08">
        <w:trPr>
          <w:jc w:val="center"/>
        </w:trPr>
        <w:tc>
          <w:tcPr>
            <w:tcW w:w="9781" w:type="dxa"/>
            <w:gridSpan w:val="13"/>
          </w:tcPr>
          <w:p w:rsidR="006D08C7" w:rsidRPr="001F2E97" w:rsidRDefault="006D08C7" w:rsidP="005F4C08">
            <w:pPr>
              <w:keepNext/>
            </w:pPr>
          </w:p>
        </w:tc>
      </w:tr>
      <w:tr w:rsidR="001F2E97" w:rsidRPr="001F2E97" w:rsidTr="005F4C08">
        <w:trPr>
          <w:gridAfter w:val="1"/>
          <w:wAfter w:w="39" w:type="dxa"/>
          <w:jc w:val="center"/>
        </w:trPr>
        <w:tc>
          <w:tcPr>
            <w:tcW w:w="9742" w:type="dxa"/>
            <w:gridSpan w:val="12"/>
          </w:tcPr>
          <w:p w:rsidR="006D08C7" w:rsidRPr="001F2E97" w:rsidRDefault="00400F6B" w:rsidP="005F4C08">
            <w:pPr>
              <w:pStyle w:val="AmColumnHeading"/>
              <w:keepNext/>
              <w:jc w:val="left"/>
            </w:pPr>
            <w:r w:rsidRPr="001F2E97">
              <w:t>Emendamento</w:t>
            </w:r>
          </w:p>
        </w:tc>
      </w:tr>
      <w:tr w:rsidR="001F2E97" w:rsidRPr="001F2E97" w:rsidTr="005F4C08">
        <w:trPr>
          <w:gridAfter w:val="1"/>
          <w:wAfter w:w="39" w:type="dxa"/>
          <w:jc w:val="center"/>
        </w:trPr>
        <w:tc>
          <w:tcPr>
            <w:tcW w:w="9742" w:type="dxa"/>
            <w:gridSpan w:val="12"/>
          </w:tcPr>
          <w:p w:rsidR="006D08C7" w:rsidRPr="001F2E97" w:rsidRDefault="00400F6B" w:rsidP="005F4C08">
            <w:pPr>
              <w:spacing w:before="40" w:after="40"/>
            </w:pPr>
            <w:r w:rsidRPr="001F2E97">
              <w:t>1)</w:t>
            </w:r>
            <w:r w:rsidRPr="001F2E97">
              <w:tab/>
              <w:t>nell'</w:t>
            </w:r>
            <w:r w:rsidRPr="001F2E97">
              <w:t xml:space="preserve">allegato III, lettera A, </w:t>
            </w:r>
            <w:r w:rsidRPr="001F2E97">
              <w:t>la riga relativa al piombo inorganico e ai suoi composti è sostituita dalla seguente:</w:t>
            </w:r>
          </w:p>
        </w:tc>
      </w:tr>
      <w:tr w:rsidR="001F2E97" w:rsidRPr="001F2E97" w:rsidTr="005F4C08">
        <w:trPr>
          <w:gridAfter w:val="1"/>
          <w:wAfter w:w="39" w:type="dxa"/>
          <w:jc w:val="center"/>
        </w:trPr>
        <w:tc>
          <w:tcPr>
            <w:tcW w:w="9742" w:type="dxa"/>
            <w:gridSpan w:val="12"/>
          </w:tcPr>
          <w:p w:rsidR="006D08C7" w:rsidRPr="001F2E97" w:rsidRDefault="006D08C7" w:rsidP="005F4C08">
            <w:pPr>
              <w:spacing w:before="40" w:after="40"/>
              <w:rPr>
                <w:bCs/>
                <w:noProof/>
                <w:szCs w:val="24"/>
              </w:rPr>
            </w:pPr>
          </w:p>
        </w:tc>
      </w:tr>
      <w:tr w:rsidR="001F2E97" w:rsidRPr="001F2E97"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val="restar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1F2E97" w:rsidRDefault="00400F6B" w:rsidP="005F4C08">
            <w:pPr>
              <w:spacing w:before="60" w:after="60"/>
              <w:ind w:right="195"/>
              <w:jc w:val="center"/>
              <w:rPr>
                <w:bCs/>
                <w:noProof/>
                <w:szCs w:val="24"/>
              </w:rPr>
            </w:pPr>
            <w:r w:rsidRPr="001F2E97">
              <w:t>Nome agente</w:t>
            </w:r>
          </w:p>
        </w:tc>
        <w:tc>
          <w:tcPr>
            <w:tcW w:w="73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1F2E97" w:rsidRDefault="00400F6B" w:rsidP="005F4C08">
            <w:pPr>
              <w:spacing w:after="60"/>
              <w:jc w:val="center"/>
              <w:rPr>
                <w:bCs/>
                <w:noProof/>
                <w:szCs w:val="24"/>
              </w:rPr>
            </w:pPr>
            <w:r w:rsidRPr="001F2E97">
              <w:t>N. CE (</w:t>
            </w:r>
            <w:r w:rsidRPr="001F2E97">
              <w:rPr>
                <w:vertAlign w:val="superscript"/>
              </w:rPr>
              <w:t>1</w:t>
            </w:r>
            <w:r w:rsidRPr="001F2E97">
              <w:t xml:space="preserve">) </w:t>
            </w:r>
          </w:p>
        </w:tc>
        <w:tc>
          <w:tcPr>
            <w:tcW w:w="702"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1F2E97" w:rsidRDefault="00400F6B" w:rsidP="005F4C08">
            <w:pPr>
              <w:spacing w:after="60"/>
              <w:jc w:val="center"/>
              <w:rPr>
                <w:bCs/>
                <w:noProof/>
                <w:szCs w:val="24"/>
              </w:rPr>
            </w:pPr>
            <w:r w:rsidRPr="001F2E97">
              <w:t>N. CAS (</w:t>
            </w:r>
            <w:r w:rsidRPr="001F2E97">
              <w:rPr>
                <w:vertAlign w:val="superscript"/>
              </w:rPr>
              <w:t>2</w:t>
            </w:r>
            <w:r w:rsidRPr="001F2E97">
              <w:t xml:space="preserve">) </w:t>
            </w:r>
          </w:p>
        </w:tc>
        <w:tc>
          <w:tcPr>
            <w:tcW w:w="3757" w:type="dxa"/>
            <w:gridSpan w:val="6"/>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1F2E97" w:rsidRDefault="00400F6B" w:rsidP="005F4C08">
            <w:pPr>
              <w:spacing w:before="60" w:after="60"/>
              <w:ind w:right="195"/>
              <w:jc w:val="center"/>
              <w:rPr>
                <w:bCs/>
                <w:noProof/>
                <w:szCs w:val="24"/>
              </w:rPr>
            </w:pPr>
            <w:r w:rsidRPr="001F2E97">
              <w:t xml:space="preserve">    Valori limite</w:t>
            </w:r>
          </w:p>
        </w:tc>
        <w:tc>
          <w:tcPr>
            <w:tcW w:w="848"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6D08C7" w:rsidRPr="001F2E97" w:rsidRDefault="00400F6B" w:rsidP="005F4C08">
            <w:pPr>
              <w:spacing w:before="60" w:after="60"/>
              <w:ind w:right="195"/>
              <w:jc w:val="center"/>
              <w:rPr>
                <w:bCs/>
                <w:noProof/>
                <w:szCs w:val="24"/>
              </w:rPr>
            </w:pPr>
            <w:r w:rsidRPr="001F2E97">
              <w:t xml:space="preserve"> Osservazioni</w:t>
            </w:r>
          </w:p>
        </w:tc>
        <w:tc>
          <w:tcPr>
            <w:tcW w:w="1815" w:type="dxa"/>
            <w:gridSpan w:val="2"/>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D08C7" w:rsidRPr="001F2E97" w:rsidRDefault="00400F6B" w:rsidP="005F4C08">
            <w:pPr>
              <w:spacing w:before="60" w:after="60"/>
              <w:ind w:right="104"/>
              <w:jc w:val="center"/>
              <w:rPr>
                <w:bCs/>
                <w:noProof/>
                <w:szCs w:val="24"/>
              </w:rPr>
            </w:pPr>
            <w:r w:rsidRPr="001F2E97">
              <w:t>Misure transitorie</w:t>
            </w:r>
          </w:p>
        </w:tc>
      </w:tr>
      <w:tr w:rsidR="001F2E97" w:rsidRPr="001F2E97"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6D08C7" w:rsidP="005F4C08">
            <w:pPr>
              <w:spacing w:before="60" w:after="60"/>
              <w:ind w:right="195"/>
              <w:jc w:val="cente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1F2E97" w:rsidRDefault="006D08C7" w:rsidP="005F4C08">
            <w:pPr>
              <w:spacing w:before="60" w:after="60"/>
              <w:ind w:right="195"/>
              <w:jc w:val="cente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1F2E97" w:rsidRDefault="006D08C7" w:rsidP="005F4C08">
            <w:pPr>
              <w:spacing w:before="60" w:after="60"/>
              <w:ind w:right="195"/>
              <w:jc w:val="center"/>
              <w:rPr>
                <w:bCs/>
                <w:noProof/>
                <w:szCs w:val="24"/>
              </w:rPr>
            </w:pPr>
          </w:p>
        </w:tc>
        <w:tc>
          <w:tcPr>
            <w:tcW w:w="1911"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1F2E97" w:rsidRDefault="00400F6B" w:rsidP="005F4C08">
            <w:pPr>
              <w:spacing w:before="60" w:after="60"/>
              <w:ind w:right="195"/>
              <w:jc w:val="center"/>
              <w:rPr>
                <w:bCs/>
                <w:noProof/>
                <w:szCs w:val="24"/>
              </w:rPr>
            </w:pPr>
            <w:r w:rsidRPr="001F2E97">
              <w:t>8 ore (</w:t>
            </w:r>
            <w:r w:rsidRPr="001F2E97">
              <w:rPr>
                <w:vertAlign w:val="superscript"/>
              </w:rPr>
              <w:t>3</w:t>
            </w:r>
            <w:r w:rsidRPr="001F2E97">
              <w:t>)</w:t>
            </w:r>
          </w:p>
        </w:tc>
        <w:tc>
          <w:tcPr>
            <w:tcW w:w="1846" w:type="dxa"/>
            <w:gridSpan w:val="3"/>
            <w:tcBorders>
              <w:top w:val="single" w:sz="4" w:space="0" w:color="auto"/>
              <w:left w:val="single" w:sz="4" w:space="0" w:color="auto"/>
              <w:bottom w:val="single" w:sz="4" w:space="0" w:color="auto"/>
              <w:right w:val="single" w:sz="4" w:space="0" w:color="auto"/>
            </w:tcBorders>
          </w:tcPr>
          <w:p w:rsidR="006D08C7" w:rsidRPr="001F2E97" w:rsidRDefault="00400F6B" w:rsidP="005F4C08">
            <w:pPr>
              <w:spacing w:before="60" w:after="60"/>
              <w:ind w:right="195"/>
              <w:jc w:val="center"/>
              <w:rPr>
                <w:bCs/>
                <w:noProof/>
                <w:szCs w:val="24"/>
              </w:rPr>
            </w:pPr>
            <w:r w:rsidRPr="001F2E97">
              <w:t xml:space="preserve">Breve durata </w:t>
            </w:r>
            <w:r w:rsidRPr="001F2E97">
              <w:rPr>
                <w:b/>
              </w:rPr>
              <w:t xml:space="preserve"> </w:t>
            </w:r>
            <w:r w:rsidRPr="001F2E97">
              <w:t>(</w:t>
            </w:r>
            <w:r w:rsidRPr="001F2E97">
              <w:rPr>
                <w:vertAlign w:val="superscript"/>
              </w:rPr>
              <w:t>4</w:t>
            </w:r>
            <w:r w:rsidRPr="001F2E97">
              <w:t>)</w:t>
            </w:r>
          </w:p>
        </w:tc>
        <w:tc>
          <w:tcPr>
            <w:tcW w:w="848" w:type="dxa"/>
            <w:vMerge/>
            <w:tcBorders>
              <w:top w:val="single" w:sz="4" w:space="0" w:color="auto"/>
              <w:left w:val="single" w:sz="4" w:space="0" w:color="auto"/>
              <w:bottom w:val="single" w:sz="4" w:space="0" w:color="auto"/>
              <w:right w:val="single" w:sz="4" w:space="0" w:color="auto"/>
            </w:tcBorders>
          </w:tcPr>
          <w:p w:rsidR="006D08C7" w:rsidRPr="001F2E97" w:rsidRDefault="006D08C7" w:rsidP="005F4C08">
            <w:pPr>
              <w:spacing w:before="60" w:after="60"/>
              <w:ind w:right="195"/>
              <w:jc w:val="cente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1F2E97" w:rsidRDefault="006D08C7" w:rsidP="005F4C08">
            <w:pPr>
              <w:spacing w:before="60" w:after="60"/>
              <w:ind w:right="195"/>
              <w:jc w:val="center"/>
              <w:rPr>
                <w:bCs/>
                <w:noProof/>
                <w:szCs w:val="24"/>
              </w:rPr>
            </w:pPr>
          </w:p>
        </w:tc>
      </w:tr>
      <w:tr w:rsidR="001F2E97" w:rsidRPr="001F2E97"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1F2E97" w:rsidRDefault="006D08C7" w:rsidP="005F4C08">
            <w:pPr>
              <w:rPr>
                <w:bCs/>
                <w:noProof/>
                <w:szCs w:val="24"/>
              </w:rPr>
            </w:pPr>
          </w:p>
        </w:tc>
        <w:tc>
          <w:tcPr>
            <w:tcW w:w="735"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1F2E97" w:rsidRDefault="006D08C7" w:rsidP="005F4C08">
            <w:pPr>
              <w:rPr>
                <w:bCs/>
                <w:noProof/>
                <w:szCs w:val="24"/>
              </w:rPr>
            </w:pPr>
          </w:p>
        </w:tc>
        <w:tc>
          <w:tcPr>
            <w:tcW w:w="702"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1F2E97" w:rsidRDefault="006D08C7" w:rsidP="005F4C08">
            <w:pPr>
              <w:rPr>
                <w:bCs/>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1F2E97" w:rsidRDefault="00400F6B" w:rsidP="005F4C08">
            <w:pPr>
              <w:spacing w:before="60" w:after="60"/>
              <w:jc w:val="center"/>
              <w:rPr>
                <w:bCs/>
                <w:noProof/>
                <w:szCs w:val="24"/>
                <w:vertAlign w:val="superscript"/>
              </w:rPr>
            </w:pPr>
            <w:r w:rsidRPr="001F2E97">
              <w:t>mg/m</w:t>
            </w:r>
            <w:r w:rsidRPr="001F2E97">
              <w:rPr>
                <w:vertAlign w:val="superscript"/>
              </w:rPr>
              <w:t xml:space="preserve">3 </w:t>
            </w:r>
            <w:r w:rsidRPr="001F2E97">
              <w:t>(</w:t>
            </w:r>
            <w:r w:rsidRPr="001F2E97">
              <w:rPr>
                <w:vertAlign w:val="superscript"/>
              </w:rPr>
              <w:t>5</w:t>
            </w:r>
            <w:r w:rsidRPr="001F2E97">
              <w:t>)</w:t>
            </w:r>
            <w:r w:rsidRPr="001F2E97">
              <w:rPr>
                <w:vertAlign w:val="superscript"/>
              </w:rPr>
              <w:t xml:space="preserve">  </w:t>
            </w:r>
            <w:r w:rsidRPr="001F2E97">
              <w:t xml:space="preserve">  </w:t>
            </w:r>
          </w:p>
        </w:tc>
        <w:tc>
          <w:tcPr>
            <w:tcW w:w="463" w:type="dxa"/>
            <w:tcBorders>
              <w:top w:val="single" w:sz="4" w:space="0" w:color="auto"/>
              <w:left w:val="single" w:sz="4" w:space="0" w:color="auto"/>
              <w:bottom w:val="single" w:sz="4" w:space="0" w:color="auto"/>
              <w:right w:val="single" w:sz="4" w:space="0" w:color="auto"/>
            </w:tcBorders>
          </w:tcPr>
          <w:p w:rsidR="006D08C7" w:rsidRPr="001F2E97" w:rsidRDefault="00400F6B" w:rsidP="005F4C08">
            <w:pPr>
              <w:spacing w:before="60" w:after="60"/>
              <w:jc w:val="center"/>
              <w:rPr>
                <w:bCs/>
                <w:noProof/>
                <w:szCs w:val="24"/>
              </w:rPr>
            </w:pPr>
            <w:r w:rsidRPr="001F2E97">
              <w:t>ppm (</w:t>
            </w:r>
            <w:r w:rsidRPr="001F2E97">
              <w:rPr>
                <w:vertAlign w:val="superscript"/>
              </w:rPr>
              <w:t>6</w:t>
            </w:r>
            <w:r w:rsidRPr="001F2E97">
              <w:t xml:space="preserve">)      </w:t>
            </w:r>
          </w:p>
        </w:tc>
        <w:tc>
          <w:tcPr>
            <w:tcW w:w="564" w:type="dxa"/>
            <w:tcBorders>
              <w:top w:val="single" w:sz="4" w:space="0" w:color="auto"/>
              <w:left w:val="single" w:sz="4" w:space="0" w:color="auto"/>
              <w:bottom w:val="single" w:sz="4" w:space="0" w:color="auto"/>
              <w:right w:val="single" w:sz="4" w:space="0" w:color="auto"/>
            </w:tcBorders>
          </w:tcPr>
          <w:p w:rsidR="006D08C7" w:rsidRPr="001F2E97" w:rsidRDefault="00400F6B" w:rsidP="005F4C08">
            <w:pPr>
              <w:spacing w:before="60"/>
              <w:jc w:val="center"/>
              <w:rPr>
                <w:bCs/>
                <w:noProof/>
                <w:szCs w:val="24"/>
              </w:rPr>
            </w:pPr>
            <w:r w:rsidRPr="001F2E97">
              <w:t>f/ml (</w:t>
            </w:r>
            <w:r w:rsidRPr="001F2E97">
              <w:rPr>
                <w:vertAlign w:val="superscript"/>
              </w:rPr>
              <w:t>7</w:t>
            </w:r>
            <w:r w:rsidRPr="001F2E97">
              <w:t>)</w:t>
            </w:r>
          </w:p>
        </w:tc>
        <w:tc>
          <w:tcPr>
            <w:tcW w:w="710" w:type="dxa"/>
            <w:tcBorders>
              <w:top w:val="single" w:sz="4" w:space="0" w:color="auto"/>
              <w:left w:val="single" w:sz="4" w:space="0" w:color="auto"/>
              <w:bottom w:val="single" w:sz="4" w:space="0" w:color="auto"/>
              <w:right w:val="single" w:sz="4" w:space="0" w:color="auto"/>
            </w:tcBorders>
          </w:tcPr>
          <w:p w:rsidR="006D08C7" w:rsidRPr="001F2E97" w:rsidRDefault="00400F6B" w:rsidP="005F4C08">
            <w:pPr>
              <w:spacing w:before="60" w:after="60"/>
              <w:jc w:val="center"/>
              <w:rPr>
                <w:bCs/>
                <w:noProof/>
                <w:szCs w:val="24"/>
              </w:rPr>
            </w:pPr>
            <w:r w:rsidRPr="001F2E97">
              <w:t>mg/m</w:t>
            </w:r>
            <w:r w:rsidRPr="001F2E97">
              <w:rPr>
                <w:vertAlign w:val="superscript"/>
              </w:rPr>
              <w:t>3</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1F2E97" w:rsidRDefault="00400F6B" w:rsidP="005F4C08">
            <w:pPr>
              <w:spacing w:before="60" w:after="60"/>
              <w:jc w:val="center"/>
              <w:rPr>
                <w:bCs/>
                <w:noProof/>
                <w:szCs w:val="24"/>
              </w:rPr>
            </w:pPr>
            <w:r w:rsidRPr="001F2E97">
              <w:t>ppm</w:t>
            </w:r>
          </w:p>
        </w:tc>
        <w:tc>
          <w:tcPr>
            <w:tcW w:w="56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6D08C7" w:rsidRPr="001F2E97" w:rsidRDefault="00400F6B" w:rsidP="005F4C08">
            <w:pPr>
              <w:spacing w:before="60" w:after="60"/>
              <w:jc w:val="center"/>
              <w:rPr>
                <w:bCs/>
                <w:noProof/>
                <w:szCs w:val="24"/>
              </w:rPr>
            </w:pPr>
            <w:r w:rsidRPr="001F2E97">
              <w:t>f/ml</w:t>
            </w:r>
          </w:p>
        </w:tc>
        <w:tc>
          <w:tcPr>
            <w:tcW w:w="848" w:type="dxa"/>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1F2E97" w:rsidRDefault="006D08C7" w:rsidP="005F4C08">
            <w:pPr>
              <w:rPr>
                <w:bCs/>
                <w:noProof/>
                <w:szCs w:val="24"/>
              </w:rPr>
            </w:pPr>
          </w:p>
        </w:tc>
        <w:tc>
          <w:tcPr>
            <w:tcW w:w="1815" w:type="dxa"/>
            <w:gridSpan w:val="2"/>
            <w:vMerge/>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rsidR="006D08C7" w:rsidRPr="001F2E97" w:rsidRDefault="006D08C7" w:rsidP="005F4C08">
            <w:pPr>
              <w:rPr>
                <w:bCs/>
                <w:noProof/>
                <w:szCs w:val="24"/>
              </w:rPr>
            </w:pPr>
          </w:p>
        </w:tc>
      </w:tr>
      <w:tr w:rsidR="001F2E97" w:rsidRPr="001F2E97" w:rsidTr="005273FD">
        <w:tblPrEx>
          <w:jc w:val="left"/>
          <w:tblCellSpacing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Ex>
        <w:trPr>
          <w:gridBefore w:val="1"/>
          <w:wBefore w:w="6" w:type="dxa"/>
          <w:tblCellSpacing w:w="0" w:type="dxa"/>
        </w:trPr>
        <w:tc>
          <w:tcPr>
            <w:tcW w:w="191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400F6B" w:rsidP="005F4C08">
            <w:pPr>
              <w:rPr>
                <w:noProof/>
                <w:szCs w:val="24"/>
              </w:rPr>
            </w:pPr>
            <w:r w:rsidRPr="001F2E97">
              <w:t>Piombo inorganico e suoi composti</w:t>
            </w:r>
          </w:p>
        </w:tc>
        <w:tc>
          <w:tcPr>
            <w:tcW w:w="73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6D08C7" w:rsidP="005F4C08">
            <w:pPr>
              <w:spacing w:before="40" w:after="40"/>
              <w:rPr>
                <w:noProof/>
                <w:szCs w:val="24"/>
              </w:rPr>
            </w:pPr>
          </w:p>
        </w:tc>
        <w:tc>
          <w:tcPr>
            <w:tcW w:w="702"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6D08C7" w:rsidP="005F4C08">
            <w:pPr>
              <w:spacing w:before="40" w:after="40"/>
              <w:ind w:right="195"/>
              <w:rPr>
                <w:noProof/>
                <w:szCs w:val="24"/>
              </w:rPr>
            </w:pPr>
          </w:p>
        </w:tc>
        <w:tc>
          <w:tcPr>
            <w:tcW w:w="884"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400F6B" w:rsidP="005F4C08">
            <w:pPr>
              <w:spacing w:before="40" w:after="40"/>
              <w:ind w:right="195"/>
              <w:rPr>
                <w:b/>
                <w:i/>
                <w:noProof/>
                <w:szCs w:val="24"/>
              </w:rPr>
            </w:pPr>
            <w:r w:rsidRPr="001F2E97">
              <w:rPr>
                <w:b/>
                <w:i/>
              </w:rPr>
              <w:t>0,004</w:t>
            </w:r>
          </w:p>
        </w:tc>
        <w:tc>
          <w:tcPr>
            <w:tcW w:w="463"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1F2E97" w:rsidRDefault="006D08C7" w:rsidP="005F4C08">
            <w:pPr>
              <w:spacing w:before="40" w:after="40"/>
              <w:rPr>
                <w:noProof/>
                <w:szCs w:val="24"/>
              </w:rPr>
            </w:pPr>
          </w:p>
        </w:tc>
        <w:tc>
          <w:tcPr>
            <w:tcW w:w="564"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1F2E97" w:rsidRDefault="006D08C7" w:rsidP="005F4C08">
            <w:pPr>
              <w:spacing w:before="40" w:after="40"/>
              <w:rPr>
                <w:noProof/>
                <w:szCs w:val="24"/>
              </w:rPr>
            </w:pPr>
          </w:p>
        </w:tc>
        <w:tc>
          <w:tcPr>
            <w:tcW w:w="710" w:type="dxa"/>
            <w:tcBorders>
              <w:top w:val="single" w:sz="4" w:space="0" w:color="auto"/>
              <w:left w:val="single" w:sz="4" w:space="0" w:color="auto"/>
              <w:bottom w:val="single" w:sz="4" w:space="0" w:color="auto"/>
              <w:right w:val="single" w:sz="4" w:space="0" w:color="auto"/>
            </w:tcBorders>
            <w:tcMar>
              <w:left w:w="40" w:type="dxa"/>
              <w:right w:w="40" w:type="dxa"/>
            </w:tcMar>
          </w:tcPr>
          <w:p w:rsidR="006D08C7" w:rsidRPr="001F2E97" w:rsidRDefault="006D08C7" w:rsidP="005F4C08">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6D08C7" w:rsidP="005F4C08">
            <w:pPr>
              <w:spacing w:before="40" w:after="40"/>
              <w:rPr>
                <w:noProof/>
                <w:szCs w:val="24"/>
              </w:rPr>
            </w:pPr>
          </w:p>
        </w:tc>
        <w:tc>
          <w:tcPr>
            <w:tcW w:w="56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6D08C7" w:rsidP="005F4C08">
            <w:pPr>
              <w:spacing w:before="40" w:after="40"/>
              <w:rPr>
                <w:noProof/>
                <w:szCs w:val="24"/>
              </w:rPr>
            </w:pPr>
          </w:p>
        </w:tc>
        <w:tc>
          <w:tcPr>
            <w:tcW w:w="84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6D08C7" w:rsidP="005F4C08">
            <w:pPr>
              <w:spacing w:before="40" w:after="40"/>
              <w:rPr>
                <w:noProof/>
                <w:szCs w:val="24"/>
              </w:rPr>
            </w:pPr>
          </w:p>
        </w:tc>
        <w:tc>
          <w:tcPr>
            <w:tcW w:w="1815" w:type="dxa"/>
            <w:gridSpan w:val="2"/>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6D08C7" w:rsidRPr="001F2E97" w:rsidRDefault="006D08C7" w:rsidP="005F4C08">
            <w:pPr>
              <w:spacing w:before="40" w:after="40"/>
              <w:rPr>
                <w:noProof/>
                <w:szCs w:val="24"/>
              </w:rPr>
            </w:pPr>
          </w:p>
        </w:tc>
      </w:tr>
      <w:tr w:rsidR="001F2E97" w:rsidRPr="001F2E97" w:rsidTr="0004271C">
        <w:trPr>
          <w:gridAfter w:val="1"/>
          <w:wAfter w:w="39" w:type="dxa"/>
          <w:jc w:val="center"/>
        </w:trPr>
        <w:tc>
          <w:tcPr>
            <w:tcW w:w="9742" w:type="dxa"/>
            <w:gridSpan w:val="12"/>
          </w:tcPr>
          <w:p w:rsidR="006D08C7" w:rsidRPr="001F2E97" w:rsidRDefault="00400F6B" w:rsidP="005F4C08">
            <w:pPr>
              <w:pStyle w:val="AmColumnHeading"/>
              <w:keepNext/>
              <w:jc w:val="left"/>
              <w:rPr>
                <w:i w:val="0"/>
              </w:rPr>
            </w:pPr>
            <w:r w:rsidRPr="001F2E97">
              <w:rPr>
                <w:i w:val="0"/>
              </w:rPr>
              <w:t>(</w:t>
            </w:r>
            <w:r w:rsidRPr="001F2E97">
              <w:rPr>
                <w:i w:val="0"/>
                <w:vertAlign w:val="superscript"/>
              </w:rPr>
              <w:t>1</w:t>
            </w:r>
            <w:r w:rsidRPr="001F2E97">
              <w:rPr>
                <w:i w:val="0"/>
              </w:rPr>
              <w:t>)    </w:t>
            </w:r>
            <w:r w:rsidRPr="001F2E97">
              <w:rPr>
                <w:i w:val="0"/>
              </w:rPr>
              <w:t>N. CE (ossia EINECS, ELINCS o NLP): è il numero ufficiale della sostanza all'interno dell'Unione europea, come definito nell'allegato VI, parte 1, punto 1.1.1.2, del regolamento (CE) n. 1272/2008.</w:t>
            </w:r>
          </w:p>
        </w:tc>
      </w:tr>
      <w:tr w:rsidR="001F2E97" w:rsidRPr="001F2E97" w:rsidTr="0004271C">
        <w:trPr>
          <w:gridAfter w:val="1"/>
          <w:wAfter w:w="39" w:type="dxa"/>
          <w:jc w:val="center"/>
        </w:trPr>
        <w:tc>
          <w:tcPr>
            <w:tcW w:w="9742" w:type="dxa"/>
            <w:gridSpan w:val="12"/>
          </w:tcPr>
          <w:p w:rsidR="006D08C7" w:rsidRPr="001F2E97" w:rsidRDefault="00400F6B" w:rsidP="005F4C08">
            <w:pPr>
              <w:pStyle w:val="AmColumnHeading"/>
              <w:keepNext/>
              <w:jc w:val="left"/>
              <w:rPr>
                <w:rFonts w:eastAsia="Arial Unicode MS"/>
                <w:i w:val="0"/>
                <w:noProof/>
                <w:szCs w:val="24"/>
              </w:rPr>
            </w:pPr>
            <w:r w:rsidRPr="001F2E97">
              <w:rPr>
                <w:i w:val="0"/>
              </w:rPr>
              <w:t>(</w:t>
            </w:r>
            <w:r w:rsidRPr="001F2E97">
              <w:rPr>
                <w:i w:val="0"/>
                <w:vertAlign w:val="superscript"/>
              </w:rPr>
              <w:t>2</w:t>
            </w:r>
            <w:r w:rsidRPr="001F2E97">
              <w:rPr>
                <w:i w:val="0"/>
              </w:rPr>
              <w:t>)    N. CAS: numero di registrazione CAS (</w:t>
            </w:r>
            <w:r w:rsidRPr="001F2E97">
              <w:rPr>
                <w:iCs/>
              </w:rPr>
              <w:t>Chemical Abstract Service</w:t>
            </w:r>
            <w:r w:rsidRPr="001F2E97">
              <w:rPr>
                <w:i w:val="0"/>
              </w:rPr>
              <w:t>).</w:t>
            </w:r>
          </w:p>
        </w:tc>
      </w:tr>
      <w:tr w:rsidR="001F2E97" w:rsidRPr="001F2E97" w:rsidTr="0004271C">
        <w:trPr>
          <w:gridAfter w:val="1"/>
          <w:wAfter w:w="39" w:type="dxa"/>
          <w:jc w:val="center"/>
        </w:trPr>
        <w:tc>
          <w:tcPr>
            <w:tcW w:w="9742" w:type="dxa"/>
            <w:gridSpan w:val="12"/>
          </w:tcPr>
          <w:p w:rsidR="006D08C7" w:rsidRPr="001F2E97" w:rsidRDefault="00400F6B" w:rsidP="005F4C08">
            <w:pPr>
              <w:pStyle w:val="AmColumnHeading"/>
              <w:keepNext/>
              <w:jc w:val="left"/>
              <w:rPr>
                <w:rFonts w:eastAsia="Arial Unicode MS"/>
                <w:i w:val="0"/>
                <w:noProof/>
                <w:szCs w:val="24"/>
              </w:rPr>
            </w:pPr>
            <w:r w:rsidRPr="001F2E97">
              <w:rPr>
                <w:i w:val="0"/>
              </w:rPr>
              <w:t>(</w:t>
            </w:r>
            <w:r w:rsidRPr="001F2E97">
              <w:rPr>
                <w:i w:val="0"/>
                <w:vertAlign w:val="superscript"/>
              </w:rPr>
              <w:t>3</w:t>
            </w:r>
            <w:r w:rsidRPr="001F2E97">
              <w:rPr>
                <w:i w:val="0"/>
              </w:rPr>
              <w:t>)    Misurato o calcolato in relazione a un periodo di riferimento di 8 ore.</w:t>
            </w:r>
          </w:p>
        </w:tc>
      </w:tr>
      <w:tr w:rsidR="001F2E97" w:rsidRPr="001F2E97" w:rsidTr="0004271C">
        <w:trPr>
          <w:gridAfter w:val="1"/>
          <w:wAfter w:w="39" w:type="dxa"/>
          <w:jc w:val="center"/>
        </w:trPr>
        <w:tc>
          <w:tcPr>
            <w:tcW w:w="9742" w:type="dxa"/>
            <w:gridSpan w:val="12"/>
          </w:tcPr>
          <w:p w:rsidR="006D08C7" w:rsidRPr="001F2E97" w:rsidRDefault="00400F6B" w:rsidP="005F4C08">
            <w:pPr>
              <w:pStyle w:val="AmColumnHeading"/>
              <w:keepNext/>
              <w:jc w:val="left"/>
              <w:rPr>
                <w:rFonts w:eastAsia="Arial Unicode MS"/>
                <w:i w:val="0"/>
                <w:noProof/>
                <w:szCs w:val="24"/>
              </w:rPr>
            </w:pPr>
            <w:r w:rsidRPr="001F2E97">
              <w:rPr>
                <w:i w:val="0"/>
              </w:rPr>
              <w:t>(</w:t>
            </w:r>
            <w:r w:rsidRPr="001F2E97">
              <w:rPr>
                <w:i w:val="0"/>
                <w:vertAlign w:val="superscript"/>
              </w:rPr>
              <w:t>4</w:t>
            </w:r>
            <w:r w:rsidRPr="001F2E97">
              <w:rPr>
                <w:i w:val="0"/>
              </w:rPr>
              <w:t xml:space="preserve">)    Limite per esposizione di breve durata (STEL). </w:t>
            </w:r>
            <w:r w:rsidRPr="001F2E97">
              <w:rPr>
                <w:i w:val="0"/>
              </w:rPr>
              <w:t>Valore limite al di sopra del quale l'esposizione dovrebbe essere evitata e che si riferisce a un periodo di 15 minuti salvo indicazione contraria.</w:t>
            </w:r>
          </w:p>
        </w:tc>
      </w:tr>
      <w:tr w:rsidR="001F2E97" w:rsidRPr="001F2E97" w:rsidTr="0004271C">
        <w:trPr>
          <w:gridAfter w:val="1"/>
          <w:wAfter w:w="39" w:type="dxa"/>
          <w:jc w:val="center"/>
        </w:trPr>
        <w:tc>
          <w:tcPr>
            <w:tcW w:w="9742" w:type="dxa"/>
            <w:gridSpan w:val="12"/>
          </w:tcPr>
          <w:p w:rsidR="006D08C7" w:rsidRPr="001F2E97" w:rsidRDefault="00400F6B" w:rsidP="005F4C08">
            <w:pPr>
              <w:pStyle w:val="AmColumnHeading"/>
              <w:keepNext/>
              <w:jc w:val="left"/>
              <w:rPr>
                <w:rFonts w:eastAsia="Arial Unicode MS"/>
                <w:i w:val="0"/>
                <w:noProof/>
                <w:szCs w:val="24"/>
              </w:rPr>
            </w:pPr>
            <w:r w:rsidRPr="001F2E97">
              <w:rPr>
                <w:i w:val="0"/>
              </w:rPr>
              <w:t>(</w:t>
            </w:r>
            <w:r w:rsidRPr="001F2E97">
              <w:rPr>
                <w:i w:val="0"/>
                <w:vertAlign w:val="superscript"/>
              </w:rPr>
              <w:t>5</w:t>
            </w:r>
            <w:r w:rsidRPr="001F2E97">
              <w:rPr>
                <w:i w:val="0"/>
              </w:rPr>
              <w:t>)    mg/m3 = milligrammi per metro cubo di aria a 20 °C e 101,3 kPa (corrispondenti alla pressione di 760</w:t>
            </w:r>
            <w:r w:rsidRPr="001F2E97">
              <w:rPr>
                <w:i w:val="0"/>
              </w:rPr>
              <w:t xml:space="preserve"> mm di mercurio).</w:t>
            </w:r>
          </w:p>
        </w:tc>
      </w:tr>
      <w:tr w:rsidR="001F2E97" w:rsidRPr="001F2E97" w:rsidTr="0004271C">
        <w:trPr>
          <w:gridAfter w:val="1"/>
          <w:wAfter w:w="39" w:type="dxa"/>
          <w:jc w:val="center"/>
        </w:trPr>
        <w:tc>
          <w:tcPr>
            <w:tcW w:w="9742" w:type="dxa"/>
            <w:gridSpan w:val="12"/>
          </w:tcPr>
          <w:p w:rsidR="006D08C7" w:rsidRPr="001F2E97" w:rsidRDefault="00400F6B" w:rsidP="005F4C08">
            <w:pPr>
              <w:pStyle w:val="AmColumnHeading"/>
              <w:keepNext/>
              <w:jc w:val="left"/>
              <w:rPr>
                <w:rFonts w:eastAsia="Arial Unicode MS"/>
                <w:i w:val="0"/>
                <w:noProof/>
                <w:szCs w:val="24"/>
              </w:rPr>
            </w:pPr>
            <w:r w:rsidRPr="001F2E97">
              <w:rPr>
                <w:i w:val="0"/>
              </w:rPr>
              <w:t>(</w:t>
            </w:r>
            <w:r w:rsidRPr="001F2E97">
              <w:rPr>
                <w:i w:val="0"/>
                <w:vertAlign w:val="superscript"/>
              </w:rPr>
              <w:t>6</w:t>
            </w:r>
            <w:r w:rsidRPr="001F2E97">
              <w:rPr>
                <w:i w:val="0"/>
              </w:rPr>
              <w:t>)    ppm: parti per milione per volume di aria (ml/m3).</w:t>
            </w:r>
          </w:p>
        </w:tc>
      </w:tr>
      <w:tr w:rsidR="001F2E97" w:rsidRPr="001F2E97" w:rsidTr="0004271C">
        <w:trPr>
          <w:gridAfter w:val="1"/>
          <w:wAfter w:w="39" w:type="dxa"/>
          <w:jc w:val="center"/>
        </w:trPr>
        <w:tc>
          <w:tcPr>
            <w:tcW w:w="9742" w:type="dxa"/>
            <w:gridSpan w:val="12"/>
          </w:tcPr>
          <w:p w:rsidR="006D08C7" w:rsidRPr="001F2E97" w:rsidRDefault="00400F6B" w:rsidP="005F4C08">
            <w:pPr>
              <w:pStyle w:val="AmColumnHeading"/>
              <w:keepNext/>
              <w:jc w:val="left"/>
              <w:rPr>
                <w:rFonts w:eastAsia="Arial Unicode MS"/>
                <w:i w:val="0"/>
                <w:noProof/>
                <w:szCs w:val="24"/>
              </w:rPr>
            </w:pPr>
            <w:r w:rsidRPr="001F2E97">
              <w:rPr>
                <w:i w:val="0"/>
              </w:rPr>
              <w:t>(</w:t>
            </w:r>
            <w:r w:rsidRPr="001F2E97">
              <w:rPr>
                <w:i w:val="0"/>
                <w:vertAlign w:val="superscript"/>
              </w:rPr>
              <w:t>7</w:t>
            </w:r>
            <w:r w:rsidRPr="001F2E97">
              <w:rPr>
                <w:i w:val="0"/>
              </w:rPr>
              <w:t>)    f/ml = fibre per millilitro.";</w:t>
            </w:r>
          </w:p>
        </w:tc>
      </w:tr>
    </w:tbl>
    <w:p w:rsidR="006D08C7" w:rsidRPr="001F2E97" w:rsidRDefault="00400F6B" w:rsidP="006D08C7">
      <w:pPr>
        <w:pStyle w:val="AmOrLang"/>
      </w:pPr>
      <w:r w:rsidRPr="001F2E97">
        <w:t xml:space="preserve">Or. </w:t>
      </w:r>
      <w:r w:rsidRPr="001F2E97">
        <w:rPr>
          <w:rStyle w:val="HideTWBExt"/>
          <w:rFonts w:eastAsiaTheme="majorEastAsia"/>
          <w:color w:val="auto"/>
        </w:rPr>
        <w:t>&lt;Original&gt;</w:t>
      </w:r>
      <w:r w:rsidRPr="001F2E97">
        <w:rPr>
          <w:rStyle w:val="HideTWBInt"/>
          <w:color w:val="auto"/>
        </w:rPr>
        <w:t>{EN}</w:t>
      </w:r>
      <w:r w:rsidRPr="001F2E97">
        <w:t>en</w:t>
      </w:r>
      <w:r w:rsidRPr="001F2E97">
        <w:rPr>
          <w:rStyle w:val="HideTWBExt"/>
          <w:rFonts w:eastAsiaTheme="majorEastAsia"/>
          <w:color w:val="auto"/>
        </w:rPr>
        <w:t>&lt;/Original&gt;</w:t>
      </w:r>
    </w:p>
    <w:p w:rsidR="006D08C7" w:rsidRPr="001F2E97" w:rsidRDefault="00400F6B" w:rsidP="006D08C7">
      <w:r w:rsidRPr="001F2E97">
        <w:rPr>
          <w:rStyle w:val="HideTWBExt"/>
          <w:color w:val="auto"/>
        </w:rPr>
        <w:t>&lt;/Amend&gt;</w:t>
      </w:r>
    </w:p>
    <w:p w:rsidR="00AE14C6" w:rsidRPr="001F2E97" w:rsidRDefault="00400F6B" w:rsidP="00AE14C6">
      <w:pPr>
        <w:pStyle w:val="AmNumberTabs"/>
        <w:keepNext/>
      </w:pPr>
      <w:r w:rsidRPr="001F2E97">
        <w:rPr>
          <w:rStyle w:val="HideTWBExt"/>
          <w:b w:val="0"/>
          <w:color w:val="auto"/>
        </w:rPr>
        <w:t>&lt;Amend&gt;</w:t>
      </w:r>
      <w:r w:rsidRPr="001F2E97">
        <w:t>Emendamento</w:t>
      </w:r>
      <w:r w:rsidRPr="001F2E97">
        <w:tab/>
      </w:r>
      <w:r w:rsidRPr="001F2E97">
        <w:tab/>
      </w:r>
      <w:r w:rsidRPr="001F2E97">
        <w:rPr>
          <w:rStyle w:val="HideTWBExt"/>
          <w:b w:val="0"/>
          <w:color w:val="auto"/>
        </w:rPr>
        <w:t>&lt;NumAm&gt;</w:t>
      </w:r>
      <w:r w:rsidRPr="001F2E97">
        <w:t>34</w:t>
      </w:r>
      <w:r w:rsidRPr="001F2E97">
        <w:rPr>
          <w:rStyle w:val="HideTWBExt"/>
          <w:b w:val="0"/>
          <w:color w:val="auto"/>
        </w:rPr>
        <w:t>&lt;/NumAm&gt;</w:t>
      </w:r>
    </w:p>
    <w:p w:rsidR="00AE14C6" w:rsidRPr="001F2E97" w:rsidRDefault="00400F6B" w:rsidP="00AE14C6">
      <w:pPr>
        <w:pStyle w:val="NormalBold12b"/>
        <w:keepNext/>
      </w:pPr>
      <w:r w:rsidRPr="001F2E97">
        <w:rPr>
          <w:rStyle w:val="HideTWBExt"/>
          <w:b w:val="0"/>
          <w:color w:val="auto"/>
        </w:rPr>
        <w:t>&lt;DocAmend&gt;</w:t>
      </w:r>
      <w:r w:rsidRPr="001F2E97">
        <w:t>Proposta di direttiva</w:t>
      </w:r>
      <w:r w:rsidRPr="001F2E97">
        <w:rPr>
          <w:rStyle w:val="HideTWBExt"/>
          <w:b w:val="0"/>
          <w:color w:val="auto"/>
        </w:rPr>
        <w:t>&lt;/DocAmend&gt;</w:t>
      </w:r>
    </w:p>
    <w:p w:rsidR="00AE14C6" w:rsidRPr="001F2E97" w:rsidRDefault="00400F6B" w:rsidP="00AE14C6">
      <w:pPr>
        <w:pStyle w:val="NormalBold"/>
        <w:keepNext/>
      </w:pPr>
      <w:r w:rsidRPr="001F2E97">
        <w:rPr>
          <w:rStyle w:val="HideTWBExt"/>
          <w:b w:val="0"/>
          <w:color w:val="auto"/>
        </w:rPr>
        <w:t>&lt;Article&gt;</w:t>
      </w:r>
      <w:r w:rsidRPr="001F2E97">
        <w:t>Allegato</w:t>
      </w:r>
      <w:r w:rsidRPr="001F2E97">
        <w:t xml:space="preserve"> II – punto 2</w:t>
      </w:r>
      <w:r w:rsidRPr="001F2E97">
        <w:rPr>
          <w:rStyle w:val="HideTWBExt"/>
          <w:b w:val="0"/>
          <w:color w:val="auto"/>
        </w:rPr>
        <w:t>&lt;/Article&gt;</w:t>
      </w:r>
    </w:p>
    <w:p w:rsidR="00AE14C6" w:rsidRPr="001F2E97" w:rsidRDefault="00400F6B" w:rsidP="00AE14C6">
      <w:pPr>
        <w:keepNext/>
      </w:pPr>
      <w:r w:rsidRPr="001F2E97">
        <w:rPr>
          <w:rStyle w:val="HideTWBExt"/>
          <w:color w:val="auto"/>
        </w:rPr>
        <w:t>&lt;DocAmend2&gt;</w:t>
      </w:r>
      <w:r w:rsidRPr="001F2E97">
        <w:t>Direttiva 2004/37/CE</w:t>
      </w:r>
      <w:r w:rsidRPr="001F2E97">
        <w:rPr>
          <w:rStyle w:val="HideTWBExt"/>
          <w:color w:val="auto"/>
        </w:rPr>
        <w:t>&lt;/DocAmend2&gt;</w:t>
      </w:r>
    </w:p>
    <w:p w:rsidR="00AE14C6" w:rsidRPr="001F2E97" w:rsidRDefault="00400F6B" w:rsidP="00AE14C6">
      <w:r w:rsidRPr="001F2E97">
        <w:rPr>
          <w:rStyle w:val="HideTWBExt"/>
          <w:color w:val="auto"/>
        </w:rPr>
        <w:t>&lt;Article2&gt;</w:t>
      </w:r>
      <w:r w:rsidRPr="001F2E97">
        <w:t>Allegato III bis</w:t>
      </w:r>
      <w:r w:rsidRPr="001F2E97">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F2E97" w:rsidRPr="001F2E97" w:rsidTr="005F4C08">
        <w:trPr>
          <w:jc w:val="center"/>
        </w:trPr>
        <w:tc>
          <w:tcPr>
            <w:tcW w:w="9752" w:type="dxa"/>
            <w:gridSpan w:val="2"/>
          </w:tcPr>
          <w:p w:rsidR="00AE14C6" w:rsidRPr="001F2E97" w:rsidRDefault="00AE14C6" w:rsidP="005F4C08">
            <w:pPr>
              <w:keepNext/>
            </w:pPr>
          </w:p>
        </w:tc>
      </w:tr>
      <w:tr w:rsidR="001F2E97" w:rsidRPr="001F2E97" w:rsidTr="005F4C08">
        <w:trPr>
          <w:jc w:val="center"/>
        </w:trPr>
        <w:tc>
          <w:tcPr>
            <w:tcW w:w="4876" w:type="dxa"/>
          </w:tcPr>
          <w:p w:rsidR="00AE14C6" w:rsidRPr="001F2E97" w:rsidRDefault="00400F6B" w:rsidP="005F4C08">
            <w:pPr>
              <w:pStyle w:val="AmColumnHeading"/>
              <w:keepNext/>
            </w:pPr>
            <w:r w:rsidRPr="001F2E97">
              <w:t>Testo della Commissione</w:t>
            </w:r>
          </w:p>
        </w:tc>
        <w:tc>
          <w:tcPr>
            <w:tcW w:w="4876" w:type="dxa"/>
          </w:tcPr>
          <w:p w:rsidR="00AE14C6" w:rsidRPr="001F2E97" w:rsidRDefault="00400F6B" w:rsidP="005F4C08">
            <w:pPr>
              <w:pStyle w:val="AmColumnHeading"/>
              <w:keepNext/>
            </w:pPr>
            <w:r w:rsidRPr="001F2E97">
              <w:t>Emendamento</w:t>
            </w:r>
          </w:p>
        </w:tc>
      </w:tr>
      <w:tr w:rsidR="001F2E97" w:rsidRPr="001F2E97" w:rsidTr="005F4C08">
        <w:trPr>
          <w:jc w:val="center"/>
        </w:trPr>
        <w:tc>
          <w:tcPr>
            <w:tcW w:w="4876" w:type="dxa"/>
          </w:tcPr>
          <w:p w:rsidR="00AE14C6" w:rsidRPr="001F2E97" w:rsidRDefault="00400F6B" w:rsidP="00AE14C6">
            <w:pPr>
              <w:pStyle w:val="Normal6a"/>
            </w:pPr>
            <w:r w:rsidRPr="001F2E97">
              <w:t>2)</w:t>
            </w:r>
            <w:r w:rsidRPr="001F2E97">
              <w:tab/>
              <w:t>l'allegato III bis è sostituito dal seguente:</w:t>
            </w:r>
          </w:p>
        </w:tc>
        <w:tc>
          <w:tcPr>
            <w:tcW w:w="4876" w:type="dxa"/>
          </w:tcPr>
          <w:p w:rsidR="00AE14C6" w:rsidRPr="001F2E97" w:rsidRDefault="00400F6B" w:rsidP="00AE14C6">
            <w:pPr>
              <w:pStyle w:val="Normal6a"/>
            </w:pPr>
            <w:r w:rsidRPr="001F2E97">
              <w:t>2)</w:t>
            </w:r>
            <w:r w:rsidRPr="001F2E97">
              <w:tab/>
              <w:t>l'allegato III bis è sostituito dal seguente:</w:t>
            </w:r>
          </w:p>
        </w:tc>
      </w:tr>
      <w:tr w:rsidR="001F2E97" w:rsidRPr="001F2E97" w:rsidTr="005F4C08">
        <w:trPr>
          <w:jc w:val="center"/>
        </w:trPr>
        <w:tc>
          <w:tcPr>
            <w:tcW w:w="4876" w:type="dxa"/>
          </w:tcPr>
          <w:p w:rsidR="002719EB" w:rsidRPr="001F2E97" w:rsidRDefault="00400F6B" w:rsidP="002719EB">
            <w:pPr>
              <w:pStyle w:val="Normal6a"/>
            </w:pPr>
            <w:r w:rsidRPr="001F2E97">
              <w:t>Piombo e suoi composti ionici</w:t>
            </w:r>
          </w:p>
        </w:tc>
        <w:tc>
          <w:tcPr>
            <w:tcW w:w="4876" w:type="dxa"/>
          </w:tcPr>
          <w:p w:rsidR="002719EB" w:rsidRPr="001F2E97" w:rsidRDefault="00400F6B" w:rsidP="002719EB">
            <w:pPr>
              <w:pStyle w:val="Normal6a"/>
            </w:pPr>
            <w:r w:rsidRPr="001F2E97">
              <w:t>Piombo e suoi composti ionici</w:t>
            </w:r>
          </w:p>
        </w:tc>
      </w:tr>
      <w:tr w:rsidR="001F2E97" w:rsidRPr="001F2E97" w:rsidTr="005F4C08">
        <w:trPr>
          <w:jc w:val="center"/>
        </w:trPr>
        <w:tc>
          <w:tcPr>
            <w:tcW w:w="4876" w:type="dxa"/>
          </w:tcPr>
          <w:p w:rsidR="002719EB" w:rsidRPr="001F2E97" w:rsidRDefault="00400F6B" w:rsidP="002719EB">
            <w:pPr>
              <w:pStyle w:val="Normal6a"/>
            </w:pPr>
            <w:r w:rsidRPr="001F2E97">
              <w:t>Il monitoraggio biologico comprende la misurazione del livello di piombo nel sangue (PbB) con l'ausilio della spettroscopia ad assorbimento o di un metodo che dia risultati equivalenti. Il valore</w:t>
            </w:r>
            <w:r w:rsidRPr="001F2E97">
              <w:t xml:space="preserve"> limite biologico obbligatorio è il seguente:</w:t>
            </w:r>
          </w:p>
        </w:tc>
        <w:tc>
          <w:tcPr>
            <w:tcW w:w="4876" w:type="dxa"/>
          </w:tcPr>
          <w:p w:rsidR="002719EB" w:rsidRPr="001F2E97" w:rsidRDefault="00400F6B" w:rsidP="002719EB">
            <w:pPr>
              <w:pStyle w:val="Normal6a"/>
            </w:pPr>
            <w:r w:rsidRPr="001F2E97">
              <w:t>Il monitoraggio biologico comprende la misurazione del livello di piombo nel sangue (PbB) con l'ausilio della spettroscopia ad assorbimento o di un metodo che dia risultati equivalenti. Il valore limite biologi</w:t>
            </w:r>
            <w:r w:rsidRPr="001F2E97">
              <w:t>co obbligatorio è il seguente:</w:t>
            </w:r>
          </w:p>
        </w:tc>
      </w:tr>
      <w:tr w:rsidR="001F2E97" w:rsidRPr="001F2E97" w:rsidTr="005F4C08">
        <w:trPr>
          <w:jc w:val="center"/>
        </w:trPr>
        <w:tc>
          <w:tcPr>
            <w:tcW w:w="4876" w:type="dxa"/>
          </w:tcPr>
          <w:p w:rsidR="002719EB" w:rsidRPr="001F2E97" w:rsidRDefault="00400F6B" w:rsidP="002719EB">
            <w:pPr>
              <w:pStyle w:val="Normal6a"/>
            </w:pPr>
            <w:r w:rsidRPr="001F2E97">
              <w:rPr>
                <w:b/>
                <w:i/>
              </w:rPr>
              <w:t>15 </w:t>
            </w:r>
            <w:r w:rsidRPr="001F2E97">
              <w:t>μg</w:t>
            </w:r>
            <w:r w:rsidRPr="001F2E97">
              <w:t xml:space="preserve"> Pb/100 ml di sangue </w:t>
            </w:r>
            <w:r w:rsidRPr="001F2E97">
              <w:rPr>
                <w:vertAlign w:val="superscript"/>
              </w:rPr>
              <w:t>(1)</w:t>
            </w:r>
          </w:p>
        </w:tc>
        <w:tc>
          <w:tcPr>
            <w:tcW w:w="4876" w:type="dxa"/>
          </w:tcPr>
          <w:p w:rsidR="002719EB" w:rsidRPr="001F2E97" w:rsidRDefault="00400F6B" w:rsidP="002719EB">
            <w:pPr>
              <w:pStyle w:val="Normal6a"/>
            </w:pPr>
            <w:r w:rsidRPr="001F2E97">
              <w:rPr>
                <w:b/>
                <w:i/>
              </w:rPr>
              <w:t xml:space="preserve">4,5 </w:t>
            </w:r>
            <w:r w:rsidRPr="001F2E97">
              <w:t>μg</w:t>
            </w:r>
            <w:r w:rsidRPr="001F2E97">
              <w:t xml:space="preserve"> Pb/100 ml di sangue </w:t>
            </w:r>
            <w:r w:rsidRPr="001F2E97">
              <w:rPr>
                <w:b/>
                <w:i/>
                <w:vertAlign w:val="superscript"/>
              </w:rPr>
              <w:t>(1)</w:t>
            </w:r>
          </w:p>
        </w:tc>
      </w:tr>
      <w:tr w:rsidR="001F2E97" w:rsidRPr="001F2E97" w:rsidTr="005F4C08">
        <w:trPr>
          <w:jc w:val="center"/>
        </w:trPr>
        <w:tc>
          <w:tcPr>
            <w:tcW w:w="4876" w:type="dxa"/>
          </w:tcPr>
          <w:p w:rsidR="002719EB" w:rsidRPr="001F2E97" w:rsidRDefault="00400F6B" w:rsidP="00945BF3">
            <w:pPr>
              <w:pStyle w:val="Normal6"/>
            </w:pPr>
            <w:r w:rsidRPr="001F2E97">
              <w:t xml:space="preserve">La sorveglianza sanitaria interviene quando l'esposizione a una concentrazione di piombo nell'aria, espressa come media ponderata nel tempo calcolata su 40 ore alla settimana, è superiore a </w:t>
            </w:r>
            <w:r w:rsidRPr="001F2E97">
              <w:rPr>
                <w:b/>
                <w:i/>
              </w:rPr>
              <w:t>0,015</w:t>
            </w:r>
            <w:r w:rsidRPr="001F2E97">
              <w:t xml:space="preserve"> mg/m3, oppure quando nei singoli lavoratori è </w:t>
            </w:r>
            <w:r w:rsidRPr="001F2E97">
              <w:lastRenderedPageBreak/>
              <w:t>riscontrato un</w:t>
            </w:r>
            <w:r w:rsidRPr="001F2E97">
              <w:t xml:space="preserve"> livello di piombo nel sangue superiore a </w:t>
            </w:r>
            <w:r w:rsidRPr="001F2E97">
              <w:rPr>
                <w:b/>
                <w:i/>
              </w:rPr>
              <w:t>9</w:t>
            </w:r>
            <w:r w:rsidRPr="001F2E97">
              <w:t> μg Pb/100 ml</w:t>
            </w:r>
            <w:r w:rsidRPr="001F2E97">
              <w:t xml:space="preserve"> di sangue.</w:t>
            </w:r>
          </w:p>
        </w:tc>
        <w:tc>
          <w:tcPr>
            <w:tcW w:w="4876" w:type="dxa"/>
          </w:tcPr>
          <w:p w:rsidR="002719EB" w:rsidRPr="001F2E97" w:rsidRDefault="00400F6B" w:rsidP="008C7BDF">
            <w:pPr>
              <w:pStyle w:val="Normal6a"/>
              <w:rPr>
                <w:rFonts w:eastAsia="Arial Unicode MS"/>
                <w:noProof/>
                <w:szCs w:val="24"/>
              </w:rPr>
            </w:pPr>
            <w:r w:rsidRPr="001F2E97">
              <w:lastRenderedPageBreak/>
              <w:t xml:space="preserve">La sorveglianza sanitaria interviene quando l'esposizione a una concentrazione di piombo nell'aria, espressa come media ponderata nel tempo calcolata su 40 ore alla settimana, è superiore </w:t>
            </w:r>
            <w:r w:rsidRPr="001F2E97">
              <w:t xml:space="preserve">a </w:t>
            </w:r>
            <w:r w:rsidRPr="001F2E97">
              <w:rPr>
                <w:b/>
                <w:i/>
              </w:rPr>
              <w:t>0,002</w:t>
            </w:r>
            <w:r w:rsidRPr="001F2E97">
              <w:t xml:space="preserve"> mg/m</w:t>
            </w:r>
            <w:r w:rsidRPr="001F2E97">
              <w:rPr>
                <w:vertAlign w:val="superscript"/>
              </w:rPr>
              <w:t>3</w:t>
            </w:r>
            <w:r w:rsidRPr="001F2E97">
              <w:t xml:space="preserve">, oppure quando nei singoli lavoratori è </w:t>
            </w:r>
            <w:r w:rsidRPr="001F2E97">
              <w:lastRenderedPageBreak/>
              <w:t xml:space="preserve">riscontrato un contenuto di piombo nel sangue superiore a </w:t>
            </w:r>
            <w:r w:rsidRPr="001F2E97">
              <w:rPr>
                <w:b/>
                <w:i/>
              </w:rPr>
              <w:t xml:space="preserve">2,7 </w:t>
            </w:r>
            <w:r w:rsidRPr="001F2E97">
              <w:t>μg Pb/100 ml</w:t>
            </w:r>
            <w:r w:rsidRPr="001F2E97">
              <w:t xml:space="preserve"> di sangue.".</w:t>
            </w:r>
          </w:p>
        </w:tc>
      </w:tr>
      <w:tr w:rsidR="001F2E97" w:rsidRPr="001F2E97" w:rsidTr="005F4C08">
        <w:trPr>
          <w:jc w:val="center"/>
        </w:trPr>
        <w:tc>
          <w:tcPr>
            <w:tcW w:w="4876" w:type="dxa"/>
          </w:tcPr>
          <w:p w:rsidR="002719EB" w:rsidRPr="001F2E97" w:rsidRDefault="002719EB" w:rsidP="002719EB">
            <w:pPr>
              <w:pStyle w:val="Normal6a"/>
            </w:pPr>
          </w:p>
        </w:tc>
        <w:tc>
          <w:tcPr>
            <w:tcW w:w="4876" w:type="dxa"/>
          </w:tcPr>
          <w:p w:rsidR="002719EB" w:rsidRPr="001F2E97" w:rsidRDefault="00400F6B" w:rsidP="007C2624">
            <w:pPr>
              <w:pStyle w:val="Normal6a"/>
              <w:rPr>
                <w:rFonts w:eastAsia="Arial Unicode MS"/>
                <w:b/>
                <w:i/>
                <w:noProof/>
                <w:szCs w:val="24"/>
              </w:rPr>
            </w:pPr>
            <w:r w:rsidRPr="001F2E97">
              <w:rPr>
                <w:b/>
                <w:i/>
              </w:rPr>
              <w:t>Se dai risultati della sorveglianza sanitaria emerge un livello di piombo nel sangue di un lavoratore superiore al valore limite biologico dovuto all'antecedente esposizione professionale al piombo, il datore di lavoro e l'autorità responsabile della sorve</w:t>
            </w:r>
            <w:r w:rsidRPr="001F2E97">
              <w:rPr>
                <w:b/>
                <w:i/>
              </w:rPr>
              <w:t>glianza sanitaria di tale lavoratore adottano le misure necessarie per garantire una diminuzione del livello di piombo nel sangue del lavoratore, conformemente agli orientamenti elaborati a norma dell'articolo 18 bis.</w:t>
            </w:r>
          </w:p>
        </w:tc>
      </w:tr>
      <w:tr w:rsidR="001F2E97" w:rsidRPr="001F2E97" w:rsidTr="005F4C08">
        <w:trPr>
          <w:jc w:val="center"/>
        </w:trPr>
        <w:tc>
          <w:tcPr>
            <w:tcW w:w="4876" w:type="dxa"/>
          </w:tcPr>
          <w:p w:rsidR="002719EB" w:rsidRPr="001F2E97" w:rsidRDefault="00400F6B" w:rsidP="002719EB">
            <w:pPr>
              <w:pStyle w:val="Normal6a"/>
              <w:rPr>
                <w:rFonts w:eastAsia="Arial Unicode MS"/>
                <w:b/>
                <w:i/>
                <w:noProof/>
                <w:szCs w:val="24"/>
              </w:rPr>
            </w:pPr>
            <w:r w:rsidRPr="001F2E97">
              <w:rPr>
                <w:b/>
                <w:i/>
                <w:vertAlign w:val="superscript"/>
              </w:rPr>
              <w:t>1)</w:t>
            </w:r>
            <w:r w:rsidRPr="001F2E97">
              <w:rPr>
                <w:b/>
                <w:i/>
              </w:rPr>
              <w:tab/>
              <w:t>Si raccomanda che il livello di pi</w:t>
            </w:r>
            <w:r w:rsidRPr="001F2E97">
              <w:rPr>
                <w:b/>
                <w:i/>
              </w:rPr>
              <w:t>ombo nel sangue delle lavoratrici in età fertile non superi i valori di riferimento della popolazione generale non soggetta a esposizione professionale al piombo nel rispettivo Stato membro dell'UE. Qualora non siano disponibili livelli di riferimento nazi</w:t>
            </w:r>
            <w:r w:rsidRPr="001F2E97">
              <w:rPr>
                <w:b/>
                <w:i/>
              </w:rPr>
              <w:t>onali, si raccomanda che i livelli di piombo nel sangue delle lavoratrici in età fertile non superino il valore guida biologico di 4,5 µg/100ml."</w:t>
            </w:r>
          </w:p>
        </w:tc>
        <w:tc>
          <w:tcPr>
            <w:tcW w:w="4876" w:type="dxa"/>
          </w:tcPr>
          <w:p w:rsidR="002719EB" w:rsidRPr="001F2E97" w:rsidRDefault="002719EB" w:rsidP="002719EB">
            <w:pPr>
              <w:pStyle w:val="Normal6a"/>
              <w:rPr>
                <w:rFonts w:eastAsia="Arial Unicode MS"/>
                <w:b/>
                <w:i/>
                <w:noProof/>
                <w:szCs w:val="24"/>
              </w:rPr>
            </w:pPr>
          </w:p>
        </w:tc>
      </w:tr>
    </w:tbl>
    <w:p w:rsidR="00AE14C6" w:rsidRPr="001F2E97" w:rsidRDefault="00400F6B" w:rsidP="00AE14C6">
      <w:pPr>
        <w:pStyle w:val="AmOrLang"/>
      </w:pPr>
      <w:r w:rsidRPr="001F2E97">
        <w:t xml:space="preserve">Or. </w:t>
      </w:r>
      <w:r w:rsidRPr="001F2E97">
        <w:rPr>
          <w:rStyle w:val="HideTWBExt"/>
          <w:noProof w:val="0"/>
          <w:color w:val="auto"/>
        </w:rPr>
        <w:t>&lt;Original&gt;</w:t>
      </w:r>
      <w:r w:rsidRPr="001F2E97">
        <w:rPr>
          <w:rStyle w:val="HideTWBInt"/>
          <w:color w:val="auto"/>
        </w:rPr>
        <w:t>{EN}</w:t>
      </w:r>
      <w:r w:rsidRPr="001F2E97">
        <w:t>en</w:t>
      </w:r>
      <w:r w:rsidRPr="001F2E97">
        <w:rPr>
          <w:rStyle w:val="HideTWBExt"/>
          <w:noProof w:val="0"/>
          <w:color w:val="auto"/>
        </w:rPr>
        <w:t>&lt;/Original&gt;</w:t>
      </w:r>
    </w:p>
    <w:p w:rsidR="002669B6" w:rsidRPr="001F2E97" w:rsidRDefault="00400F6B" w:rsidP="002669B6">
      <w:r w:rsidRPr="001F2E97">
        <w:rPr>
          <w:rStyle w:val="HideTWBExt"/>
          <w:color w:val="auto"/>
        </w:rPr>
        <w:t>&lt;/Amend&gt;&lt;/RepeatBlock-Amend&gt;</w:t>
      </w:r>
    </w:p>
    <w:p w:rsidR="001F4EDD" w:rsidRPr="001F2E97" w:rsidRDefault="00400F6B">
      <w:pPr>
        <w:widowControl/>
      </w:pPr>
      <w:r w:rsidRPr="001F2E97">
        <w:br w:type="page"/>
      </w:r>
    </w:p>
    <w:p w:rsidR="001F4EDD" w:rsidRPr="001F2E97" w:rsidRDefault="00400F6B" w:rsidP="001F4EDD">
      <w:pPr>
        <w:pStyle w:val="PageHeading"/>
      </w:pPr>
      <w:bookmarkStart w:id="3" w:name="_Toc135745284"/>
      <w:r w:rsidRPr="001F2E97">
        <w:lastRenderedPageBreak/>
        <w:t>MOTIVAZIONE</w:t>
      </w:r>
      <w:bookmarkEnd w:id="3"/>
    </w:p>
    <w:p w:rsidR="00CC3AEF" w:rsidRPr="001F2E97" w:rsidRDefault="00400F6B" w:rsidP="00CC3AEF">
      <w:r w:rsidRPr="001F2E97">
        <w:t>La protezione della salute e della sicurezza dei lavoratori è sancita dai trattati e dalla Carta dei diritti fondamentali ed è un elemento basilare di un'economia dell'UE al servizio dei cittadini. Il diritto a un livello elevato di protezione della salute</w:t>
      </w:r>
      <w:r w:rsidRPr="001F2E97">
        <w:t xml:space="preserve"> e della sicurezza sul luogo di lavoro si riflette nel principio 10 del pilastro europeo dei diritti sociali ed è fondamentale per raggiungere gli obiettivi di sviluppo sostenibile delle Nazioni Unite. </w:t>
      </w:r>
    </w:p>
    <w:p w:rsidR="00CC3AEF" w:rsidRPr="001F2E97" w:rsidRDefault="00CC3AEF" w:rsidP="00CC3AEF"/>
    <w:p w:rsidR="00CC3AEF" w:rsidRPr="001F2E97" w:rsidRDefault="00400F6B" w:rsidP="00CC3AEF">
      <w:r w:rsidRPr="001F2E97">
        <w:t>Nessuno dovrebbe essere affetto da malattie professi</w:t>
      </w:r>
      <w:r w:rsidRPr="001F2E97">
        <w:t>onali o essere vittima di infortuni o decessi sul lavoro. La legislazione dell'UE in materia di salute e sicurezza sul lavoro (SSL) è pertanto un settore di regolamentazione che riguarda quasi 170 milioni di lavoratori nell'UE. Iniziative politiche come il</w:t>
      </w:r>
      <w:r w:rsidRPr="001F2E97">
        <w:t xml:space="preserve"> Green Deal europeo o l'iniziativa sulle materie prime critiche promuovono lo sviluppo sostenibile, che richiede un equilibrio tra considerazioni ambientali, economiche e sociali. Adottando limiti di esposizione professionale obbligatori per gli agenti can</w:t>
      </w:r>
      <w:r w:rsidRPr="001F2E97">
        <w:t>cerogeni, mutageni e per le sostanze reprotossiche, i lavoratori sono protetti più adeguatamente dagli effetti nocivi e possono continuare a lavorare nel modo più sicuro possibile nelle industrie che producono materie prime critiche o contribuiscono all'ec</w:t>
      </w:r>
      <w:r w:rsidRPr="001F2E97">
        <w:t>onomia verde. Questo, a sua volta, promuove una transizione giusta garantendo che la salute dei lavoratori non sia compromessa a scapito degli obiettivi economici e ambientali dell'Unione. La protezione dei lavoratori dall'esposizione a sostanze pericolose</w:t>
      </w:r>
      <w:r w:rsidRPr="001F2E97">
        <w:t xml:space="preserve"> contribuisce altresì al conseguimento degli obiettivi del piano europeo di lotta contro il cancro.</w:t>
      </w:r>
    </w:p>
    <w:p w:rsidR="00CC3AEF" w:rsidRPr="001F2E97" w:rsidRDefault="00CC3AEF" w:rsidP="00CC3AEF"/>
    <w:p w:rsidR="00CC3AEF" w:rsidRPr="001F2E97" w:rsidRDefault="00400F6B" w:rsidP="00CC3AEF">
      <w:r w:rsidRPr="001F2E97">
        <w:t>Nel nuovo quadro per la SSL 2021-2027, l'Unione si impegna a introdurre nuovi valori limite di protezione per i diisocianati e il piombo, che sono stati id</w:t>
      </w:r>
      <w:r w:rsidRPr="001F2E97">
        <w:t>entificati nella strategia sulle sostanze chimiche del 2020 come alcune delle sostanze chimiche più nocive su cui intervenire.</w:t>
      </w:r>
    </w:p>
    <w:p w:rsidR="00CC3AEF" w:rsidRPr="001F2E97" w:rsidRDefault="00CC3AEF" w:rsidP="00CC3AEF"/>
    <w:p w:rsidR="00CC3AEF" w:rsidRPr="001F2E97" w:rsidRDefault="00400F6B" w:rsidP="00CC3AEF">
      <w:pPr>
        <w:rPr>
          <w:b/>
        </w:rPr>
      </w:pPr>
      <w:r w:rsidRPr="001F2E97">
        <w:rPr>
          <w:b/>
        </w:rPr>
        <w:t>Diisocianati</w:t>
      </w:r>
    </w:p>
    <w:p w:rsidR="00CC3AEF" w:rsidRPr="001F2E97" w:rsidRDefault="00400F6B" w:rsidP="00CC3AEF">
      <w:r w:rsidRPr="001F2E97">
        <w:t>I diisocianati sono utilizzati per produrre il poliuretano, un materiale fondamentale per una serie di applicazioni</w:t>
      </w:r>
      <w:r w:rsidRPr="001F2E97">
        <w:t xml:space="preserve"> come l'isolamento degli edifici e degli apparecchi, che contribuisce agli obiettivi del Green Deal europeo riducendo le emissioni di CO2 attraverso l'efficienza energetica. Tuttavia i diisocianati sono agenti chimici pericolosi che possono causare asma pr</w:t>
      </w:r>
      <w:r w:rsidRPr="001F2E97">
        <w:t>ofessionale e malattie cutanee professionali, ossia reazioni allergiche che possono verificarsi a causa dell'esposizione a tali sostanze. Secondo le stime, circa 4,2 milioni di lavoratori sono esposti ai diisocianati, il che li rende una delle cause più co</w:t>
      </w:r>
      <w:r w:rsidRPr="001F2E97">
        <w:t>muni di asma professionale, e più di 2,4 milioni di aziende nell'UE sono coinvolte.</w:t>
      </w:r>
    </w:p>
    <w:p w:rsidR="00CC3AEF" w:rsidRPr="001F2E97" w:rsidRDefault="00CC3AEF" w:rsidP="00CC3AEF"/>
    <w:p w:rsidR="00CC3AEF" w:rsidRPr="001F2E97" w:rsidRDefault="00400F6B" w:rsidP="00CC3AEF">
      <w:pPr>
        <w:rPr>
          <w:b/>
        </w:rPr>
      </w:pPr>
      <w:r w:rsidRPr="001F2E97">
        <w:rPr>
          <w:b/>
        </w:rPr>
        <w:t>Consenso tripartito sui valori limite</w:t>
      </w:r>
    </w:p>
    <w:p w:rsidR="00CC3AEF" w:rsidRPr="001F2E97" w:rsidRDefault="00400F6B" w:rsidP="00CC3AEF">
      <w:r w:rsidRPr="001F2E97">
        <w:t>I valori limite (limite di esposizione professionale/limite di esposizione a breve termine) per i diisocianati, che sono ora proposti</w:t>
      </w:r>
      <w:r w:rsidRPr="001F2E97">
        <w:t xml:space="preserve"> per la prima volta a livello dell'UE, sono sostenuti dal comitato consultivo per la sicurezza e la salute sul luogo di lavoro (CCSS), che è composto dai governi nazionali e dalle organizzazioni dei lavoratori e dei datori di lavoro. La presente relazione </w:t>
      </w:r>
      <w:r w:rsidRPr="001F2E97">
        <w:t>propone pertanto di adottare tali valori limite senza alcuna modifica, con la volontà di sostenere e promuovere le soluzioni concordate tra le parti sociali, di concerto con le amministrazioni nazionali.</w:t>
      </w:r>
    </w:p>
    <w:p w:rsidR="00CC3AEF" w:rsidRPr="001F2E97" w:rsidRDefault="00CC3AEF" w:rsidP="00CC3AEF"/>
    <w:p w:rsidR="00CC3AEF" w:rsidRPr="001F2E97" w:rsidRDefault="00400F6B" w:rsidP="00CC3AEF">
      <w:pPr>
        <w:rPr>
          <w:b/>
        </w:rPr>
      </w:pPr>
      <w:r w:rsidRPr="001F2E97">
        <w:rPr>
          <w:b/>
        </w:rPr>
        <w:t>Piombo</w:t>
      </w:r>
    </w:p>
    <w:p w:rsidR="00CC3AEF" w:rsidRPr="001F2E97" w:rsidRDefault="00400F6B" w:rsidP="00CC3AEF">
      <w:r w:rsidRPr="001F2E97">
        <w:t xml:space="preserve">Il piombo ha attualmente una grande varietà </w:t>
      </w:r>
      <w:r w:rsidRPr="001F2E97">
        <w:t xml:space="preserve">di applicazioni industriali. Il piombo è una sostanza tossica per la riproduzione, che si accumula nel corpo in seguito all'esposizione e </w:t>
      </w:r>
      <w:r w:rsidRPr="001F2E97">
        <w:lastRenderedPageBreak/>
        <w:t>può influire negativamente sulla funzione sessuale e sulla fertilità sia degli uomini che delle donne, nonché sullo sv</w:t>
      </w:r>
      <w:r w:rsidRPr="001F2E97">
        <w:t>iluppo del feto o della progenie (tossicità per lo sviluppo). L'esposizione al piombo può provocare una riduzione della fertilità, aborti spontanei o gravi difetti alla nascita, nonché altri effetti nocivi quali neurotossicità, nefrotossicità, effetti card</w:t>
      </w:r>
      <w:r w:rsidRPr="001F2E97">
        <w:t>iovascolari ed ematologici. Il piombo è responsabile di circa la metà di tutte le esposizioni professionali a sostanze tossiche per la riproduzione e dei casi associati di malattie riproduttive. Si stima che attualmente siano esposti al piombo tra i 50 000</w:t>
      </w:r>
      <w:r w:rsidRPr="001F2E97">
        <w:t xml:space="preserve"> e i 150 000 lavoratori nell'UE. L'attuale limite di esposizione professionale obbligatorio dell'UE e il valore limite biologico non sono stati aggiornati da oltre 40 anni. </w:t>
      </w:r>
    </w:p>
    <w:p w:rsidR="00CC3AEF" w:rsidRPr="001F2E97" w:rsidRDefault="00400F6B" w:rsidP="00CC3AEF">
      <w:r w:rsidRPr="001F2E97">
        <w:t>In assenza di un consenso nel CCSS sui valori limite per il piombo, la presente re</w:t>
      </w:r>
      <w:r w:rsidRPr="001F2E97">
        <w:t xml:space="preserve">lazione ritiene necessario modificare la proposta della Commissione su una serie di punti, in particolare il valore limite biologico per quanto riguarda le donne in età fertile. </w:t>
      </w:r>
    </w:p>
    <w:p w:rsidR="00CC3AEF" w:rsidRPr="001F2E97" w:rsidRDefault="00CC3AEF" w:rsidP="00CC3AEF"/>
    <w:p w:rsidR="00CC3AEF" w:rsidRPr="001F2E97" w:rsidRDefault="00400F6B" w:rsidP="00CC3AEF">
      <w:pPr>
        <w:rPr>
          <w:b/>
        </w:rPr>
      </w:pPr>
      <w:r w:rsidRPr="001F2E97">
        <w:rPr>
          <w:b/>
        </w:rPr>
        <w:t>Donne in età fertile e non discriminazione</w:t>
      </w:r>
    </w:p>
    <w:p w:rsidR="00CC3AEF" w:rsidRPr="001F2E97" w:rsidRDefault="00400F6B" w:rsidP="00CC3AEF">
      <w:r w:rsidRPr="001F2E97">
        <w:t>A seguito di un parere del comita</w:t>
      </w:r>
      <w:r w:rsidRPr="001F2E97">
        <w:t>to per la valutazione dei rischi dell'Agenzia europea per le sostanze chimiche (ECHA), la Commissione ha proposto di ridurre il valore limite biologico a 15µg Pb/100ml. Tuttavia il comitato ha altresì concluso che "il valore limite biologico non rappresent</w:t>
      </w:r>
      <w:r w:rsidRPr="001F2E97">
        <w:t>a una protezione per la progenie delle lavoratrici in età fertile esposte al piombo". Il comitato ha raccomandato che il livello di piombo nel sangue delle donne in età fertile non superi i valori di riferimento della popolazione generale non soggetta a es</w:t>
      </w:r>
      <w:r w:rsidRPr="001F2E97">
        <w:t xml:space="preserve">posizione professionale al piombo nel rispettivo Stato membro dell'UE e, qualora non siano disponibili livelli di riferimento nazionali, i livelli di piombo nel sangue delle donne in età fertile non dovrebbero superare i 4,5μg Pb/100ml, che rappresenta il </w:t>
      </w:r>
      <w:r w:rsidRPr="001F2E97">
        <w:t xml:space="preserve">valore di riferimento massimo europeo. </w:t>
      </w:r>
    </w:p>
    <w:p w:rsidR="00CC3AEF" w:rsidRPr="001F2E97" w:rsidRDefault="00CC3AEF" w:rsidP="00CC3AEF"/>
    <w:p w:rsidR="00CC3AEF" w:rsidRPr="001F2E97" w:rsidRDefault="00400F6B" w:rsidP="00CC3AEF">
      <w:r w:rsidRPr="001F2E97">
        <w:t>In tale contesto la Commissione ha proposto di accompagnare il valore limite biologico obbligatorio con un valore guida biologico non obbligatorio di 4,5μg Pb/100ml per le donne in età fertile. Mentre la direttiva 9</w:t>
      </w:r>
      <w:r w:rsidRPr="001F2E97">
        <w:t>2/85/CEE prevede la tutela della salute e della sicurezza delle lavoratrici gestanti sul luogo di lavoro, le misure di protezione di cui a tale direttiva non si applicano fino a quando le lavoratrici non informano il datore di lavoro della loro condizione.</w:t>
      </w:r>
      <w:r w:rsidRPr="001F2E97">
        <w:t xml:space="preserve"> </w:t>
      </w:r>
    </w:p>
    <w:p w:rsidR="00CC3AEF" w:rsidRPr="001F2E97" w:rsidRDefault="00CC3AEF" w:rsidP="00CC3AEF"/>
    <w:p w:rsidR="00CC3AEF" w:rsidRPr="001F2E97" w:rsidRDefault="00400F6B" w:rsidP="00CC3AEF">
      <w:r w:rsidRPr="001F2E97">
        <w:t>Nella relazione d'iniziativa su un nuovo quadro strategico dell'UE in materia di salute e sicurezza sul lavoro post-2020 (inclusa una migliore protezione dei lavoratori contro l'esposizione a sostanze nocive,</w:t>
      </w:r>
    </w:p>
    <w:p w:rsidR="00CC3AEF" w:rsidRPr="001F2E97" w:rsidRDefault="00400F6B" w:rsidP="00CC3AEF">
      <w:r w:rsidRPr="001F2E97">
        <w:t>lo stress sul luogo di lavoro e le lesioni d</w:t>
      </w:r>
      <w:r w:rsidRPr="001F2E97">
        <w:t>a movimenti ripetitivi) del 9 febbraio 2022, il Parlamento europeo ha osservato che la raccomandazione del comitato per la valutazione dei rischi relativamente a un valore limite biologico di 15 µg Pb/100ml (150 µg Pb/L) non tutela adeguatamente le donne e</w:t>
      </w:r>
      <w:r w:rsidRPr="001F2E97">
        <w:t xml:space="preserve"> soprattutto quelle in gravidanza. Ha invitato la Commissione a garantire che qualsiasi proposta di revisione dei valori limite di esposizione per il piombo e i suoi composti garantisca parità in termini di protezione per tutti i lavoratori sul luogo di la</w:t>
      </w:r>
      <w:r w:rsidRPr="001F2E97">
        <w:t>voro, indipendentemente dal genere.</w:t>
      </w:r>
    </w:p>
    <w:p w:rsidR="00CC3AEF" w:rsidRPr="001F2E97" w:rsidRDefault="00CC3AEF" w:rsidP="00CC3AEF"/>
    <w:p w:rsidR="00CC3AEF" w:rsidRPr="001F2E97" w:rsidRDefault="00400F6B" w:rsidP="00CC3AEF">
      <w:r w:rsidRPr="001F2E97">
        <w:t>La presente relazione è del parere che un valore guida non obbligatorio non sia idoneo a garantire la protezione della salute e della sicurezza dei lavoratori in condizioni di parità e di non discriminazione, in partico</w:t>
      </w:r>
      <w:r w:rsidRPr="001F2E97">
        <w:t>lare per quanto riguarda le lavoratrici esposte al piombo. Per conseguire l'obiettivo dichiarato dalla direttiva di un elevato livello di protezione della salute e della sicurezza dei lavoratori, è necessario introdurre un valore limite biologico obbligato</w:t>
      </w:r>
      <w:r w:rsidRPr="001F2E97">
        <w:t xml:space="preserve">rio, che offra una protezione sufficiente sia per le lavoratrici che per i lavoratori. </w:t>
      </w:r>
    </w:p>
    <w:p w:rsidR="00CC3AEF" w:rsidRPr="001F2E97" w:rsidRDefault="00CC3AEF" w:rsidP="00CC3AEF"/>
    <w:p w:rsidR="00CC3AEF" w:rsidRPr="001F2E97" w:rsidRDefault="00400F6B" w:rsidP="00CC3AEF">
      <w:pPr>
        <w:rPr>
          <w:b/>
        </w:rPr>
      </w:pPr>
      <w:r w:rsidRPr="001F2E97">
        <w:rPr>
          <w:b/>
        </w:rPr>
        <w:lastRenderedPageBreak/>
        <w:t>Esposizione antecedente</w:t>
      </w:r>
    </w:p>
    <w:p w:rsidR="00CC3AEF" w:rsidRPr="001F2E97" w:rsidRDefault="00400F6B" w:rsidP="00CC3AEF">
      <w:r w:rsidRPr="001F2E97">
        <w:t>I lavoratori che sono stati professionalmente esposti al piombo per diversi anni possono aver accumulato livelli di piombo nel sangue ben al di sopra di qualunque nuovo valore limite biologico. In tali situazioni non è accettabile che i lavoratori continui</w:t>
      </w:r>
      <w:r w:rsidRPr="001F2E97">
        <w:t>no a essere esposti e devono essere adottate tutte le misure necessarie per garantire che i livelli di piombo nel sangue di tali lavoratori diminuiscano il più rapidamente possibile.</w:t>
      </w:r>
    </w:p>
    <w:p w:rsidR="00CC3AEF" w:rsidRPr="001F2E97" w:rsidRDefault="00400F6B" w:rsidP="00CC3AEF">
      <w:pPr>
        <w:widowControl/>
      </w:pPr>
      <w:r w:rsidRPr="001F2E97">
        <w:br w:type="page"/>
      </w:r>
    </w:p>
    <w:p w:rsidR="00C31798" w:rsidRPr="001F2E97" w:rsidRDefault="00400F6B" w:rsidP="00D17DA8">
      <w:pPr>
        <w:pStyle w:val="PageHeading"/>
        <w:spacing w:after="0"/>
      </w:pPr>
      <w:bookmarkStart w:id="4" w:name="_Toc124932583"/>
      <w:bookmarkStart w:id="5" w:name="_Toc135745285"/>
      <w:r w:rsidRPr="001F2E97">
        <w:lastRenderedPageBreak/>
        <w:t xml:space="preserve">ANNEX: </w:t>
      </w:r>
      <w:r w:rsidRPr="001F2E97">
        <w:t>LIST OF ENTITIES OR PERSONS FROM WHOM THE RAPPORTEUR HAS RECEIVED INPUT</w:t>
      </w:r>
      <w:bookmarkEnd w:id="4"/>
      <w:bookmarkEnd w:id="5"/>
    </w:p>
    <w:p w:rsidR="00D17DA8" w:rsidRPr="001F2E97" w:rsidRDefault="00D17DA8" w:rsidP="00D17DA8">
      <w:pPr>
        <w:spacing w:before="9" w:line="500" w:lineRule="atLeast"/>
        <w:ind w:left="80" w:right="159" w:hanging="97"/>
        <w:jc w:val="center"/>
        <w:rPr>
          <w:rFonts w:eastAsia="Calibri"/>
          <w:sz w:val="22"/>
          <w:szCs w:val="22"/>
        </w:rPr>
      </w:pPr>
    </w:p>
    <w:p w:rsidR="00D17DA8" w:rsidRPr="001F2E97" w:rsidRDefault="00400F6B" w:rsidP="00D17DA8">
      <w:pPr>
        <w:spacing w:before="9" w:line="360" w:lineRule="auto"/>
        <w:ind w:right="159"/>
        <w:rPr>
          <w:rFonts w:eastAsia="Calibri"/>
          <w:sz w:val="22"/>
          <w:szCs w:val="22"/>
        </w:rPr>
      </w:pPr>
      <w:r w:rsidRPr="001F2E97">
        <w:rPr>
          <w:sz w:val="22"/>
        </w:rPr>
        <w:t>The following list is drawn up on a purely voluntary basis under the exclusive responsibility of the rapporteur. The rapporteur has received input from the following entities or perso</w:t>
      </w:r>
      <w:r w:rsidRPr="001F2E97">
        <w:rPr>
          <w:sz w:val="22"/>
        </w:rPr>
        <w:t>ns in the preparation of the [draft report / report, until the adoption thereof in committee]:</w:t>
      </w:r>
    </w:p>
    <w:p w:rsidR="00D17DA8" w:rsidRPr="001F2E97" w:rsidRDefault="00D17DA8" w:rsidP="00D17DA8">
      <w:pPr>
        <w:spacing w:line="200" w:lineRule="exact"/>
      </w:pPr>
    </w:p>
    <w:p w:rsidR="00D17DA8" w:rsidRPr="001F2E97" w:rsidRDefault="00D17DA8" w:rsidP="00D17DA8">
      <w:pPr>
        <w:spacing w:line="200" w:lineRule="exact"/>
      </w:pPr>
    </w:p>
    <w:tbl>
      <w:tblPr>
        <w:tblW w:w="9067" w:type="dxa"/>
        <w:tblInd w:w="98" w:type="dxa"/>
        <w:tblLayout w:type="fixed"/>
        <w:tblCellMar>
          <w:left w:w="0" w:type="dxa"/>
          <w:right w:w="0" w:type="dxa"/>
        </w:tblCellMar>
        <w:tblLook w:val="01E0" w:firstRow="1" w:lastRow="1" w:firstColumn="1" w:lastColumn="1" w:noHBand="0" w:noVBand="0"/>
      </w:tblPr>
      <w:tblGrid>
        <w:gridCol w:w="9067"/>
      </w:tblGrid>
      <w:tr w:rsidR="001F2E97" w:rsidRPr="001F2E97"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1F2E97" w:rsidRDefault="00400F6B">
            <w:pPr>
              <w:spacing w:line="260" w:lineRule="exact"/>
              <w:ind w:left="3567" w:right="3563"/>
              <w:jc w:val="both"/>
              <w:rPr>
                <w:rFonts w:eastAsia="Calibri"/>
                <w:b/>
                <w:sz w:val="22"/>
                <w:szCs w:val="22"/>
              </w:rPr>
            </w:pPr>
            <w:r w:rsidRPr="001F2E97">
              <w:rPr>
                <w:b/>
                <w:sz w:val="22"/>
              </w:rPr>
              <w:t>Entity and/or person</w:t>
            </w:r>
          </w:p>
        </w:tc>
      </w:tr>
      <w:tr w:rsidR="001F2E97" w:rsidRPr="001F2E97"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1F2E97" w:rsidRDefault="00400F6B">
            <w:pPr>
              <w:jc w:val="center"/>
            </w:pPr>
            <w:r w:rsidRPr="001F2E97">
              <w:t>BusinessEurope</w:t>
            </w:r>
          </w:p>
        </w:tc>
      </w:tr>
      <w:tr w:rsidR="001F2E97" w:rsidRPr="001F2E97"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1F2E97" w:rsidRDefault="00400F6B">
            <w:pPr>
              <w:jc w:val="center"/>
            </w:pPr>
            <w:r w:rsidRPr="001F2E97">
              <w:t>European Trade Union Confederation - ETUC</w:t>
            </w:r>
          </w:p>
        </w:tc>
      </w:tr>
      <w:tr w:rsidR="001F2E97" w:rsidRPr="001F2E97" w:rsidTr="00E80FD8">
        <w:trPr>
          <w:trHeight w:val="278"/>
        </w:trPr>
        <w:tc>
          <w:tcPr>
            <w:tcW w:w="9067" w:type="dxa"/>
            <w:tcBorders>
              <w:top w:val="single" w:sz="4" w:space="0" w:color="000000"/>
              <w:left w:val="single" w:sz="4" w:space="0" w:color="000000"/>
              <w:bottom w:val="single" w:sz="4" w:space="0" w:color="000000"/>
              <w:right w:val="single" w:sz="4" w:space="0" w:color="000000"/>
            </w:tcBorders>
          </w:tcPr>
          <w:p w:rsidR="00D17DA8" w:rsidRPr="001F2E97" w:rsidRDefault="00400F6B" w:rsidP="00D17DA8">
            <w:pPr>
              <w:jc w:val="center"/>
            </w:pPr>
            <w:r w:rsidRPr="001F2E97">
              <w:t>SMEUnited - European Association of Craft, Small and Medium Sized Enterprises</w:t>
            </w:r>
          </w:p>
        </w:tc>
      </w:tr>
      <w:tr w:rsidR="001F2E97" w:rsidRPr="001F2E97"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1F2E97" w:rsidRDefault="00400F6B">
            <w:pPr>
              <w:jc w:val="center"/>
            </w:pPr>
            <w:r w:rsidRPr="001F2E97">
              <w:t xml:space="preserve">European Federation of Public Service Unions - EPSU </w:t>
            </w:r>
          </w:p>
        </w:tc>
      </w:tr>
      <w:tr w:rsidR="001F2E97" w:rsidRPr="001F2E97"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1F2E97" w:rsidRDefault="00400F6B">
            <w:pPr>
              <w:jc w:val="center"/>
            </w:pPr>
            <w:r w:rsidRPr="001F2E97">
              <w:t>SGI Europe - European Centre of Employers and Enterprises providing Public Services</w:t>
            </w:r>
          </w:p>
        </w:tc>
      </w:tr>
      <w:tr w:rsidR="001F2E97" w:rsidRPr="001F2E97"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1F2E97" w:rsidRDefault="00400F6B">
            <w:pPr>
              <w:jc w:val="center"/>
            </w:pPr>
            <w:r w:rsidRPr="001F2E97">
              <w:t>European Trade Union Institute - ETUI</w:t>
            </w:r>
          </w:p>
        </w:tc>
      </w:tr>
      <w:tr w:rsidR="001F2E97" w:rsidRPr="001F2E97"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1F2E97" w:rsidRDefault="00400F6B">
            <w:pPr>
              <w:jc w:val="center"/>
            </w:pPr>
            <w:r w:rsidRPr="001F2E97">
              <w:t xml:space="preserve">ISOPA </w:t>
            </w:r>
          </w:p>
        </w:tc>
      </w:tr>
      <w:tr w:rsidR="001F2E97" w:rsidRPr="001F2E97"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1F2E97" w:rsidRDefault="00400F6B">
            <w:pPr>
              <w:jc w:val="center"/>
            </w:pPr>
            <w:r w:rsidRPr="001F2E97">
              <w:t>ALIPA</w:t>
            </w:r>
          </w:p>
        </w:tc>
      </w:tr>
      <w:tr w:rsidR="001F2E97" w:rsidRPr="001F2E97"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1F2E97" w:rsidRDefault="00400F6B">
            <w:pPr>
              <w:jc w:val="center"/>
            </w:pPr>
            <w:r w:rsidRPr="001F2E97">
              <w:t>Danish Trade Union Confederation - FH</w:t>
            </w:r>
          </w:p>
        </w:tc>
      </w:tr>
      <w:tr w:rsidR="00C076FF" w:rsidRPr="001F2E97" w:rsidTr="00E80FD8">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D17DA8" w:rsidRPr="001F2E97" w:rsidRDefault="00400F6B">
            <w:pPr>
              <w:jc w:val="center"/>
            </w:pPr>
            <w:r w:rsidRPr="001F2E97">
              <w:t>European Commission</w:t>
            </w:r>
          </w:p>
        </w:tc>
      </w:tr>
    </w:tbl>
    <w:p w:rsidR="002669B6" w:rsidRPr="001F2E97" w:rsidRDefault="002669B6" w:rsidP="00E80FD8"/>
    <w:sectPr w:rsidR="002669B6" w:rsidRPr="001F2E97" w:rsidSect="00600EC8">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00EC8" w:rsidRDefault="00400F6B">
      <w:r w:rsidRPr="00600EC8">
        <w:separator/>
      </w:r>
    </w:p>
  </w:endnote>
  <w:endnote w:type="continuationSeparator" w:id="0">
    <w:p w:rsidR="00000000" w:rsidRPr="00600EC8" w:rsidRDefault="00400F6B">
      <w:r w:rsidRPr="00600E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EC8" w:rsidRPr="00600EC8" w:rsidRDefault="00600EC8" w:rsidP="00600EC8">
    <w:pPr>
      <w:pStyle w:val="EPFooter"/>
    </w:pPr>
    <w:r w:rsidRPr="00600EC8">
      <w:t>PE</w:t>
    </w:r>
    <w:r w:rsidRPr="00600EC8">
      <w:rPr>
        <w:rStyle w:val="HideTWBExt"/>
      </w:rPr>
      <w:t>&lt;NoPE&gt;</w:t>
    </w:r>
    <w:r w:rsidRPr="00600EC8">
      <w:t>746.964</w:t>
    </w:r>
    <w:r w:rsidRPr="00600EC8">
      <w:rPr>
        <w:rStyle w:val="HideTWBExt"/>
      </w:rPr>
      <w:t>&lt;/NoPE&gt;&lt;Version&gt;</w:t>
    </w:r>
    <w:r w:rsidRPr="00600EC8">
      <w:t>v01-00</w:t>
    </w:r>
    <w:r w:rsidRPr="00600EC8">
      <w:rPr>
        <w:rStyle w:val="HideTWBExt"/>
      </w:rPr>
      <w:t>&lt;/Version&gt;</w:t>
    </w:r>
    <w:r w:rsidRPr="00600EC8">
      <w:tab/>
    </w:r>
    <w:r w:rsidRPr="00600EC8">
      <w:fldChar w:fldCharType="begin"/>
    </w:r>
    <w:r w:rsidRPr="00600EC8">
      <w:instrText xml:space="preserve"> PAGE  \* MERGEFORMAT </w:instrText>
    </w:r>
    <w:r w:rsidRPr="00600EC8">
      <w:fldChar w:fldCharType="separate"/>
    </w:r>
    <w:r w:rsidR="00400F6B">
      <w:rPr>
        <w:noProof/>
      </w:rPr>
      <w:t>32</w:t>
    </w:r>
    <w:r w:rsidRPr="00600EC8">
      <w:fldChar w:fldCharType="end"/>
    </w:r>
    <w:r w:rsidRPr="00600EC8">
      <w:t>/</w:t>
    </w:r>
    <w:fldSimple w:instr=" NUMPAGES  \* MERGEFORMAT ">
      <w:r w:rsidR="00400F6B">
        <w:rPr>
          <w:noProof/>
        </w:rPr>
        <w:t>36</w:t>
      </w:r>
    </w:fldSimple>
    <w:r w:rsidRPr="00600EC8">
      <w:tab/>
    </w:r>
    <w:r w:rsidRPr="00600EC8">
      <w:rPr>
        <w:rStyle w:val="HideTWBExt"/>
      </w:rPr>
      <w:t>&lt;PathFdR&gt;</w:t>
    </w:r>
    <w:r w:rsidRPr="00600EC8">
      <w:t>PR\1278028IT.docx</w:t>
    </w:r>
    <w:r w:rsidRPr="00600EC8">
      <w:rPr>
        <w:rStyle w:val="HideTWBExt"/>
      </w:rPr>
      <w:t>&lt;/PathFdR&gt;</w:t>
    </w:r>
  </w:p>
  <w:p w:rsidR="00792141" w:rsidRPr="00600EC8" w:rsidRDefault="00600EC8" w:rsidP="00600EC8">
    <w:pPr>
      <w:pStyle w:val="EPFooter2"/>
    </w:pPr>
    <w:r w:rsidRPr="00600EC8">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EC8" w:rsidRPr="00600EC8" w:rsidRDefault="00600EC8" w:rsidP="00600EC8">
    <w:pPr>
      <w:pStyle w:val="EPFooter"/>
    </w:pPr>
    <w:r w:rsidRPr="00600EC8">
      <w:rPr>
        <w:rStyle w:val="HideTWBExt"/>
      </w:rPr>
      <w:t>&lt;PathFdR&gt;</w:t>
    </w:r>
    <w:r w:rsidRPr="00600EC8">
      <w:t>PR\1278028IT.docx</w:t>
    </w:r>
    <w:r w:rsidRPr="00600EC8">
      <w:rPr>
        <w:rStyle w:val="HideTWBExt"/>
      </w:rPr>
      <w:t>&lt;/PathFdR&gt;</w:t>
    </w:r>
    <w:r w:rsidRPr="00600EC8">
      <w:tab/>
    </w:r>
    <w:r w:rsidRPr="00600EC8">
      <w:fldChar w:fldCharType="begin"/>
    </w:r>
    <w:r w:rsidRPr="00600EC8">
      <w:instrText xml:space="preserve"> PAGE  \* MERGEFORMAT </w:instrText>
    </w:r>
    <w:r w:rsidRPr="00600EC8">
      <w:fldChar w:fldCharType="separate"/>
    </w:r>
    <w:r w:rsidR="00400F6B">
      <w:rPr>
        <w:noProof/>
      </w:rPr>
      <w:t>31</w:t>
    </w:r>
    <w:r w:rsidRPr="00600EC8">
      <w:fldChar w:fldCharType="end"/>
    </w:r>
    <w:r w:rsidRPr="00600EC8">
      <w:t>/</w:t>
    </w:r>
    <w:fldSimple w:instr=" NUMPAGES  \* MERGEFORMAT ">
      <w:r w:rsidR="00400F6B">
        <w:rPr>
          <w:noProof/>
        </w:rPr>
        <w:t>36</w:t>
      </w:r>
    </w:fldSimple>
    <w:r w:rsidRPr="00600EC8">
      <w:tab/>
      <w:t>PE</w:t>
    </w:r>
    <w:r w:rsidRPr="00600EC8">
      <w:rPr>
        <w:rStyle w:val="HideTWBExt"/>
      </w:rPr>
      <w:t>&lt;NoPE&gt;</w:t>
    </w:r>
    <w:r w:rsidRPr="00600EC8">
      <w:t>746.964</w:t>
    </w:r>
    <w:r w:rsidRPr="00600EC8">
      <w:rPr>
        <w:rStyle w:val="HideTWBExt"/>
      </w:rPr>
      <w:t>&lt;/NoPE&gt;&lt;Version&gt;</w:t>
    </w:r>
    <w:r w:rsidRPr="00600EC8">
      <w:t>v01-00</w:t>
    </w:r>
    <w:r w:rsidRPr="00600EC8">
      <w:rPr>
        <w:rStyle w:val="HideTWBExt"/>
      </w:rPr>
      <w:t>&lt;/Version&gt;</w:t>
    </w:r>
  </w:p>
  <w:p w:rsidR="00792141" w:rsidRPr="00600EC8" w:rsidRDefault="00600EC8" w:rsidP="00600EC8">
    <w:pPr>
      <w:pStyle w:val="EPFooter2"/>
    </w:pPr>
    <w:r w:rsidRPr="00600EC8">
      <w:tab/>
    </w:r>
    <w:r w:rsidRPr="00600EC8">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EC8" w:rsidRPr="00600EC8" w:rsidRDefault="00600EC8" w:rsidP="00600EC8">
    <w:pPr>
      <w:pStyle w:val="EPFooter"/>
    </w:pPr>
    <w:r w:rsidRPr="00600EC8">
      <w:rPr>
        <w:rStyle w:val="HideTWBExt"/>
      </w:rPr>
      <w:t>&lt;PathFdR&gt;</w:t>
    </w:r>
    <w:r w:rsidRPr="00600EC8">
      <w:t>PR\1278028IT.docx</w:t>
    </w:r>
    <w:r w:rsidRPr="00600EC8">
      <w:rPr>
        <w:rStyle w:val="HideTWBExt"/>
      </w:rPr>
      <w:t>&lt;/PathFdR&gt;</w:t>
    </w:r>
    <w:r w:rsidRPr="00600EC8">
      <w:tab/>
    </w:r>
    <w:r w:rsidRPr="00600EC8">
      <w:tab/>
      <w:t>PE</w:t>
    </w:r>
    <w:r w:rsidRPr="00600EC8">
      <w:rPr>
        <w:rStyle w:val="HideTWBExt"/>
      </w:rPr>
      <w:t>&lt;NoPE&gt;</w:t>
    </w:r>
    <w:r w:rsidRPr="00600EC8">
      <w:t>746.964</w:t>
    </w:r>
    <w:r w:rsidRPr="00600EC8">
      <w:rPr>
        <w:rStyle w:val="HideTWBExt"/>
      </w:rPr>
      <w:t>&lt;/NoPE&gt;&lt;Version&gt;</w:t>
    </w:r>
    <w:r w:rsidRPr="00600EC8">
      <w:t>v01-00</w:t>
    </w:r>
    <w:r w:rsidRPr="00600EC8">
      <w:rPr>
        <w:rStyle w:val="HideTWBExt"/>
      </w:rPr>
      <w:t>&lt;/Version&gt;</w:t>
    </w:r>
  </w:p>
  <w:p w:rsidR="00792141" w:rsidRPr="00600EC8" w:rsidRDefault="00600EC8" w:rsidP="00600EC8">
    <w:pPr>
      <w:pStyle w:val="EPFooter2"/>
    </w:pPr>
    <w:r w:rsidRPr="00600EC8">
      <w:t>IT</w:t>
    </w:r>
    <w:r w:rsidRPr="00600EC8">
      <w:tab/>
    </w:r>
    <w:r w:rsidRPr="00600EC8">
      <w:rPr>
        <w:b w:val="0"/>
        <w:i/>
        <w:color w:val="C0C0C0"/>
        <w:sz w:val="22"/>
      </w:rPr>
      <w:t>Unita nella diversità</w:t>
    </w:r>
    <w:r w:rsidRPr="00600EC8">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141" w:rsidRPr="00600EC8" w:rsidRDefault="00400F6B">
      <w:r w:rsidRPr="00600EC8">
        <w:separator/>
      </w:r>
    </w:p>
  </w:footnote>
  <w:footnote w:type="continuationSeparator" w:id="0">
    <w:p w:rsidR="00792141" w:rsidRPr="00600EC8" w:rsidRDefault="00400F6B">
      <w:r w:rsidRPr="00600EC8">
        <w:continuationSeparator/>
      </w:r>
    </w:p>
  </w:footnote>
  <w:footnote w:id="1">
    <w:p w:rsidR="00792141" w:rsidRPr="00600EC8" w:rsidRDefault="00400F6B" w:rsidP="00A15B92">
      <w:pPr>
        <w:pStyle w:val="FootnoteText"/>
      </w:pPr>
      <w:r w:rsidRPr="00600EC8">
        <w:rPr>
          <w:rStyle w:val="FootnoteReference"/>
        </w:rPr>
        <w:footnoteRef/>
      </w:r>
      <w:r w:rsidRPr="00600EC8">
        <w:t xml:space="preserve"> GU C xxx del xx.xx.xxxx, pag. x.</w:t>
      </w:r>
      <w:r w:rsidRPr="00600EC8">
        <w:rPr>
          <w:sz w:val="24"/>
        </w:rPr>
        <w:t xml:space="preserve"> </w:t>
      </w:r>
      <w:r w:rsidRPr="00600EC8">
        <w:t>/ Non ancora pubblicato nella Gazzetta ufficiale.</w:t>
      </w:r>
    </w:p>
  </w:footnote>
  <w:footnote w:id="2">
    <w:p w:rsidR="00792141" w:rsidRPr="00600EC8" w:rsidRDefault="00400F6B" w:rsidP="00410920">
      <w:pPr>
        <w:pStyle w:val="FootnoteText"/>
      </w:pPr>
      <w:r w:rsidRPr="00600EC8">
        <w:rPr>
          <w:rStyle w:val="FootnoteReference"/>
        </w:rPr>
        <w:footnoteRef/>
      </w:r>
      <w:r w:rsidRPr="00600EC8">
        <w:t xml:space="preserve"> GU C xxx del xx.xx.xxxx, pag. x. / Non ancora pubblicato nella Gazzetta ufficiale.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E97" w:rsidRDefault="001F2E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E97" w:rsidRDefault="001F2E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E97" w:rsidRDefault="001F2E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0816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3332ED"/>
    <w:multiLevelType w:val="hybridMultilevel"/>
    <w:tmpl w:val="104C71B4"/>
    <w:lvl w:ilvl="0" w:tplc="28B8754C">
      <w:start w:val="1"/>
      <w:numFmt w:val="decimal"/>
      <w:lvlText w:val="(%1)"/>
      <w:lvlJc w:val="left"/>
      <w:pPr>
        <w:ind w:left="720" w:hanging="360"/>
      </w:pPr>
      <w:rPr>
        <w:rFonts w:hint="default"/>
      </w:rPr>
    </w:lvl>
    <w:lvl w:ilvl="1" w:tplc="7A1606D0" w:tentative="1">
      <w:start w:val="1"/>
      <w:numFmt w:val="lowerLetter"/>
      <w:lvlText w:val="%2."/>
      <w:lvlJc w:val="left"/>
      <w:pPr>
        <w:ind w:left="1440" w:hanging="360"/>
      </w:pPr>
    </w:lvl>
    <w:lvl w:ilvl="2" w:tplc="AE0C735C" w:tentative="1">
      <w:start w:val="1"/>
      <w:numFmt w:val="lowerRoman"/>
      <w:lvlText w:val="%3."/>
      <w:lvlJc w:val="right"/>
      <w:pPr>
        <w:ind w:left="2160" w:hanging="180"/>
      </w:pPr>
    </w:lvl>
    <w:lvl w:ilvl="3" w:tplc="EE3038F8" w:tentative="1">
      <w:start w:val="1"/>
      <w:numFmt w:val="decimal"/>
      <w:lvlText w:val="%4."/>
      <w:lvlJc w:val="left"/>
      <w:pPr>
        <w:ind w:left="2880" w:hanging="360"/>
      </w:pPr>
    </w:lvl>
    <w:lvl w:ilvl="4" w:tplc="08F6461E" w:tentative="1">
      <w:start w:val="1"/>
      <w:numFmt w:val="lowerLetter"/>
      <w:lvlText w:val="%5."/>
      <w:lvlJc w:val="left"/>
      <w:pPr>
        <w:ind w:left="3600" w:hanging="360"/>
      </w:pPr>
    </w:lvl>
    <w:lvl w:ilvl="5" w:tplc="50924042" w:tentative="1">
      <w:start w:val="1"/>
      <w:numFmt w:val="lowerRoman"/>
      <w:lvlText w:val="%6."/>
      <w:lvlJc w:val="right"/>
      <w:pPr>
        <w:ind w:left="4320" w:hanging="180"/>
      </w:pPr>
    </w:lvl>
    <w:lvl w:ilvl="6" w:tplc="ABF09E7A" w:tentative="1">
      <w:start w:val="1"/>
      <w:numFmt w:val="decimal"/>
      <w:lvlText w:val="%7."/>
      <w:lvlJc w:val="left"/>
      <w:pPr>
        <w:ind w:left="5040" w:hanging="360"/>
      </w:pPr>
    </w:lvl>
    <w:lvl w:ilvl="7" w:tplc="4700519E" w:tentative="1">
      <w:start w:val="1"/>
      <w:numFmt w:val="lowerLetter"/>
      <w:lvlText w:val="%8."/>
      <w:lvlJc w:val="left"/>
      <w:pPr>
        <w:ind w:left="5760" w:hanging="360"/>
      </w:pPr>
    </w:lvl>
    <w:lvl w:ilvl="8" w:tplc="72767E3C" w:tentative="1">
      <w:start w:val="1"/>
      <w:numFmt w:val="lowerRoman"/>
      <w:lvlText w:val="%9."/>
      <w:lvlJc w:val="right"/>
      <w:pPr>
        <w:ind w:left="6480" w:hanging="180"/>
      </w:pPr>
    </w:lvl>
  </w:abstractNum>
  <w:abstractNum w:abstractNumId="11" w15:restartNumberingAfterBreak="0">
    <w:nsid w:val="08AB3E96"/>
    <w:multiLevelType w:val="hybridMultilevel"/>
    <w:tmpl w:val="469C47B6"/>
    <w:lvl w:ilvl="0" w:tplc="B33E09D0">
      <w:start w:val="1"/>
      <w:numFmt w:val="decimal"/>
      <w:lvlText w:val="%1."/>
      <w:lvlJc w:val="left"/>
      <w:pPr>
        <w:ind w:left="720" w:hanging="360"/>
      </w:pPr>
      <w:rPr>
        <w:rFonts w:hint="default"/>
      </w:rPr>
    </w:lvl>
    <w:lvl w:ilvl="1" w:tplc="DF8CA4E6" w:tentative="1">
      <w:start w:val="1"/>
      <w:numFmt w:val="lowerLetter"/>
      <w:lvlText w:val="%2."/>
      <w:lvlJc w:val="left"/>
      <w:pPr>
        <w:ind w:left="1440" w:hanging="360"/>
      </w:pPr>
    </w:lvl>
    <w:lvl w:ilvl="2" w:tplc="A93E3F54" w:tentative="1">
      <w:start w:val="1"/>
      <w:numFmt w:val="lowerRoman"/>
      <w:lvlText w:val="%3."/>
      <w:lvlJc w:val="right"/>
      <w:pPr>
        <w:ind w:left="2160" w:hanging="180"/>
      </w:pPr>
    </w:lvl>
    <w:lvl w:ilvl="3" w:tplc="DF68316E" w:tentative="1">
      <w:start w:val="1"/>
      <w:numFmt w:val="decimal"/>
      <w:lvlText w:val="%4."/>
      <w:lvlJc w:val="left"/>
      <w:pPr>
        <w:ind w:left="2880" w:hanging="360"/>
      </w:pPr>
    </w:lvl>
    <w:lvl w:ilvl="4" w:tplc="90E88E00" w:tentative="1">
      <w:start w:val="1"/>
      <w:numFmt w:val="lowerLetter"/>
      <w:lvlText w:val="%5."/>
      <w:lvlJc w:val="left"/>
      <w:pPr>
        <w:ind w:left="3600" w:hanging="360"/>
      </w:pPr>
    </w:lvl>
    <w:lvl w:ilvl="5" w:tplc="38EADC84" w:tentative="1">
      <w:start w:val="1"/>
      <w:numFmt w:val="lowerRoman"/>
      <w:lvlText w:val="%6."/>
      <w:lvlJc w:val="right"/>
      <w:pPr>
        <w:ind w:left="4320" w:hanging="180"/>
      </w:pPr>
    </w:lvl>
    <w:lvl w:ilvl="6" w:tplc="7592E6DC" w:tentative="1">
      <w:start w:val="1"/>
      <w:numFmt w:val="decimal"/>
      <w:lvlText w:val="%7."/>
      <w:lvlJc w:val="left"/>
      <w:pPr>
        <w:ind w:left="5040" w:hanging="360"/>
      </w:pPr>
    </w:lvl>
    <w:lvl w:ilvl="7" w:tplc="0A1E686E" w:tentative="1">
      <w:start w:val="1"/>
      <w:numFmt w:val="lowerLetter"/>
      <w:lvlText w:val="%8."/>
      <w:lvlJc w:val="left"/>
      <w:pPr>
        <w:ind w:left="5760" w:hanging="360"/>
      </w:pPr>
    </w:lvl>
    <w:lvl w:ilvl="8" w:tplc="DD909436" w:tentative="1">
      <w:start w:val="1"/>
      <w:numFmt w:val="lowerRoman"/>
      <w:lvlText w:val="%9."/>
      <w:lvlJc w:val="right"/>
      <w:pPr>
        <w:ind w:left="6480" w:hanging="180"/>
      </w:pPr>
    </w:lvl>
  </w:abstractNum>
  <w:abstractNum w:abstractNumId="12" w15:restartNumberingAfterBreak="0">
    <w:nsid w:val="39D7239F"/>
    <w:multiLevelType w:val="hybridMultilevel"/>
    <w:tmpl w:val="BD120572"/>
    <w:lvl w:ilvl="0" w:tplc="7F3459B4">
      <w:start w:val="1"/>
      <w:numFmt w:val="decimal"/>
      <w:lvlText w:val="%1."/>
      <w:lvlJc w:val="left"/>
      <w:pPr>
        <w:ind w:left="720" w:hanging="360"/>
      </w:pPr>
      <w:rPr>
        <w:rFonts w:hint="default"/>
        <w:color w:val="333333"/>
        <w:sz w:val="27"/>
      </w:rPr>
    </w:lvl>
    <w:lvl w:ilvl="1" w:tplc="E5D6FBA6" w:tentative="1">
      <w:start w:val="1"/>
      <w:numFmt w:val="lowerLetter"/>
      <w:lvlText w:val="%2."/>
      <w:lvlJc w:val="left"/>
      <w:pPr>
        <w:ind w:left="1440" w:hanging="360"/>
      </w:pPr>
    </w:lvl>
    <w:lvl w:ilvl="2" w:tplc="D6AC1AEA" w:tentative="1">
      <w:start w:val="1"/>
      <w:numFmt w:val="lowerRoman"/>
      <w:lvlText w:val="%3."/>
      <w:lvlJc w:val="right"/>
      <w:pPr>
        <w:ind w:left="2160" w:hanging="180"/>
      </w:pPr>
    </w:lvl>
    <w:lvl w:ilvl="3" w:tplc="08D659D6" w:tentative="1">
      <w:start w:val="1"/>
      <w:numFmt w:val="decimal"/>
      <w:lvlText w:val="%4."/>
      <w:lvlJc w:val="left"/>
      <w:pPr>
        <w:ind w:left="2880" w:hanging="360"/>
      </w:pPr>
    </w:lvl>
    <w:lvl w:ilvl="4" w:tplc="CDA02900" w:tentative="1">
      <w:start w:val="1"/>
      <w:numFmt w:val="lowerLetter"/>
      <w:lvlText w:val="%5."/>
      <w:lvlJc w:val="left"/>
      <w:pPr>
        <w:ind w:left="3600" w:hanging="360"/>
      </w:pPr>
    </w:lvl>
    <w:lvl w:ilvl="5" w:tplc="714E4B4A" w:tentative="1">
      <w:start w:val="1"/>
      <w:numFmt w:val="lowerRoman"/>
      <w:lvlText w:val="%6."/>
      <w:lvlJc w:val="right"/>
      <w:pPr>
        <w:ind w:left="4320" w:hanging="180"/>
      </w:pPr>
    </w:lvl>
    <w:lvl w:ilvl="6" w:tplc="EC32E3CE" w:tentative="1">
      <w:start w:val="1"/>
      <w:numFmt w:val="decimal"/>
      <w:lvlText w:val="%7."/>
      <w:lvlJc w:val="left"/>
      <w:pPr>
        <w:ind w:left="5040" w:hanging="360"/>
      </w:pPr>
    </w:lvl>
    <w:lvl w:ilvl="7" w:tplc="F5E85086" w:tentative="1">
      <w:start w:val="1"/>
      <w:numFmt w:val="lowerLetter"/>
      <w:lvlText w:val="%8."/>
      <w:lvlJc w:val="left"/>
      <w:pPr>
        <w:ind w:left="5760" w:hanging="360"/>
      </w:pPr>
    </w:lvl>
    <w:lvl w:ilvl="8" w:tplc="97F2BBD4"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2"/>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COMKEY" w:val="EMPL"/>
    <w:docVar w:name="CopyToNetwork" w:val="-1"/>
    <w:docVar w:name="CVar" w:val="2"/>
    <w:docVar w:name="DOCMNU" w:val=" 2"/>
    <w:docVar w:name="iNoAmend" w:val="2"/>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99275 HideTWBExt;}{\*\cs18 \additive \v\f1\fs20\cf15 _x000d__x000a_\spriority0 \styrsid5599275 HideTWBInt;}{\s19\ql \li0\ri0\sa120\nowidctlpar\wrapdefault\aspalpha\aspnum\faauto\adjustright\rin0\lin0\itap0 \rtlch\fcs1 \af0\afs20\alang1025 \ltrch\fcs0 \fs24\lang2057\langfe2057\cgrid\langnp2057\langfenp2057 _x000d__x000a_\sbasedon0 \snext19 \spriority0 \styrsid5599275 Normal6a;}{\s20\ql \li0\ri0\nowidctlpar\wrapdefault\aspalpha\aspnum\faauto\adjustright\rin0\lin0\itap0 \rtlch\fcs1 \af0\afs20\alang1025 \ltrch\fcs0 \b\fs24\lang2057\langfe2057\cgrid\langnp2057\langfenp2057 _x000d__x000a_\sbasedon0 \snext20 \spriority0 \styrsid5599275 NormalBold;}{\s21\ql \li0\ri0\sa240\nowidctlpar\wrapdefault\aspalpha\aspnum\faauto\adjustright\rin0\lin0\itap0 \rtlch\fcs1 \af0\afs20\alang1025 \ltrch\fcs0 _x000d__x000a_\i\fs24\lang2057\langfe2057\cgrid\langnp2057\langfenp2057 \sbasedon0 \snext21 \spriority0 \styrsid5599275 AmJustText;}{\s22\qc \li0\ri0\sb240\sa240\nowidctlpar\wrapdefault\aspalpha\aspnum\faauto\adjustright\rin0\lin0\itap0 \rtlch\fcs1 _x000d__x000a_\af0\afs20\alang1025 \ltrch\fcs0 \i\fs24\lang2057\langfe2057\cgrid\langnp2057\langfenp2057 \sbasedon0 \snext22 \spriority0 \styrsid5599275 AmCrossRef;}{_x000d__x000a_\s23\qc \li0\ri0\sb240\sa240\keepn\nowidctlpar\wrapdefault\aspalpha\aspnum\faauto\adjustright\rin0\lin0\itap0 \rtlch\fcs1 \af0\afs20\alang1025 \ltrch\fcs0 \i\fs24\lang2057\langfe2057\cgrid\langnp2057\langfenp2057 _x000d__x000a_\sbasedon0 \snext21 \spriority0 \styrsid5599275 AmJustTitle;}{\s24\qr \li0\ri0\sb240\sa240\nowidctlpar\wrapdefault\aspalpha\aspnum\faauto\adjustright\rin0\lin0\itap0 \rtlch\fcs1 \af0\afs20\alang1025 \ltrch\fcs0 _x000d__x000a_\fs24\lang2057\langfe2057\cgrid\langnp2057\langfenp2057 \sbasedon0 \snext24 \spriority0 \styrsid5599275 AmOrLang;}{\s25\qc \li0\ri0\sa240\nowidctlpar\wrapdefault\aspalpha\aspnum\faauto\adjustright\rin0\lin0\itap0 \rtlch\fcs1 \af0\afs20\alang1025 _x000d__x000a_\ltrch\fcs0 \i\fs24\lang2057\langfe2057\cgrid\langnp2057\langfenp2057 \sbasedon0 \snext25 \spriority0 \styrsid55992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99275 AmNumberTabs;}{\s27\ql \li0\ri0\sb240\nowidctlpar\wrapdefault\aspalpha\aspnum\faauto\adjustright\rin0\lin0\itap0 \rtlch\fcs1 _x000d__x000a_\af0\afs20\alang1025 \ltrch\fcs0 \b\fs24\lang2057\langfe2057\cgrid\langnp2057\langfenp2057 \sbasedon0 \snext27 \spriority0 \styrsid5599275 NormalBold12b;}}{\*\rsidtbl \rsid24658\rsid223860\rsid735077\rsid1718133\rsid2892074\rsid3565327\rsid4666813_x000d__x000a_\rsid5599275\rsid6641733\rsid7823322\rsid9636012\rsid9984721\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3\mo5\dy2\hr15\min38}{\revtim\yr2023\mo5\dy2\hr15\min38}{\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99275\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9984721 \chftnsep _x000d__x000a_\par }}{\*\ftnsepc \ltrpar \pard\plain \ltrpar\ql \li0\ri0\widctlpar\wrapdefault\aspalpha\aspnum\faauto\adjustright\rin0\lin0\itap0 \rtlch\fcs1 \af0\afs20\alang1025 \ltrch\fcs0 \fs24\lang2057\langfe2057\cgrid\langnp2057\langfenp2057 {\rtlch\fcs1 \af0 _x000d__x000a_\ltrch\fcs0 \insrsid9984721 \chftnsepc _x000d__x000a_\par }}{\*\aftnsep \ltrpar \pard\plain \ltrpar\ql \li0\ri0\widctlpar\wrapdefault\aspalpha\aspnum\faauto\adjustright\rin0\lin0\itap0 \rtlch\fcs1 \af0\afs20\alang1025 \ltrch\fcs0 \fs24\lang2057\langfe2057\cgrid\langnp2057\langfenp2057 {\rtlch\fcs1 \af0 _x000d__x000a_\ltrch\fcs0 \insrsid9984721 \chftnsep _x000d__x000a_\par }}{\*\aftnsepc \ltrpar \pard\plain \ltrpar\ql \li0\ri0\widctlpar\wrapdefault\aspalpha\aspnum\faauto\adjustright\rin0\lin0\itap0 \rtlch\fcs1 \af0\afs20\alang1025 \ltrch\fcs0 \fs24\lang2057\langfe2057\cgrid\langnp2057\langfenp2057 {\rtlch\fcs1 \af0 _x000d__x000a_\ltrch\fcs0 \insrsid99847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599275 \rtlch\fcs1 _x000d__x000a_\af0\afs20\alang1025 \ltrch\fcs0 \b\fs24\lang2057\langfe2057\cgrid\langnp2057\langfenp2057 {\rtlch\fcs1 \af0 \ltrch\fcs0 \cs17\b0\v\fs20\cf9\lang1024\langfe1024\loch\af1\hich\af1\dbch\af31501\noproof\insrsid5599275\charrsid3740549 {\*\bkmkstart restart}_x000d__x000a_\hich\af1\dbch\af31501\loch\f1 &lt;Amend&gt;}{\rtlch\fcs1 \af0 \ltrch\fcs0 \insrsid5599275\charrsid3740549 Amendment\tab \tab }{\rtlch\fcs1 \af0 \ltrch\fcs0 _x000d__x000a_\cs17\b0\v\fs20\cf9\lang1024\langfe1024\loch\af1\hich\af1\dbch\af31501\noproof\insrsid5599275\charrsid3740549 \hich\af1\dbch\af31501\loch\f1 &lt;NumAm&gt;}{\rtlch\fcs1 \af0 \ltrch\fcs0 \insrsid5599275\charrsid3740549 #}{\rtlch\fcs1 \af1 \ltrch\fcs0 _x000d__x000a_\cs18\v\f1\fs20\cf15\insrsid5599275\charrsid3740549 ENMIENDA@NRAM@}{\rtlch\fcs1 \af0 \ltrch\fcs0 \insrsid5599275\charrsid3740549 #}{\rtlch\fcs1 \af0 \ltrch\fcs0 _x000d__x000a_\cs17\b0\v\fs20\cf9\lang1024\langfe1024\loch\af1\hich\af1\dbch\af31501\noproof\insrsid5599275\charrsid3740549 \hich\af1\dbch\af31501\loch\f1 &lt;/NumAm&gt;}{\rtlch\fcs1 \af0 \ltrch\fcs0 \insrsid5599275\charrsid3740549 _x000d__x000a_\par }\pard\plain \ltrpar\s27\ql \li0\ri0\sb240\keepn\nowidctlpar\wrapdefault\aspalpha\aspnum\faauto\adjustright\rin0\lin0\itap0\pararsid5599275 \rtlch\fcs1 \af0\afs20\alang1025 \ltrch\fcs0 \b\fs24\lang2057\langfe2057\cgrid\langnp2057\langfenp2057 {_x000d__x000a_\rtlch\fcs1 \af0 \ltrch\fcs0 \cs17\b0\v\fs20\cf9\lang1024\langfe1024\loch\af1\hich\af1\dbch\af31501\noproof\insrsid5599275\charrsid3740549 \hich\af1\dbch\af31501\loch\f1 &lt;DocAmend&gt;}{\rtlch\fcs1 \af0 \ltrch\fcs0 \insrsid5599275\charrsid3740549 _x000d__x000a_Proposal for a #}{\rtlch\fcs1 \af1 \ltrch\fcs0 \cs18\v\f1\fs20\cf15\insrsid5599275\charrsid3740549 MNU[DOC1][DOC2][DOC3]@DOCMSG@DOCMNU}{\rtlch\fcs1 \af0 \ltrch\fcs0 \insrsid5599275\charrsid3740549 ##}{\rtlch\fcs1 \af1 \ltrch\fcs0 _x000d__x000a_\cs18\v\f1\fs20\cf15\insrsid5599275\charrsid3740549 MNU[AMACTYES][NOTAPP]@CHOICE@AMACTMNU}{\rtlch\fcs1 \af0 \ltrch\fcs0 \insrsid5599275\charrsid3740549 #}{\rtlch\fcs1 \af0 \ltrch\fcs0 _x000d__x000a_\cs17\b0\v\fs20\cf9\lang1024\langfe1024\loch\af1\hich\af1\dbch\af31501\noproof\insrsid5599275\charrsid3740549 \hich\af1\dbch\af31501\loch\f1 &lt;/DocAmend&gt;}{\rtlch\fcs1 \af0 \ltrch\fcs0 \insrsid5599275\charrsid3740549 _x000d__x000a_\par }\pard\plain \ltrpar\s20\ql \li0\ri0\keepn\nowidctlpar\wrapdefault\aspalpha\aspnum\faauto\adjustright\rin0\lin0\itap0\pararsid5599275 \rtlch\fcs1 \af0\afs20\alang1025 \ltrch\fcs0 \b\fs24\lang2057\langfe2057\cgrid\langnp2057\langfenp2057 {\rtlch\fcs1 \af0 _x000d__x000a_\ltrch\fcs0 \cs17\b0\v\fs20\cf9\lang1024\langfe1024\loch\af1\hich\af1\dbch\af31501\noproof\insrsid5599275\charrsid3740549 \hich\af1\dbch\af31501\loch\f1 &lt;Article&gt;}{\rtlch\fcs1 \af0 \ltrch\fcs0 \insrsid5599275\charrsid3740549 #}{\rtlch\fcs1 \af1 _x000d__x000a_\ltrch\fcs0 \cs18\v\f1\fs20\cf15\insrsid5599275\charrsid3740549 MNU[AMACTPARTYES][AMACTPARTNO]@CHOICE@AMACTMNU}{\rtlch\fcs1 \af0 \ltrch\fcs0 \insrsid5599275\charrsid3740549 #}{\rtlch\fcs1 \af0 \ltrch\fcs0 _x000d__x000a_\cs17\b0\v\fs20\cf9\lang1024\langfe1024\loch\af1\hich\af1\dbch\af31501\noproof\insrsid5599275\charrsid3740549 \hich\af1\dbch\af31501\loch\f1 &lt;/Article&gt;}{\rtlch\fcs1 \af0 \ltrch\fcs0 \insrsid5599275\charrsid3740549 _x000d__x000a_\par }\pard\plain \ltrpar\ql \li0\ri0\keepn\widctlpar\wrapdefault\aspalpha\aspnum\faauto\adjustright\rin0\lin0\itap0\pararsid5599275 \rtlch\fcs1 \af0\afs20\alang1025 \ltrch\fcs0 \fs24\lang2057\langfe2057\cgrid\langnp2057\langfenp2057 {\rtlch\fcs1 \af0 _x000d__x000a_\ltrch\fcs0 \cs17\v\fs20\cf9\lang1024\langfe1024\loch\af1\hich\af1\dbch\af31501\noproof\insrsid5599275\charrsid3740549 \hich\af1\dbch\af31501\loch\f1 &lt;DocAmend2&gt;&lt;OptDel&gt;}{\rtlch\fcs1 \af0 \ltrch\fcs0 \insrsid5599275\charrsid3740549 #}{\rtlch\fcs1 \af1 _x000d__x000a_\ltrch\fcs0 \cs18\v\f1\fs20\cf15\insrsid5599275\charrsid3740549 MNU[OPTNRACTYES][NOTAPP]@CHOICE@AMACTMNU}{\rtlch\fcs1 \af0 \ltrch\fcs0 \insrsid5599275\charrsid3740549 #}{\rtlch\fcs1 \af0 \ltrch\fcs0 _x000d__x000a_\cs17\v\fs20\cf9\lang1024\langfe1024\loch\af1\hich\af1\dbch\af31501\noproof\insrsid5599275\charrsid3740549 \hich\af1\dbch\af31501\loch\f1 &lt;/OptDel&gt;&lt;/DocAmend2&gt;}{\rtlch\fcs1 \af0 \ltrch\fcs0 \insrsid5599275\charrsid3740549 _x000d__x000a_\par }\pard \ltrpar\ql \li0\ri0\widctlpar\wrapdefault\aspalpha\aspnum\faauto\adjustright\rin0\lin0\itap0\pararsid5599275 {\rtlch\fcs1 \af0 \ltrch\fcs0 \cs17\v\fs20\cf9\lang1024\langfe1024\loch\af1\hich\af1\dbch\af31501\noproof\insrsid5599275\charrsid3740549 _x000d__x000a_\hich\af1\dbch\af31501\loch\f1 &lt;Article2&gt;&lt;OptDel&gt;}{\rtlch\fcs1 \af0 \ltrch\fcs0 \insrsid5599275\charrsid3740549 #}{\rtlch\fcs1 \af1 \ltrch\fcs0 \cs18\v\f1\fs20\cf15\insrsid5599275\charrsid3740549 MNU[OPTACTPARTYES][NOTAPP]@CHOICE@AMACTMNU}{\rtlch\fcs1 _x000d__x000a_\af0 \ltrch\fcs0 \insrsid5599275\charrsid3740549 #}{\rtlch\fcs1 \af0 \ltrch\fcs0 \cs17\v\fs20\cf9\lang1024\langfe1024\loch\af1\hich\af1\dbch\af31501\noproof\insrsid5599275\charrsid3740549 \hich\af1\dbch\af31501\loch\f1 &lt;/OptDel&gt;&lt;/Article2&gt;}{\rtlch\fcs1 _x000d__x000a_\af0 \ltrch\fcs0 \insrsid5599275\charrsid3740549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5599275\charrsid3740549 \cell }\pard\plain \ltrpar\ql \li0\ri0\widctlpar\intbl\wrapdefault\aspalpha\aspnum\faauto\adjustright\rin0\lin0 \rtlch\fcs1 _x000d__x000a_\af0\afs20\alang1025 \ltrch\fcs0 \fs24\lang2057\langfe2057\cgrid\langnp2057\langfenp2057 {\rtlch\fcs1 \af0 \ltrch\fcs0 \insrsid5599275\charrsid3740549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5599275\charrsid3740549 #}{\rtlch\fcs1 \af1 \ltrch\fcs0 \cs18\v\f1\fs20\cf15\insrsid5599275\charrsid3740549 MNU[OPTLEFTAMACT][LEFTPROP]@CHOICE@AMACTMNU}{\rtlch\fcs1 \af0 \ltrch\fcs0 \insrsid5599275\charrsid3740549 #\cell Amendment\cell _x000d__x000a_}\pard\plain \ltrpar\ql \li0\ri0\widctlpar\intbl\wrapdefault\aspalpha\aspnum\faauto\adjustright\rin0\lin0 \rtlch\fcs1 \af0\afs20\alang1025 \ltrch\fcs0 \fs24\lang2057\langfe2057\cgrid\langnp2057\langfenp2057 {\rtlch\fcs1 \af0 \ltrch\fcs0 _x000d__x000a_\insrsid5599275\charrsid3740549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5599275\charrsid3740549 ##\cell ##}{\rtlch\fcs1 \af0\afs24 \ltrch\fcs0 \insrsid5599275\charrsid3740549 \cell }\pard\plain \ltrpar\ql \li0\ri0\widctlpar\intbl\wrapdefault\aspalpha\aspnum\faauto\adjustright\rin0\lin0 \rtlch\fcs1 _x000d__x000a_\af0\afs20\alang1025 \ltrch\fcs0 \fs24\lang2057\langfe2057\cgrid\langnp2057\langfenp2057 {\rtlch\fcs1 \af0 \ltrch\fcs0 \insrsid5599275\charrsid3740549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599275 \rtlch\fcs1 \af0\afs20\alang1025 \ltrch\fcs0 \fs24\lang2057\langfe2057\cgrid\langnp2057\langfenp2057 {\rtlch\fcs1 \af0 \ltrch\fcs0 _x000d__x000a_\insrsid5599275\charrsid3740549 Or. }{\rtlch\fcs1 \af0 \ltrch\fcs0 \cs17\v\fs20\cf9\lang1024\langfe1024\loch\af1\hich\af1\dbch\af31501\noproof\insrsid5599275\charrsid3740549 \hich\af1\dbch\af31501\loch\f1 &lt;Original&gt;}{\rtlch\fcs1 \af0 \ltrch\fcs0 _x000d__x000a_\insrsid5599275\charrsid3740549 #}{\rtlch\fcs1 \af1 \ltrch\fcs0 \cs18\v\f1\fs20\cf15\insrsid5599275\charrsid3740549 MNU[ORLANGONE][ORLANGMORE]@CHOICE@ORLANGMNU}{\rtlch\fcs1 \af0 \ltrch\fcs0 \insrsid5599275\charrsid3740549 #}{\rtlch\fcs1 \af0 \ltrch\fcs0 _x000d__x000a_\cs17\v\fs20\cf9\lang1024\langfe1024\loch\af1\hich\af1\dbch\af31501\noproof\insrsid5599275\charrsid3740549 \hich\af1\dbch\af31501\loch\f1 &lt;/Original&gt;}{\rtlch\fcs1 \af0 \ltrch\fcs0 \insrsid5599275\charrsid3740549 _x000d__x000a_\par }\pard\plain \ltrpar\s22\qc \li0\ri0\sb240\sa240\nowidctlpar\wrapdefault\aspalpha\aspnum\faauto\adjustright\rin0\lin0\itap0\pararsid5599275 \rtlch\fcs1 \af0\afs20\alang1025 \ltrch\fcs0 \i\fs24\lang2057\langfe2057\cgrid\langnp2057\langfenp2057 {_x000d__x000a_\rtlch\fcs1 \af0 \ltrch\fcs0 \cs17\i0\v\fs20\cf9\lang1024\langfe1024\loch\af1\hich\af1\dbch\af31501\noproof\insrsid5599275\charrsid3740549 \hich\af1\dbch\af31501\loch\f1 &lt;OptDel&gt;}{\rtlch\fcs1 \af0 \ltrch\fcs0 \insrsid5599275\charrsid3740549 #}{_x000d__x000a_\rtlch\fcs1 \af1 \ltrch\fcs0 \cs18\v\f1\fs20\cf15\insrsid5599275\charrsid3740549 MNU[CROSSREFNO][CROSSREFYES]@CHOICE@}{\rtlch\fcs1 \af0 \ltrch\fcs0 \insrsid5599275\charrsid3740549 #}{\rtlch\fcs1 \af0 \ltrch\fcs0 _x000d__x000a_\cs17\i0\v\fs20\cf9\lang1024\langfe1024\loch\af1\hich\af1\dbch\af31501\noproof\insrsid5599275\charrsid3740549 \hich\af1\dbch\af31501\loch\f1 &lt;/OptDel&gt;}{\rtlch\fcs1 \af0 \ltrch\fcs0 \insrsid5599275\charrsid3740549 _x000d__x000a_\par }\pard\plain \ltrpar\s23\qc \li0\ri0\sb240\sa240\keepn\nowidctlpar\wrapdefault\aspalpha\aspnum\faauto\adjustright\rin0\lin0\itap0\pararsid5599275 \rtlch\fcs1 \af0\afs20\alang1025 \ltrch\fcs0 \i\fs24\lang2057\langfe2057\cgrid\langnp2057\langfenp2057 {_x000d__x000a_\rtlch\fcs1 \af0 \ltrch\fcs0 \cs17\i0\v\fs20\cf9\lang1024\langfe1024\loch\af1\hich\af1\dbch\af31501\noproof\insrsid5599275\charrsid3740549 \hich\af1\dbch\af31501\loch\f1 &lt;TitreJust&gt;}{\rtlch\fcs1 \af0 \ltrch\fcs0 \insrsid5599275\charrsid3740549 _x000d__x000a_Justification}{\rtlch\fcs1 \af0 \ltrch\fcs0 \cs17\i0\v\fs20\cf9\lang1024\langfe1024\loch\af1\hich\af1\dbch\af31501\noproof\insrsid5599275\charrsid3740549 \hich\af1\dbch\af31501\loch\f1 &lt;/TitreJust&gt;}{\rtlch\fcs1 \af0 \ltrch\fcs0 _x000d__x000a_\insrsid5599275\charrsid3740549 _x000d__x000a_\par }\pard\plain \ltrpar\s21\ql \li0\ri0\sa240\nowidctlpar\wrapdefault\aspalpha\aspnum\faauto\adjustright\rin0\lin0\itap0\pararsid5599275 \rtlch\fcs1 \af0\afs20\alang1025 \ltrch\fcs0 \i\fs24\lang2057\langfe2057\cgrid\langnp2057\langfenp2057 {\rtlch\fcs1 \af0 _x000d__x000a_\ltrch\fcs0 \cs17\i0\v\fs20\cf9\lang1024\langfe1024\loch\af1\hich\af1\dbch\af31501\noproof\insrsid5599275\charrsid3740549 \hich\af1\dbch\af31501\loch\f1 &lt;OptDelPrev&gt;}{\rtlch\fcs1 \af0 \ltrch\fcs0 \insrsid5599275\charrsid3740549 #}{\rtlch\fcs1 \af1 _x000d__x000a_\ltrch\fcs0 \cs18\v\f1\fs20\cf15\insrsid5599275\charrsid3740549 MNU[TEXTJUSTYES][TEXTJUSTNO]@CHOICE@}{\rtlch\fcs1 \af0 \ltrch\fcs0 \insrsid5599275\charrsid3740549 #}{\rtlch\fcs1 \af0 \ltrch\fcs0 _x000d__x000a_\cs17\i0\v\fs20\cf9\lang1024\langfe1024\loch\af1\hich\af1\dbch\af31501\noproof\insrsid5599275\charrsid3740549 \hich\af1\dbch\af31501\loch\f1 &lt;/OptDelPrev&gt;}{\rtlch\fcs1 \af0 \ltrch\fcs0 \insrsid5599275\charrsid3740549 _x000d__x000a_\par }\pard\plain \ltrpar\ql \li0\ri0\widctlpar\wrapdefault\aspalpha\aspnum\faauto\adjustright\rin0\lin0\itap0\pararsid5599275 \rtlch\fcs1 \af0\afs20\alang1025 \ltrch\fcs0 \fs24\lang2057\langfe2057\cgrid\langnp2057\langfenp2057 {\rtlch\fcs1 \af0 \ltrch\fcs0 _x000d__x000a_\cs17\v\fs20\cf9\lang1024\langfe1024\loch\af1\hich\af1\dbch\af31501\noproof\insrsid5599275\charrsid374054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8_x000d__x000a_b552fb7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78"/>
    <w:docVar w:name="TVTACTPART" w:val="Article"/>
    <w:docVar w:name="TVTAMACTPART" w:val="Recital"/>
    <w:docVar w:name="TXTAUTHOR" w:val="Nikolaj Villumsen"/>
    <w:docVar w:name="TXTLANGUE" w:val="EN"/>
    <w:docVar w:name="TXTLANGUEMIN" w:val="en"/>
    <w:docVar w:name="TXTNRC" w:val="0022/2023"/>
    <w:docVar w:name="TXTNRCOD" w:val="2023/0033"/>
    <w:docVar w:name="TXTNRCOM" w:val="92023-00071"/>
    <w:docVar w:name="TXTNRDIR" w:val="2004/37/EC"/>
    <w:docVar w:name="TXTNRFIRSTAM" w:val="1"/>
    <w:docVar w:name="TXTNRLASTAM" w:val="34"/>
    <w:docVar w:name="TXTNRPE" w:val="746.964"/>
    <w:docVar w:name="TXTPEorAP" w:val="PE"/>
    <w:docVar w:name="TXTROUTE" w:val="PR\1278028EN.docx"/>
    <w:docVar w:name="TXTTITLE" w:val="Amending Council Directive 98/24/EC and Directive 2004/37/EC of the European Parliament and of the Council as regards the limit values for lead and its inorganic compounds and diisocyanates"/>
    <w:docVar w:name="TXTVERSION" w:val="01-00"/>
  </w:docVars>
  <w:rsids>
    <w:rsidRoot w:val="00391385"/>
    <w:rsid w:val="0000204B"/>
    <w:rsid w:val="00011AAB"/>
    <w:rsid w:val="00012351"/>
    <w:rsid w:val="000139E5"/>
    <w:rsid w:val="00037CB9"/>
    <w:rsid w:val="0004271C"/>
    <w:rsid w:val="00075760"/>
    <w:rsid w:val="00084DD2"/>
    <w:rsid w:val="00084E89"/>
    <w:rsid w:val="000B7489"/>
    <w:rsid w:val="000E6DAC"/>
    <w:rsid w:val="000F1096"/>
    <w:rsid w:val="00105F9B"/>
    <w:rsid w:val="0011298A"/>
    <w:rsid w:val="00120948"/>
    <w:rsid w:val="0012111E"/>
    <w:rsid w:val="0012174F"/>
    <w:rsid w:val="00123DD5"/>
    <w:rsid w:val="001277AE"/>
    <w:rsid w:val="00134911"/>
    <w:rsid w:val="00142215"/>
    <w:rsid w:val="001767E2"/>
    <w:rsid w:val="00187008"/>
    <w:rsid w:val="00191E1C"/>
    <w:rsid w:val="001B3829"/>
    <w:rsid w:val="001C1F32"/>
    <w:rsid w:val="001C5592"/>
    <w:rsid w:val="001C5B44"/>
    <w:rsid w:val="001C6FFC"/>
    <w:rsid w:val="001E5C03"/>
    <w:rsid w:val="001F2E97"/>
    <w:rsid w:val="001F4EDD"/>
    <w:rsid w:val="001F7C7C"/>
    <w:rsid w:val="00212B84"/>
    <w:rsid w:val="00215ED0"/>
    <w:rsid w:val="00225D5A"/>
    <w:rsid w:val="002346B0"/>
    <w:rsid w:val="002667C3"/>
    <w:rsid w:val="002669B6"/>
    <w:rsid w:val="002719EB"/>
    <w:rsid w:val="002732A8"/>
    <w:rsid w:val="00290BED"/>
    <w:rsid w:val="002C4A99"/>
    <w:rsid w:val="002D13EE"/>
    <w:rsid w:val="002E33EE"/>
    <w:rsid w:val="002F3C9D"/>
    <w:rsid w:val="002F40BB"/>
    <w:rsid w:val="002F4B02"/>
    <w:rsid w:val="00323EF8"/>
    <w:rsid w:val="00325286"/>
    <w:rsid w:val="00330214"/>
    <w:rsid w:val="003316DD"/>
    <w:rsid w:val="003664AE"/>
    <w:rsid w:val="00366A46"/>
    <w:rsid w:val="00370AC3"/>
    <w:rsid w:val="003733DC"/>
    <w:rsid w:val="003824EE"/>
    <w:rsid w:val="00391385"/>
    <w:rsid w:val="003926BD"/>
    <w:rsid w:val="003B4689"/>
    <w:rsid w:val="003C2068"/>
    <w:rsid w:val="003C37CF"/>
    <w:rsid w:val="003D192E"/>
    <w:rsid w:val="003D4C09"/>
    <w:rsid w:val="003F63AD"/>
    <w:rsid w:val="00400F6B"/>
    <w:rsid w:val="004100B1"/>
    <w:rsid w:val="00410920"/>
    <w:rsid w:val="00413B1F"/>
    <w:rsid w:val="004215D0"/>
    <w:rsid w:val="00426E47"/>
    <w:rsid w:val="00442DA7"/>
    <w:rsid w:val="00455743"/>
    <w:rsid w:val="00461601"/>
    <w:rsid w:val="0047376E"/>
    <w:rsid w:val="0047594C"/>
    <w:rsid w:val="004C0915"/>
    <w:rsid w:val="004D424E"/>
    <w:rsid w:val="004E07A5"/>
    <w:rsid w:val="004E42C8"/>
    <w:rsid w:val="004E733D"/>
    <w:rsid w:val="004F3FA5"/>
    <w:rsid w:val="00504A84"/>
    <w:rsid w:val="0051271F"/>
    <w:rsid w:val="00521F46"/>
    <w:rsid w:val="0052409B"/>
    <w:rsid w:val="005273FD"/>
    <w:rsid w:val="00547170"/>
    <w:rsid w:val="00551111"/>
    <w:rsid w:val="00551123"/>
    <w:rsid w:val="00570A6A"/>
    <w:rsid w:val="00586E50"/>
    <w:rsid w:val="0059583D"/>
    <w:rsid w:val="005A42D9"/>
    <w:rsid w:val="005C2BEF"/>
    <w:rsid w:val="005D1A99"/>
    <w:rsid w:val="005D7609"/>
    <w:rsid w:val="005D7EE8"/>
    <w:rsid w:val="005F4C08"/>
    <w:rsid w:val="00600EC8"/>
    <w:rsid w:val="00602C0A"/>
    <w:rsid w:val="00604B47"/>
    <w:rsid w:val="0061698C"/>
    <w:rsid w:val="00642325"/>
    <w:rsid w:val="006621A9"/>
    <w:rsid w:val="00672B31"/>
    <w:rsid w:val="00684721"/>
    <w:rsid w:val="006A2F5D"/>
    <w:rsid w:val="006D08C7"/>
    <w:rsid w:val="006F6282"/>
    <w:rsid w:val="006F7907"/>
    <w:rsid w:val="0071661D"/>
    <w:rsid w:val="00743189"/>
    <w:rsid w:val="00743D33"/>
    <w:rsid w:val="00792141"/>
    <w:rsid w:val="007932B3"/>
    <w:rsid w:val="00793EA9"/>
    <w:rsid w:val="0079442D"/>
    <w:rsid w:val="007C2624"/>
    <w:rsid w:val="007D6F68"/>
    <w:rsid w:val="007F6F4F"/>
    <w:rsid w:val="00816B78"/>
    <w:rsid w:val="00823E6B"/>
    <w:rsid w:val="008248AD"/>
    <w:rsid w:val="00826780"/>
    <w:rsid w:val="00837CCD"/>
    <w:rsid w:val="008633CC"/>
    <w:rsid w:val="00865190"/>
    <w:rsid w:val="008719B9"/>
    <w:rsid w:val="00872C76"/>
    <w:rsid w:val="00873F1C"/>
    <w:rsid w:val="00886DE8"/>
    <w:rsid w:val="00894ECE"/>
    <w:rsid w:val="00896BB4"/>
    <w:rsid w:val="008A4475"/>
    <w:rsid w:val="008A7FB8"/>
    <w:rsid w:val="008C7BDF"/>
    <w:rsid w:val="009022B8"/>
    <w:rsid w:val="00914537"/>
    <w:rsid w:val="00917CC4"/>
    <w:rsid w:val="00936AAC"/>
    <w:rsid w:val="00945BF3"/>
    <w:rsid w:val="00947DEB"/>
    <w:rsid w:val="009763DA"/>
    <w:rsid w:val="009913EB"/>
    <w:rsid w:val="009975B3"/>
    <w:rsid w:val="009A216D"/>
    <w:rsid w:val="009B4B93"/>
    <w:rsid w:val="009F24BE"/>
    <w:rsid w:val="009F6C2F"/>
    <w:rsid w:val="009F767A"/>
    <w:rsid w:val="00A04DDD"/>
    <w:rsid w:val="00A13F3A"/>
    <w:rsid w:val="00A15B92"/>
    <w:rsid w:val="00A22533"/>
    <w:rsid w:val="00A2274C"/>
    <w:rsid w:val="00A26F46"/>
    <w:rsid w:val="00A34FD3"/>
    <w:rsid w:val="00A36929"/>
    <w:rsid w:val="00A50548"/>
    <w:rsid w:val="00A60EE7"/>
    <w:rsid w:val="00A63479"/>
    <w:rsid w:val="00A710F3"/>
    <w:rsid w:val="00A910C9"/>
    <w:rsid w:val="00A962FF"/>
    <w:rsid w:val="00AA35B0"/>
    <w:rsid w:val="00AD18C8"/>
    <w:rsid w:val="00AD7FA6"/>
    <w:rsid w:val="00AE14C6"/>
    <w:rsid w:val="00AE4643"/>
    <w:rsid w:val="00AF0416"/>
    <w:rsid w:val="00AF2604"/>
    <w:rsid w:val="00B10CB4"/>
    <w:rsid w:val="00B13D6F"/>
    <w:rsid w:val="00B1558A"/>
    <w:rsid w:val="00B23B72"/>
    <w:rsid w:val="00B42702"/>
    <w:rsid w:val="00B57887"/>
    <w:rsid w:val="00B57B8B"/>
    <w:rsid w:val="00B85407"/>
    <w:rsid w:val="00B95702"/>
    <w:rsid w:val="00BC6489"/>
    <w:rsid w:val="00BD480C"/>
    <w:rsid w:val="00BE2E9F"/>
    <w:rsid w:val="00BF2756"/>
    <w:rsid w:val="00C076FF"/>
    <w:rsid w:val="00C20954"/>
    <w:rsid w:val="00C23324"/>
    <w:rsid w:val="00C31798"/>
    <w:rsid w:val="00C42A41"/>
    <w:rsid w:val="00C45A79"/>
    <w:rsid w:val="00C47E74"/>
    <w:rsid w:val="00C5402B"/>
    <w:rsid w:val="00C56A9D"/>
    <w:rsid w:val="00C57A72"/>
    <w:rsid w:val="00C730C7"/>
    <w:rsid w:val="00C73602"/>
    <w:rsid w:val="00C77141"/>
    <w:rsid w:val="00CA0BF4"/>
    <w:rsid w:val="00CA1930"/>
    <w:rsid w:val="00CC3AEF"/>
    <w:rsid w:val="00CF60C8"/>
    <w:rsid w:val="00D04A06"/>
    <w:rsid w:val="00D17DA8"/>
    <w:rsid w:val="00D30DE2"/>
    <w:rsid w:val="00D32924"/>
    <w:rsid w:val="00D503A3"/>
    <w:rsid w:val="00D62A6C"/>
    <w:rsid w:val="00D637A7"/>
    <w:rsid w:val="00D9167F"/>
    <w:rsid w:val="00DA2307"/>
    <w:rsid w:val="00DA6ED0"/>
    <w:rsid w:val="00DB62B6"/>
    <w:rsid w:val="00DC5011"/>
    <w:rsid w:val="00DE2B36"/>
    <w:rsid w:val="00DF6DCD"/>
    <w:rsid w:val="00DF7819"/>
    <w:rsid w:val="00E171B6"/>
    <w:rsid w:val="00E52776"/>
    <w:rsid w:val="00E63CF0"/>
    <w:rsid w:val="00E7095B"/>
    <w:rsid w:val="00E72695"/>
    <w:rsid w:val="00E74205"/>
    <w:rsid w:val="00E80FD8"/>
    <w:rsid w:val="00E9395F"/>
    <w:rsid w:val="00E941BF"/>
    <w:rsid w:val="00EB1753"/>
    <w:rsid w:val="00EB6CFF"/>
    <w:rsid w:val="00EC2EAE"/>
    <w:rsid w:val="00ED612E"/>
    <w:rsid w:val="00EE3996"/>
    <w:rsid w:val="00EF6F40"/>
    <w:rsid w:val="00F07062"/>
    <w:rsid w:val="00F143F7"/>
    <w:rsid w:val="00F22F47"/>
    <w:rsid w:val="00F23CFC"/>
    <w:rsid w:val="00F35C87"/>
    <w:rsid w:val="00F433E2"/>
    <w:rsid w:val="00F4607D"/>
    <w:rsid w:val="00F6648A"/>
    <w:rsid w:val="00F669E1"/>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4F557B6-7DF6-484A-871F-F22997AD3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semiHidden="1"/>
    <w:lsdException w:name="caption" w:semiHidden="1" w:unhideWhenUsed="1" w:qFormat="1"/>
    <w:lsdException w:name="footnote reference" w:uiPriority="99"/>
    <w:lsdException w:name="annotation reference" w:uiPriority="99"/>
    <w:lsdException w:name="List Bullet 2"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886DE8"/>
    <w:pPr>
      <w:tabs>
        <w:tab w:val="right" w:pos="454"/>
        <w:tab w:val="left" w:pos="737"/>
      </w:tabs>
      <w:ind w:left="737" w:hanging="737"/>
    </w:pPr>
    <w:rPr>
      <w:snapToGrid w:val="0"/>
      <w:sz w:val="18"/>
      <w:lang w:eastAsia="en-US"/>
    </w:rPr>
  </w:style>
  <w:style w:type="paragraph" w:customStyle="1" w:styleId="Lgendetitre">
    <w:name w:val="Légende titre"/>
    <w:basedOn w:val="Normal"/>
    <w:rsid w:val="00886DE8"/>
    <w:pPr>
      <w:spacing w:before="240" w:after="240"/>
    </w:pPr>
    <w:rPr>
      <w:b/>
      <w:i/>
      <w:snapToGrid w:val="0"/>
      <w:lang w:eastAsia="en-US"/>
    </w:rPr>
  </w:style>
  <w:style w:type="paragraph" w:customStyle="1" w:styleId="Lgendestandard">
    <w:name w:val="Légende standard"/>
    <w:basedOn w:val="Normal"/>
    <w:rsid w:val="00886DE8"/>
    <w:rPr>
      <w:sz w:val="18"/>
    </w:rPr>
  </w:style>
  <w:style w:type="paragraph" w:styleId="FootnoteText">
    <w:name w:val="footnote text"/>
    <w:basedOn w:val="Normal"/>
    <w:link w:val="FootnoteTextChar"/>
    <w:unhideWhenUsed/>
    <w:rsid w:val="00A15B92"/>
    <w:rPr>
      <w:sz w:val="20"/>
    </w:rPr>
  </w:style>
  <w:style w:type="character" w:customStyle="1" w:styleId="FootnoteTextChar">
    <w:name w:val="Footnote Text Char"/>
    <w:basedOn w:val="DefaultParagraphFont"/>
    <w:link w:val="FootnoteText"/>
    <w:rsid w:val="00A15B92"/>
  </w:style>
  <w:style w:type="character" w:styleId="FootnoteReference">
    <w:name w:val="footnote reference"/>
    <w:basedOn w:val="DefaultParagraphFont"/>
    <w:uiPriority w:val="99"/>
    <w:unhideWhenUsed/>
    <w:rsid w:val="00A15B92"/>
    <w:rPr>
      <w:vertAlign w:val="superscript"/>
    </w:rPr>
  </w:style>
  <w:style w:type="paragraph" w:customStyle="1" w:styleId="Normal6">
    <w:name w:val="Normal6"/>
    <w:basedOn w:val="Normal"/>
    <w:link w:val="Normal6Char"/>
    <w:rsid w:val="0052409B"/>
    <w:pPr>
      <w:spacing w:after="120"/>
    </w:pPr>
  </w:style>
  <w:style w:type="paragraph" w:customStyle="1" w:styleId="Normal12Italic">
    <w:name w:val="Normal12Italic"/>
    <w:basedOn w:val="Normal"/>
    <w:rsid w:val="0052409B"/>
    <w:pPr>
      <w:spacing w:after="240"/>
    </w:pPr>
    <w:rPr>
      <w:i/>
      <w:noProof/>
    </w:rPr>
  </w:style>
  <w:style w:type="paragraph" w:customStyle="1" w:styleId="doc-ti">
    <w:name w:val="doc-ti"/>
    <w:basedOn w:val="Normal"/>
    <w:rsid w:val="00105F9B"/>
    <w:pPr>
      <w:widowControl/>
      <w:spacing w:before="100" w:beforeAutospacing="1" w:after="100" w:afterAutospacing="1"/>
    </w:pPr>
    <w:rPr>
      <w:szCs w:val="24"/>
    </w:rPr>
  </w:style>
  <w:style w:type="paragraph" w:customStyle="1" w:styleId="Normal1">
    <w:name w:val="Normal1"/>
    <w:basedOn w:val="Normal"/>
    <w:rsid w:val="00105F9B"/>
    <w:pPr>
      <w:widowControl/>
      <w:spacing w:before="100" w:beforeAutospacing="1" w:after="100" w:afterAutospacing="1"/>
    </w:pPr>
    <w:rPr>
      <w:szCs w:val="24"/>
    </w:rPr>
  </w:style>
  <w:style w:type="character" w:styleId="Hyperlink">
    <w:name w:val="Hyperlink"/>
    <w:basedOn w:val="DefaultParagraphFont"/>
    <w:uiPriority w:val="99"/>
    <w:unhideWhenUsed/>
    <w:rsid w:val="00105F9B"/>
    <w:rPr>
      <w:color w:val="0000FF"/>
      <w:u w:val="single"/>
    </w:rPr>
  </w:style>
  <w:style w:type="character" w:customStyle="1" w:styleId="super">
    <w:name w:val="super"/>
    <w:basedOn w:val="DefaultParagraphFont"/>
    <w:rsid w:val="00105F9B"/>
  </w:style>
  <w:style w:type="character" w:styleId="CommentReference">
    <w:name w:val="annotation reference"/>
    <w:basedOn w:val="DefaultParagraphFont"/>
    <w:uiPriority w:val="99"/>
    <w:unhideWhenUsed/>
    <w:rsid w:val="00105F9B"/>
    <w:rPr>
      <w:sz w:val="16"/>
      <w:szCs w:val="16"/>
    </w:rPr>
  </w:style>
  <w:style w:type="paragraph" w:styleId="CommentText">
    <w:name w:val="annotation text"/>
    <w:basedOn w:val="Normal"/>
    <w:link w:val="CommentTextChar"/>
    <w:uiPriority w:val="99"/>
    <w:unhideWhenUsed/>
    <w:rsid w:val="00105F9B"/>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105F9B"/>
    <w:rPr>
      <w:rFonts w:eastAsiaTheme="minorHAnsi"/>
      <w:lang w:eastAsia="en-US"/>
    </w:rPr>
  </w:style>
  <w:style w:type="paragraph" w:styleId="BalloonText">
    <w:name w:val="Balloon Text"/>
    <w:basedOn w:val="Normal"/>
    <w:link w:val="BalloonTextChar"/>
    <w:semiHidden/>
    <w:unhideWhenUsed/>
    <w:rsid w:val="00105F9B"/>
    <w:rPr>
      <w:rFonts w:ascii="Segoe UI" w:hAnsi="Segoe UI" w:cs="Segoe UI"/>
      <w:sz w:val="18"/>
      <w:szCs w:val="18"/>
    </w:rPr>
  </w:style>
  <w:style w:type="character" w:customStyle="1" w:styleId="BalloonTextChar">
    <w:name w:val="Balloon Text Char"/>
    <w:basedOn w:val="DefaultParagraphFont"/>
    <w:link w:val="BalloonText"/>
    <w:semiHidden/>
    <w:rsid w:val="00105F9B"/>
    <w:rPr>
      <w:rFonts w:ascii="Segoe UI" w:hAnsi="Segoe UI" w:cs="Segoe UI"/>
      <w:sz w:val="18"/>
      <w:szCs w:val="18"/>
    </w:rPr>
  </w:style>
  <w:style w:type="paragraph" w:styleId="ListBullet2">
    <w:name w:val="List Bullet 2"/>
    <w:basedOn w:val="Normal"/>
    <w:uiPriority w:val="99"/>
    <w:unhideWhenUsed/>
    <w:rsid w:val="00F669E1"/>
    <w:pPr>
      <w:widowControl/>
      <w:tabs>
        <w:tab w:val="num" w:pos="643"/>
      </w:tabs>
      <w:spacing w:before="120" w:after="120"/>
      <w:ind w:left="643" w:hanging="360"/>
      <w:contextualSpacing/>
      <w:jc w:val="both"/>
    </w:pPr>
    <w:rPr>
      <w:rFonts w:eastAsiaTheme="minorHAnsi"/>
      <w:szCs w:val="22"/>
      <w:lang w:eastAsia="en-US"/>
    </w:rPr>
  </w:style>
  <w:style w:type="paragraph" w:customStyle="1" w:styleId="title-annex-1">
    <w:name w:val="title-annex-1"/>
    <w:basedOn w:val="Normal"/>
    <w:rsid w:val="00CA0BF4"/>
    <w:pPr>
      <w:widowControl/>
      <w:spacing w:before="100" w:beforeAutospacing="1" w:after="100" w:afterAutospacing="1"/>
    </w:pPr>
    <w:rPr>
      <w:szCs w:val="24"/>
    </w:rPr>
  </w:style>
  <w:style w:type="paragraph" w:customStyle="1" w:styleId="title-gr-seq-level-1">
    <w:name w:val="title-gr-seq-level-1"/>
    <w:basedOn w:val="Normal"/>
    <w:rsid w:val="00CA0BF4"/>
    <w:pPr>
      <w:widowControl/>
      <w:spacing w:before="100" w:beforeAutospacing="1" w:after="100" w:afterAutospacing="1"/>
    </w:pPr>
    <w:rPr>
      <w:szCs w:val="24"/>
    </w:rPr>
  </w:style>
  <w:style w:type="character" w:customStyle="1" w:styleId="boldface">
    <w:name w:val="boldface"/>
    <w:basedOn w:val="DefaultParagraphFont"/>
    <w:rsid w:val="00CA0BF4"/>
  </w:style>
  <w:style w:type="paragraph" w:customStyle="1" w:styleId="title-gr-seq-level-2">
    <w:name w:val="title-gr-seq-level-2"/>
    <w:basedOn w:val="Normal"/>
    <w:rsid w:val="00CA0BF4"/>
    <w:pPr>
      <w:widowControl/>
      <w:spacing w:before="100" w:beforeAutospacing="1" w:after="100" w:afterAutospacing="1"/>
    </w:pPr>
    <w:rPr>
      <w:szCs w:val="24"/>
    </w:rPr>
  </w:style>
  <w:style w:type="paragraph" w:styleId="Footer">
    <w:name w:val="footer"/>
    <w:basedOn w:val="Normal"/>
    <w:link w:val="FooterChar"/>
    <w:semiHidden/>
    <w:rsid w:val="00F6648A"/>
    <w:pPr>
      <w:tabs>
        <w:tab w:val="center" w:pos="4513"/>
        <w:tab w:val="right" w:pos="9026"/>
      </w:tabs>
    </w:pPr>
  </w:style>
  <w:style w:type="character" w:customStyle="1" w:styleId="FooterChar">
    <w:name w:val="Footer Char"/>
    <w:basedOn w:val="DefaultParagraphFont"/>
    <w:link w:val="Footer"/>
    <w:semiHidden/>
    <w:rsid w:val="00F6648A"/>
    <w:rPr>
      <w:sz w:val="24"/>
    </w:rPr>
  </w:style>
  <w:style w:type="character" w:customStyle="1" w:styleId="NormalBoldChar">
    <w:name w:val="NormalBold Char"/>
    <w:basedOn w:val="DefaultParagraphFont"/>
    <w:link w:val="NormalBold"/>
    <w:rsid w:val="0052409B"/>
    <w:rPr>
      <w:b/>
      <w:sz w:val="24"/>
    </w:rPr>
  </w:style>
  <w:style w:type="paragraph" w:customStyle="1" w:styleId="JustificationTitle">
    <w:name w:val="JustificationTitle"/>
    <w:basedOn w:val="Normal"/>
    <w:next w:val="Normal"/>
    <w:rsid w:val="0052409B"/>
    <w:pPr>
      <w:keepNext/>
      <w:spacing w:before="240" w:after="240"/>
      <w:jc w:val="center"/>
    </w:pPr>
    <w:rPr>
      <w:i/>
      <w:noProof/>
    </w:rPr>
  </w:style>
  <w:style w:type="character" w:customStyle="1" w:styleId="Normal6Char">
    <w:name w:val="Normal6 Char"/>
    <w:basedOn w:val="DefaultParagraphFont"/>
    <w:link w:val="Normal6"/>
    <w:rsid w:val="0052409B"/>
    <w:rPr>
      <w:sz w:val="24"/>
      <w:lang w:val="it-IT"/>
    </w:rPr>
  </w:style>
  <w:style w:type="paragraph" w:customStyle="1" w:styleId="ColumnHeading">
    <w:name w:val="ColumnHeading"/>
    <w:basedOn w:val="Normal"/>
    <w:rsid w:val="0052409B"/>
    <w:pPr>
      <w:spacing w:after="240"/>
      <w:jc w:val="center"/>
    </w:pPr>
    <w:rPr>
      <w:i/>
    </w:rPr>
  </w:style>
  <w:style w:type="paragraph" w:customStyle="1" w:styleId="AMNumberTabs0">
    <w:name w:val="AMNumberTabs"/>
    <w:basedOn w:val="Normal"/>
    <w:rsid w:val="005240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2409B"/>
    <w:pPr>
      <w:spacing w:before="240"/>
      <w:jc w:val="center"/>
    </w:pPr>
    <w:rPr>
      <w:i/>
    </w:rPr>
  </w:style>
  <w:style w:type="paragraph" w:customStyle="1" w:styleId="Olang">
    <w:name w:val="Olang"/>
    <w:rsid w:val="0052409B"/>
    <w:pPr>
      <w:jc w:val="right"/>
    </w:pPr>
  </w:style>
  <w:style w:type="character" w:customStyle="1" w:styleId="Footer2Middle">
    <w:name w:val="Footer2Middle"/>
    <w:rsid w:val="0052409B"/>
    <w:rPr>
      <w:rFonts w:ascii="Arial" w:cs="Arial"/>
      <w:b w:val="0"/>
      <w:i/>
      <w:color w:val="C0C0C0"/>
      <w:sz w:val="22"/>
    </w:rPr>
  </w:style>
  <w:style w:type="paragraph" w:customStyle="1" w:styleId="ManualConsidrant">
    <w:name w:val="Manual Considérant"/>
    <w:basedOn w:val="Normal"/>
    <w:rsid w:val="003D192E"/>
    <w:pPr>
      <w:widowControl/>
      <w:spacing w:before="120" w:after="120"/>
      <w:ind w:left="709" w:hanging="709"/>
      <w:jc w:val="both"/>
    </w:pPr>
    <w:rPr>
      <w:rFonts w:eastAsiaTheme="minorHAnsi"/>
      <w:szCs w:val="24"/>
      <w:lang w:eastAsia="en-US"/>
    </w:rPr>
  </w:style>
  <w:style w:type="paragraph" w:styleId="CommentSubject">
    <w:name w:val="annotation subject"/>
    <w:basedOn w:val="CommentText"/>
    <w:next w:val="CommentText"/>
    <w:link w:val="CommentSubjectChar"/>
    <w:semiHidden/>
    <w:unhideWhenUsed/>
    <w:rsid w:val="0047594C"/>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semiHidden/>
    <w:rsid w:val="0047594C"/>
    <w:rPr>
      <w:rFonts w:eastAsiaTheme="minorHAns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c.europa.eu/social/main.jsp?langId=en&amp;catId=89&amp;furtherNews=yes&amp;newsId=10564&amp;pk_source=newsletter&amp;pk_medium=email&amp;pk_campaign=eu_social_newslette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CA2AA-252B-4DC7-BB5A-57D2903A3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8614</Words>
  <Characters>50310</Characters>
  <Application>Microsoft Office Word</Application>
  <DocSecurity>0</DocSecurity>
  <Lines>1863</Lines>
  <Paragraphs>669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ARAMINA Irena</dc:creator>
  <cp:lastModifiedBy>LATERZA Angela</cp:lastModifiedBy>
  <cp:revision>2</cp:revision>
  <cp:lastPrinted>2004-11-04T09:41:00Z</cp:lastPrinted>
  <dcterms:created xsi:type="dcterms:W3CDTF">2023-05-23T12:41:00Z</dcterms:created>
  <dcterms:modified xsi:type="dcterms:W3CDTF">2023-05-23T12:41:00Z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1278028</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[20230301]</vt:lpwstr>
  </property>
  <property fmtid="{D5CDD505-2E9C-101B-9397-08002B2CF9AE}" pid="9" name="FooterPath">
    <vt:lpwstr>PR\1278028IT.docx</vt:lpwstr>
  </property>
  <property fmtid="{D5CDD505-2E9C-101B-9397-08002B2CF9AE}" pid="10" name="LastEdited with">
    <vt:lpwstr>9.14.1 Build [20230301]</vt:lpwstr>
  </property>
  <property fmtid="{D5CDD505-2E9C-101B-9397-08002B2CF9AE}" pid="11" name="PE number">
    <vt:lpwstr>746.964</vt:lpwstr>
  </property>
  <property fmtid="{D5CDD505-2E9C-101B-9397-08002B2CF9AE}" pid="12" name="SendToEpades">
    <vt:lpwstr>OK(AMNUM) - 2023/05/08 07:41</vt:lpwstr>
  </property>
  <property fmtid="{D5CDD505-2E9C-101B-9397-08002B2CF9AE}" pid="13" name="SDLStudio">
    <vt:lpwstr/>
  </property>
  <property fmtid="{D5CDD505-2E9C-101B-9397-08002B2CF9AE}" pid="14" name="Bookout">
    <vt:lpwstr>OK - 2023/05/23 14:41</vt:lpwstr>
  </property>
</Properties>
</file>