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Evropský parlament</w:t>
            </w:r>
          </w:p>
          <w:p>
            <w:pPr>
              <w:pStyle w:val="EPTerm"/>
            </w:pPr>
            <w:r>
              <w:t>2019-2024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684354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EMPL</w:t>
      </w:r>
      <w:r>
        <w:rPr>
          <w:rStyle w:val="HideTWBInt"/>
        </w:rPr>
        <w:t>}</w:t>
      </w:r>
      <w:r>
        <w:t>Výbor pro zaměstnanost a sociální věci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2023/2116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07/12/2023</w:t>
      </w:r>
      <w:r>
        <w:rPr>
          <w:rStyle w:val="HideTWBInt"/>
        </w:rPr>
        <w:t>}</w:t>
      </w:r>
      <w:r>
        <w:t>7. 12. 2023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NÁVRH ZPRÁVY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o evropském semestru pro koordinaci hospodářských politik: priority v oblasti zaměstnanosti a sociálních věcí pro rok 2024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(2023/2116(INI))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EMPL</w:t>
      </w:r>
      <w:r>
        <w:rPr>
          <w:rStyle w:val="HideTWBInt"/>
        </w:rPr>
        <w:t>}</w:t>
      </w:r>
      <w:r>
        <w:t>Výbor pro zaměstnanost a sociální věci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Zpravodaj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Dragoş Pîslaru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OBSAH</w:t>
      </w:r>
    </w:p>
    <w:p>
      <w:pPr>
        <w:pStyle w:val="TOCPage"/>
      </w:pPr>
      <w:r>
        <w:t>Strana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NÁVRH USNESENÍ EVROPSKÉHO PARLAMENTU</w:t>
      </w:r>
      <w:r>
        <w:tab/>
      </w:r>
      <w:r>
        <w:fldChar w:fldCharType="begin"/>
      </w:r>
      <w:r>
        <w:instrText xml:space="preserve"> PAGEREF _Toc256000001 \h </w:instrText>
      </w:r>
      <w:r>
        <w:fldChar w:fldCharType="separate"/>
      </w:r>
      <w:r>
        <w:t>3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CoverNormalLeft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20"/>
          <w:titlePg/>
          <w:docGrid w:linePitch="360"/>
        </w:sectPr>
      </w:pPr>
      <w:r>
        <w:br w:type="page"/>
      </w:r>
    </w:p>
    <w:p>
      <w:pPr>
        <w:pStyle w:val="PageHeading"/>
      </w:pPr>
      <w:bookmarkStart w:id="0" w:name="_Toc256000001"/>
      <w:r>
        <w:t>NÁVRH USNESENÍ EVROPSKÉHO PARLAMENTU</w:t>
      </w:r>
      <w:bookmarkEnd w:id="0"/>
    </w:p>
    <w:p>
      <w:pPr>
        <w:pStyle w:val="NormalBold"/>
      </w:pPr>
      <w:r>
        <w:t>o evropském semestru pro koordinaci hospodářských politik: priority v oblasti zaměstnanosti a sociálních věcí pro rok 2024</w:t>
      </w:r>
    </w:p>
    <w:p>
      <w:pPr>
        <w:pStyle w:val="NormalBold"/>
      </w:pPr>
      <w:r>
        <w:t>(2023/2116(INI))</w:t>
      </w:r>
    </w:p>
    <w:p>
      <w:pPr>
        <w:pStyle w:val="EPComma"/>
      </w:pPr>
      <w:r>
        <w:rPr>
          <w:rStyle w:val="Italic"/>
        </w:rPr>
        <w:t>Evropský parlament</w:t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článek 3 Smlouvy o Evropské unii,</w:t>
      </w:r>
    </w:p>
    <w:p>
      <w:pPr>
        <w:pStyle w:val="NormalHanging12a"/>
      </w:pPr>
      <w:r>
        <w:t>–</w:t>
      </w:r>
      <w:r>
        <w:tab/>
      </w:r>
      <w:r>
        <w:t>s ohledem na články 9 a 149 Smlouvy o fungování Evropské unie (SFEU),</w:t>
      </w:r>
    </w:p>
    <w:p>
      <w:pPr>
        <w:pStyle w:val="NormalHanging12a"/>
      </w:pPr>
      <w:r>
        <w:t>–</w:t>
      </w:r>
      <w:r>
        <w:tab/>
      </w:r>
      <w:r>
        <w:t>s ohledem na sdělení Komise ze dne 21. listopadu 2023 nazvané „Roční analýza udržitelného růstu 2024“ (</w:t>
      </w:r>
      <w:r>
        <w:t>COM(2023)090</w:t>
      </w:r>
      <w:r>
        <w:t>1),</w:t>
      </w:r>
    </w:p>
    <w:p>
      <w:pPr>
        <w:pStyle w:val="NormalHanging12a"/>
      </w:pPr>
      <w:r>
        <w:t>–</w:t>
      </w:r>
      <w:r>
        <w:tab/>
      </w:r>
      <w:r>
        <w:t>s ohledem na návrh společné zprávy Komise a Rady o zaměstnanosti, který dne 21. listopadu 2023 předložila Komise (</w:t>
      </w:r>
      <w:r>
        <w:t>COM(2023)0904</w:t>
      </w:r>
      <w:r>
        <w:t>),</w:t>
      </w:r>
    </w:p>
    <w:p>
      <w:pPr>
        <w:pStyle w:val="NormalHanging12a"/>
      </w:pPr>
      <w:r>
        <w:t>–</w:t>
      </w:r>
      <w:r>
        <w:tab/>
      </w:r>
      <w:r>
        <w:t>s ohledem na doporučení Komise ze dne 21. listopadu 2023 pro doporučení Rady týkající se hospodářské politiky eurozóny (</w:t>
      </w:r>
      <w:r>
        <w:t>COM(2023)0903</w:t>
      </w:r>
      <w:r>
        <w:t>),</w:t>
      </w:r>
    </w:p>
    <w:p>
      <w:pPr>
        <w:pStyle w:val="NormalHanging12a"/>
      </w:pPr>
      <w:r>
        <w:t>–</w:t>
      </w:r>
      <w:r>
        <w:tab/>
      </w:r>
      <w:r>
        <w:t>s ohledem na sdělení Komise ze dne 21. listopadu 2023 nazvané „Zpráva mechanismu varování 2024“ (</w:t>
      </w:r>
      <w:r>
        <w:t>COM(2023)0902</w:t>
      </w:r>
      <w:r>
        <w:t>),</w:t>
      </w:r>
    </w:p>
    <w:p>
      <w:pPr>
        <w:pStyle w:val="NormalHanging12a"/>
      </w:pPr>
      <w:r>
        <w:t>–</w:t>
      </w:r>
      <w:r>
        <w:tab/>
      </w:r>
      <w:r>
        <w:t>s ohledem na sdělení Komise ze dne 21. listopadu 2023 o návrzích rozpočtových plánů na rok 2024: celkové posouzení (</w:t>
      </w:r>
      <w:r>
        <w:t>COM(2023)0900</w:t>
      </w:r>
      <w:r>
        <w:t>),</w:t>
      </w:r>
    </w:p>
    <w:p>
      <w:pPr>
        <w:pStyle w:val="NormalHanging12a"/>
      </w:pPr>
      <w:r>
        <w:t>–</w:t>
      </w:r>
      <w:r>
        <w:tab/>
      </w:r>
      <w:r>
        <w:t>s ohledem na evropský pilíř sociálních práv vyhlášený Radou, Parlamentem a Komisí v listopadu 2017,</w:t>
      </w:r>
    </w:p>
    <w:p>
      <w:pPr>
        <w:pStyle w:val="NormalHanging12a"/>
      </w:pPr>
      <w:r>
        <w:t>–</w:t>
      </w:r>
      <w:r>
        <w:tab/>
      </w:r>
      <w:r>
        <w:t>s ohledem na sdělení Komise ze dne 9. listopadu 2022 s názvem „Sdělení o směrech pro reformu rámce správy ekonomických záležitostí EU“ (</w:t>
      </w:r>
      <w:r>
        <w:t>COM(2022)0583</w:t>
      </w:r>
      <w:r>
        <w:t>),</w:t>
      </w:r>
    </w:p>
    <w:p>
      <w:pPr>
        <w:pStyle w:val="NormalHanging12a"/>
      </w:pPr>
      <w:r>
        <w:t>–</w:t>
      </w:r>
      <w:r>
        <w:tab/>
      </w:r>
      <w:r>
        <w:t xml:space="preserve">s ohledem na návrhu nařízení </w:t>
      </w:r>
      <w:r>
        <w:t>Evropského parlamentu</w:t>
      </w:r>
      <w:r>
        <w:t xml:space="preserve"> a Rady o účinné koordinaci hospodářských politik a mnohostranném rozpočtovém dohledu a o zrušení nařízení Rady (ES) č. 1466/97, který předložila Komise dne 26. dubna 2023 (</w:t>
      </w:r>
      <w:r>
        <w:t>COM(2023)0240</w:t>
      </w:r>
      <w:r>
        <w:t>),</w:t>
      </w:r>
    </w:p>
    <w:p>
      <w:pPr>
        <w:pStyle w:val="NormalHanging12a"/>
      </w:pPr>
      <w:r>
        <w:t>–</w:t>
      </w:r>
      <w:r>
        <w:tab/>
      </w:r>
      <w:r>
        <w:t>s ohledem na článek 54 jednacího řádu,</w:t>
      </w:r>
    </w:p>
    <w:p>
      <w:pPr>
        <w:pStyle w:val="NormalHanging12a"/>
      </w:pPr>
      <w:r>
        <w:t>–</w:t>
      </w:r>
      <w:r>
        <w:tab/>
      </w:r>
      <w:r>
        <w:t>s ohledem na zprávu Výboru pro zaměstnanost a sociální věci (A9-0000/2023),</w:t>
      </w:r>
    </w:p>
    <w:p>
      <w:pPr>
        <w:pStyle w:val="NormalHanging12a"/>
      </w:pPr>
      <w:r>
        <w:t>A.</w:t>
      </w:r>
      <w:r>
        <w:tab/>
      </w:r>
      <w:r>
        <w:t>vzhledem k tomu, že podle hospodářské prognózy Komise z podzimu 2023 vykazoval trh práce EU v první polovině roku 2023 i nadále dobré výsledky, a to navzdory zpomalení hospodářského růstu; vzhledem k tomu, že růst zaměstnanosti v EU by měl letos dosáhnout 1,0 %, přičemž v letech 2024 i 2025 se předpokládá pokles růstu na 0,4 %; vzhledem k tomu, že se očekává, že míra nezaměstnanosti v EU zůstane v letech 2023 a 2024 víceméně stabilní na úrovni 6,0 % a v roce 2025 se sníží na 5,9 %;</w:t>
      </w:r>
    </w:p>
    <w:p>
      <w:pPr>
        <w:pStyle w:val="NormalHanging12a"/>
      </w:pPr>
      <w:r>
        <w:t>B.</w:t>
      </w:r>
      <w:r>
        <w:tab/>
      </w:r>
      <w:r>
        <w:t>vzhledem k tomu, že roční analýza udržitelného růstu na rok 2024 zdůrazňuje, že navzdory výraznému zvýšení mezd v EU v roce 2022 a na začátku roku 2023 byly mzdy i nadále hluboko pod vysokou mírou inflace, což vedlo k poklesu kupní síly a nejvíce postihlo nižší příjmy; vzhledem k tomu, že reálné mzdy v EU klesly v roce 2022 o 3,7 %, čímž se zvýšilo riziko chudoby pracujících; vzhledem k tomu, že se od příštího roku očekává nárůst reálných mezd v důsledku pokračujícího růstu nominálních mezd a klesající inflace;</w:t>
      </w:r>
    </w:p>
    <w:p>
      <w:pPr>
        <w:pStyle w:val="NormalHanging12a"/>
      </w:pPr>
      <w:r>
        <w:t>C.</w:t>
      </w:r>
      <w:r>
        <w:tab/>
      </w:r>
      <w:r>
        <w:t>vzhledem k tomu, že hospodářská prognóza Komise z podzimu 2023 zdůraznila, že nejistota a rizika nepříznivého vývoje hospodářského výhledu se v posledních měsících zvýšila a že transmise zpřísnění měnové politiky může mít dopad na hospodářskou činnost déle a ve větší míře, než se předpokládá v této prognóze, neboť adaptace financí podniků, domácností a států na prostředí s vysokými úrokovými sazbami by mohla být náročnější;</w:t>
      </w:r>
    </w:p>
    <w:p>
      <w:pPr>
        <w:pStyle w:val="NormalHanging12a"/>
      </w:pPr>
      <w:r>
        <w:t>D.</w:t>
      </w:r>
      <w:r>
        <w:tab/>
      </w:r>
      <w:r>
        <w:t>vzhledem k tomu, že digitální a ekologická transformace by mohly mít významný dopad na životní prostředí a dotčené občany, ale také na hospodářství, včetně trhu práce;</w:t>
      </w:r>
    </w:p>
    <w:p>
      <w:pPr>
        <w:pStyle w:val="NormalHanging12a"/>
      </w:pPr>
      <w:r>
        <w:t>E.</w:t>
      </w:r>
      <w:r>
        <w:tab/>
      </w:r>
      <w:r>
        <w:t>vzhledem k tomu, že pokud jde o obecnou únikovou doložku Paktu o stabilitě a růstu, jejíž platnost skončí na konci roku 2023, musí fiskální politika podporovat měnovou politiku při snižování inflace a zajistit fiskální udržitelnost a současně poskytnout dostatečný prostor pro další investice, včetně investic do sociální infrastruktury a služeb a podpory dlouhodobého růstu;</w:t>
      </w:r>
    </w:p>
    <w:p>
      <w:pPr>
        <w:pStyle w:val="NormalHanging12a"/>
      </w:pPr>
      <w:r>
        <w:t>F.</w:t>
      </w:r>
      <w:r>
        <w:tab/>
      </w:r>
      <w:r>
        <w:t>vzhledem k tomu, že společná zpráva o zaměstnanosti za rok 2024 obsahuje první posouzení současného stavu v členských státech, pokud jde o tři hlavní cíle na rok 2030, a poukazuje na: dobrý pokrok v plnění cíle v oblasti zaměstnanosti, kdy míra zaměstnanosti činí 74,6 %, avšak vyskytují se výrazné rozdíly v závislosti na pohlaví a věku; pokrok většiny členských států při plnění jejich vnitrostátních cílů týkajících se snižování chudoby, avšak tendence v opačném směru u jiných členských států; nutnost významně pokročit ve snaze o splnění hlavního cíle EU, kterým je zajistit v EU do roku 2030 každoročně 60% podíl dospělých na vzdělávání, a tedy zvýšit tento podíl z 37,4 % vykazovaných v roce 2016;</w:t>
      </w:r>
    </w:p>
    <w:p>
      <w:pPr>
        <w:pStyle w:val="NormalHanging12a"/>
      </w:pPr>
      <w:r>
        <w:t>G.</w:t>
      </w:r>
      <w:r>
        <w:tab/>
      </w:r>
      <w:r>
        <w:t>vzhledem k tomu, že začlenění rámce sociální konvergence do evropského semestru by mělo podpořit vzestupnou sociální konvergenci a zlepšit hodnocení a sledování vývoje v oblasti zaměstnanosti a sociální oblasti v členských státech a v EU tím, že ve společné zprávě o zaměstnanosti založené na hlavních ukazatelích srovnávacího přehledu sociálních ukazatelů budou označena rizika ohrožující v členských státech vzestupnou konvergenci a že Komise zveřejní zprávy o sociální konvergenci pro ty členské státy, u nichž bylo zjištěno, že čelí rizikům ohrožujícím vzestupnou sociální konvergenci;</w:t>
      </w:r>
    </w:p>
    <w:p>
      <w:pPr>
        <w:pStyle w:val="NormalHanging12a"/>
      </w:pPr>
      <w:r>
        <w:t>H.</w:t>
      </w:r>
      <w:r>
        <w:tab/>
      </w:r>
      <w:r>
        <w:t>vzhledem k tomu, že kvalifikovaní pracovníci, kteří mohou reagovat na požadavky trhu práce a vzdělávání, odborné přípravy a celoživotního učení, mají klíčový význam pro zajištění udržitelného růstu, výraznějších inovací, konkurenceschopnosti a udržitelné a spravedlivé transformace hospodářství EU;</w:t>
      </w:r>
    </w:p>
    <w:p>
      <w:pPr>
        <w:pStyle w:val="NormalHanging12a"/>
      </w:pPr>
      <w:r>
        <w:t>I.</w:t>
      </w:r>
      <w:r>
        <w:tab/>
      </w:r>
      <w:r>
        <w:t>vzhledem k tomu, že v důsledku stárnutí obyvatelstva rychle roste počet osob starších 65 let a zároveň na stále vyšší počet kritických pracovních míst nelze nalézt vhodné kandidáty, kteří by zaplnili volné pozice, což vede k poklesu počtu zaměstnanců financujících model sociálního zabezpečení v EU;</w:t>
      </w:r>
    </w:p>
    <w:p>
      <w:pPr>
        <w:pStyle w:val="NormalHanging12a"/>
      </w:pPr>
      <w:r>
        <w:t>J.</w:t>
      </w:r>
      <w:r>
        <w:tab/>
      </w:r>
      <w:r>
        <w:t>vzhledem k tomu, že Parlament opakovaně zdůrazňoval, že je důležité, aby se pravidelným a strukturovaným způsobem podílel na procesu evropského semestru a dialogu, a zvýšila se tak transparentnost, demokratická odpovědnost a odpovědnost za přijatá rozhodnutí, a to zejména prostřednictvím hospodářského a sociálního dialogu;</w:t>
      </w:r>
    </w:p>
    <w:p>
      <w:pPr>
        <w:pStyle w:val="NormalHanging12a"/>
      </w:pPr>
      <w:r>
        <w:t>1.</w:t>
      </w:r>
      <w:r>
        <w:tab/>
      </w:r>
      <w:r>
        <w:t>zdůrazňuje, že jedním z cílů udržitelného hospodářského růstu musí být zajištění inkluzivní sociálně-ekologické a digitální transformace našich ekonomik, aby se zabránilo sociální, hospodářské, digitální a environmentální nerovnováze, čehož je třeba dosáhnout bojem proti chudobě, snižováním nerovností a vytvářením důstojných pracovních míst s přiměřenými mzdami a pracovními podmínkami a zároveň zajištěním souladu s cíli udržitelného rozvoje a s evropským pilířem sociálních práv a posílením hospodářské, sociální a územní soudržnosti;</w:t>
      </w:r>
    </w:p>
    <w:p>
      <w:pPr>
        <w:pStyle w:val="NormalHanging12a"/>
      </w:pPr>
      <w:r>
        <w:t>2.</w:t>
      </w:r>
      <w:r>
        <w:tab/>
      </w:r>
      <w:r>
        <w:t>zdůrazňuje význam aktuálního sledování trhu práce a poptávky a nabídky dovedností na profesní, odvětvové a regionální úrovni s cílem pomoci zjišťovat a předvídat příslušné potřebné profesní a průřezové dovednosti;</w:t>
      </w:r>
    </w:p>
    <w:p>
      <w:pPr>
        <w:pStyle w:val="NormalHanging12a"/>
      </w:pPr>
      <w:r>
        <w:t>3.</w:t>
      </w:r>
      <w:r>
        <w:tab/>
      </w:r>
      <w:r>
        <w:t>zdůrazňuje, že je třeba výrazně investovat do lidí a nabízet kvalitní, inkluzivní a dotované vzdělávání a odbornou přípravu v oblastech souvisejících s potřebami v oblasti dovedností a kompetencí, po nichž je poptávka na trzích práce a v odvětvích orientovaných na budoucnost podle místních a regionálních potřeb; dále zdůrazňuje, že je třeba řešit nesoulad mezi nabízenými a požadovanými dovednostmi a nedostatky na trhu práce; zdůrazňuje, že je třeba zajistit, aby pracovníci byli připraveni na ekologickou a digitální transformaci, aby mohli těžit z možností spočívajících v novém zaměstnání nebo v kariérním postupu, a aby programy odborné přípravy a vzdělávání byly v souladu s potřebami planety, hospodářství a společnosti budoucnosti;</w:t>
      </w:r>
    </w:p>
    <w:p>
      <w:pPr>
        <w:pStyle w:val="NormalHanging12a"/>
      </w:pPr>
      <w:r>
        <w:t>4.</w:t>
      </w:r>
      <w:r>
        <w:tab/>
      </w:r>
      <w:r>
        <w:t>zdůrazňuje, že je třeba zvážit distribuci kvalitních pracovních míst ve společnosti s ohledem na chudobu a sociální vyloučení, které převažují v určitých skupinách, aby bylo možné lépe koncipovat individualizované aktivační politiky a politiky začleňování; zdůrazňuje, že je důležité věnovat zvláštní pozornost mladší generaci, která se stále potýká s potížemi při vstupu na trh práce, a dětem, které jsou více ohroženy chudobou a sociálním vyloučením; v této souvislosti trvá na tom, že v zájmu posílení schopnosti členských států podporovat vzestupnou sociální konvergenci je třeba lépe posuzovat dopad stávajících politik;</w:t>
      </w:r>
    </w:p>
    <w:p>
      <w:pPr>
        <w:pStyle w:val="NormalHanging12a"/>
      </w:pPr>
      <w:r>
        <w:t>5.</w:t>
      </w:r>
      <w:r>
        <w:tab/>
      </w:r>
      <w:r>
        <w:t>připomíná, že vytváření kvalitních pracovních míst a uplatňování strategií pro jejich udržení je nejlepší způsob, jak přilákat kvalifikovanou pracovní sílu, a vybízí zaměstnavatele, aby investovali do svých pracovníků; zdůrazňuje, že potíže s náborem pracovníků a nedostatek pracovních sil se vyskytují zejména v odvětvích s náročnými pracovními podmínkami a nízkou kvalitou pracovních míst; zdůrazňuje, že vytváření kvalitních a dobře placených pracovních míst, která zlepšují kvalitu života, má proto zásadní význam;</w:t>
      </w:r>
    </w:p>
    <w:p>
      <w:pPr>
        <w:pStyle w:val="NormalHanging12a"/>
      </w:pPr>
      <w:r>
        <w:t>6.</w:t>
      </w:r>
      <w:r>
        <w:tab/>
      </w:r>
      <w:r>
        <w:t>podporuje navýšení finančních prostředků EU určených na sociální cíle a podporu investic, které jsou orientovány na budoucnost, zaměřeny na spravedlivou ekologickou a digitální transformaci a mají silný sociální rozměr, včetně investic do rovnosti žen a mužů a rovného přístupu k základním službám, např. ke vzdělávání, zdravotnictví a digitální infrastruktuře; zdůrazňuje, že na všech úrovních je třeba, aby finanční nástroje byly méně roztříštěné a více kombinované a sdružené;</w:t>
      </w:r>
    </w:p>
    <w:p>
      <w:pPr>
        <w:pStyle w:val="NormalHanging12a"/>
      </w:pPr>
      <w:r>
        <w:t>7.</w:t>
      </w:r>
      <w:r>
        <w:tab/>
      </w:r>
      <w:r>
        <w:t>domnívá se, že fiskální pravidla EU by měla umožňovat nezbytné veřejné investice a financování spravedlivého přechodu na bezuhlíkové hospodářství, jakož i řádné provádění zásad evropského pilíře sociálních práv a sociálních investic; zdůrazňuje, že ačkoli je třeba snížit veřejný dluh v přiměřené době, menší nebo zadluženější členské státy potřebují flexibilnější individuální postupy korekce, které jim poskytnou dostatečný fiskální prostor k tomu, aby provedly investice a reformy potřebné pro sociálně spravedlivou ekologickou a digitální transformaci způsobem, který nikoho neopomíjí;</w:t>
      </w:r>
    </w:p>
    <w:p>
      <w:pPr>
        <w:pStyle w:val="NormalHanging12a"/>
      </w:pPr>
      <w:r>
        <w:t>8.</w:t>
      </w:r>
      <w:r>
        <w:tab/>
      </w:r>
      <w:r>
        <w:t>připomíná členským státům jejich závazek provádět reformy a investice, které mají sociální dopad a přispívají k hospodářské, sociální a územní soudržnosti EU a udržitelnému růstu podporujícímu začlenění a napomáhají rovněž k uskutečňování evropského pilíře sociálních práv prostřednictvím jejich národních plánů na podporu oživení a odolnosti; v tomto smyslu vyzývá k začlenění evropského pilíře sociálních práv do všech fondů EU, a to zavedením sociální podmíněnosti do jejich pravidel pro přidělování prostředků v rámci finančního nařízení</w:t>
      </w:r>
      <w:r>
        <w:rPr>
          <w:rStyle w:val="FootnoteReference"/>
        </w:rPr>
        <w:footnoteReference w:id="0"/>
      </w:r>
      <w:r>
        <w:t>, které se vztahuje na souhrnný rozpočet EU;</w:t>
      </w:r>
    </w:p>
    <w:p>
      <w:pPr>
        <w:pStyle w:val="NormalHanging12a"/>
      </w:pPr>
      <w:r>
        <w:t>9.</w:t>
      </w:r>
      <w:r>
        <w:tab/>
      </w:r>
      <w:r>
        <w:t>bere na vědomí návrhy Komise na nové předpisy, jež by měly být zavedeny v rámci revize rámce pro správu ekonomických záležitostí z dubna 2023 s cílem posílit udržitelnost dluhu a zlepšit udržitelný růst podporující začlenění prostřednictvím investic a reforem, včetně postupů fiskální korekce, které umožňují sociální investice; vyzývá Komisi, aby posoudila, jaké výdaje a investice jsou nezbytné ke splnění dlouhodobých socioekonomických cílů, jež je nutné k dosažení milníků v národních plánech pro oživení a odolnost; vyzývá Komisi, aby na základě tohoto posouzení navrhla nový systém výpočtu nadměrného schodku s cílem zvýšit spravedlnost během ekologické a digitální transformace, sociální odolnost a provádění evropského pilíře sociálních práv a zároveň zajistit udržitelnost veřejných financí v členských státech;</w:t>
      </w:r>
    </w:p>
    <w:p>
      <w:pPr>
        <w:pStyle w:val="NormalHanging12a"/>
      </w:pPr>
      <w:r>
        <w:t>10.</w:t>
      </w:r>
      <w:r>
        <w:tab/>
      </w:r>
      <w:r>
        <w:t>vyzývá Komisi, aby vytvořila strukturu správy ekonomických záležitostí v EU založenou na transparentnosti, odpovědnosti, solidaritě, integraci, sociální spravedlnosti, konvergenci, genderové rovnosti, kvalitních veřejných službách, včetně kvalitního systému veřejného vzdělávání pro všechny, kvalitní zaměstnanosti a udržitelném rozvoji;</w:t>
      </w:r>
    </w:p>
    <w:p>
      <w:pPr>
        <w:pStyle w:val="NormalHanging12a"/>
      </w:pPr>
      <w:r>
        <w:t>11.</w:t>
      </w:r>
      <w:r>
        <w:tab/>
      </w:r>
      <w:r>
        <w:t>vítá skutečnost, že v zájmu podpory vzestupné sociální konvergence byl postup mnohostranného dohledu stanovený v čl. 148 odst. 4 SFEU poprvé doplněn systémem včasného varování v rámci evropského semestru prostřednictvím rámce sociální konvergence, který by mohl podpořit nápravu rizik ohrožujících sociální konvergenci, jež byla zjištěna pomocí hlavních ukazatelů srovnávacího přehledu sociálních ukazatelů a zpráv o sociální konvergenci zveřejněných Komisí; zdůrazňuje, že je důležité zahrnout do doporučení pro jednotlivé země rizika spojená s prohlubováním sociálních rozdílů, zejména ta, která se týkají raného rozvoje člověka a mohou mít pro jednotlivce dlouhodobé následky, jako je rovný přístup ke kvalitnímu vzdělávání a zdravotní péči, a zdůrazňuje, že je důležité je zohlednit při definování postupů fiskální korekce;</w:t>
      </w:r>
    </w:p>
    <w:p>
      <w:pPr>
        <w:pStyle w:val="NormalHanging12a"/>
      </w:pPr>
      <w:r>
        <w:t>12.</w:t>
      </w:r>
      <w:r>
        <w:tab/>
      </w:r>
      <w:r>
        <w:t>vyzývá k demokratičtějšímu procesu evropského semestru, v jehož rámci by byl Parlament zejména úzce zapojen do stanovování priorit makroekonomické a sociální politiky; domnívá se, že revidovaný proces evropského semestru by se měl řídit řádným legislativním postupem a měl by tak být dohodnut mezi Radou a Parlamentem;</w:t>
      </w:r>
    </w:p>
    <w:p>
      <w:pPr>
        <w:pStyle w:val="NormalHanging12a"/>
      </w:pPr>
      <w:r>
        <w:t>13.</w:t>
      </w:r>
      <w:r>
        <w:tab/>
      </w:r>
      <w:r>
        <w:t>znovu potvrzuje úlohu sociálních partnerů při posilování sociálního dialogu a domnívá se, že revize procesu evropského semestru by měla podporovat další dialog s příslušnými zúčastněnými stranami, zejména s příslušnými sociálními partnery a organizacemi občanské společnosti, a to ve vhodných případech dialog o hlavních politických otázkách v souladu s ustanoveními SFEU a vnitrostátními právními a politickými ujednáními;</w:t>
      </w:r>
    </w:p>
    <w:p>
      <w:pPr>
        <w:pStyle w:val="NormalHanging12a"/>
      </w:pPr>
      <w:r>
        <w:t>14.</w:t>
      </w:r>
      <w:r>
        <w:tab/>
      </w:r>
      <w:r>
        <w:t>pověřuje svou předsedkyni, aby předala toto usnesení Radě a Komisi.</w:t>
      </w:r>
    </w:p>
    <w:p>
      <w:pPr>
        <w:pStyle w:val="Normal12a"/>
      </w:pPr>
    </w:p>
    <w:sectPr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757.055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7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PR\1291669CS.docx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PR\1291669CS.docx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7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757.055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PR\1291669CS.docx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757.055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color w:val="0000FF"/>
            <w:u w:val="single" w:color="0000FF"/>
          </w:rPr>
          <w:t>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 a (EU) č. 283/2014 a rozhodnutí č. 541/2014/EU a zrušuje nařízení (EU, Euratom) č. 966/2012 (Úř. věst. L 193, 30.7.2018, s. 1).</w:t>
        </w:r>
      </w:hyperlink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numbering" Target="numbering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18/1046/oj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1291669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20231220-090903-000880-733587</vt:lpwstr>
  </property>
  <property fmtid="{D5CDD505-2E9C-101B-9397-08002B2CF9AE}" pid="7" name="FooterPath">
    <vt:lpwstr>PR\1291669CS.doc</vt:lpwstr>
  </property>
  <property fmtid="{D5CDD505-2E9C-101B-9397-08002B2CF9AE}" pid="8" name="PE Number">
    <vt:lpwstr>757.055</vt:lpwstr>
  </property>
  <property fmtid="{D5CDD505-2E9C-101B-9397-08002B2CF9AE}" pid="9" name="UID">
    <vt:lpwstr>eu.europa.europarl-DIN1-2023-0000163928_01.06-cs-01.00_text-xml</vt:lpwstr>
  </property>
</Properties>
</file>