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AF3419" w14:paraId="22B7727B" w14:textId="77777777" w:rsidTr="000219CF">
        <w:trPr>
          <w:trHeight w:hRule="exact" w:val="1418"/>
        </w:trPr>
        <w:tc>
          <w:tcPr>
            <w:tcW w:w="6804" w:type="dxa"/>
            <w:shd w:val="clear" w:color="auto" w:fill="auto"/>
            <w:vAlign w:val="center"/>
          </w:tcPr>
          <w:p w14:paraId="351087CB" w14:textId="77777777" w:rsidR="00C93A60" w:rsidRPr="00AF3419" w:rsidRDefault="00626460" w:rsidP="000219CF">
            <w:pPr>
              <w:pStyle w:val="EPName"/>
            </w:pPr>
            <w:bookmarkStart w:id="0" w:name="_GoBack"/>
            <w:bookmarkEnd w:id="0"/>
            <w:r w:rsidRPr="00AF3419">
              <w:t>Euroopan parlamentti</w:t>
            </w:r>
          </w:p>
          <w:p w14:paraId="563636A9" w14:textId="77777777" w:rsidR="00C93A60" w:rsidRPr="00AF3419" w:rsidRDefault="00632C11" w:rsidP="00632C11">
            <w:pPr>
              <w:pStyle w:val="EPTerm"/>
            </w:pPr>
            <w:r w:rsidRPr="00AF3419">
              <w:t>2024-2029</w:t>
            </w:r>
          </w:p>
        </w:tc>
        <w:tc>
          <w:tcPr>
            <w:tcW w:w="2268" w:type="dxa"/>
            <w:shd w:val="clear" w:color="auto" w:fill="auto"/>
          </w:tcPr>
          <w:p w14:paraId="78DBC8E8" w14:textId="77777777" w:rsidR="00C93A60" w:rsidRPr="00AF3419" w:rsidRDefault="00C93A60" w:rsidP="000219CF">
            <w:pPr>
              <w:pStyle w:val="EPLogo"/>
            </w:pPr>
            <w:r w:rsidRPr="00AF3419">
              <w:rPr>
                <w:noProof/>
              </w:rPr>
              <w:drawing>
                <wp:inline distT="0" distB="0" distL="0" distR="0" wp14:anchorId="5DCFBD46" wp14:editId="059D19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AF9872" w14:textId="77777777" w:rsidR="00E3537C" w:rsidRPr="00AF3419" w:rsidRDefault="00E3537C" w:rsidP="00E3537C">
      <w:pPr>
        <w:pStyle w:val="LineTop"/>
      </w:pPr>
    </w:p>
    <w:p w14:paraId="55783D5B" w14:textId="77777777" w:rsidR="00E3537C" w:rsidRPr="00AF3419" w:rsidRDefault="00E3537C" w:rsidP="00E3537C">
      <w:pPr>
        <w:pStyle w:val="EPBody"/>
      </w:pPr>
      <w:r w:rsidRPr="00AF3419">
        <w:rPr>
          <w:rStyle w:val="HideTWBExt"/>
          <w:i w:val="0"/>
        </w:rPr>
        <w:t>&lt;Commission&gt;</w:t>
      </w:r>
      <w:r w:rsidRPr="00AF3419">
        <w:rPr>
          <w:rStyle w:val="HideTWBInt"/>
        </w:rPr>
        <w:t>{EMPL}</w:t>
      </w:r>
      <w:r w:rsidRPr="00AF3419">
        <w:t>Työllisyyden ja sosiaaliasioiden valiokunta</w:t>
      </w:r>
      <w:r w:rsidRPr="00AF3419">
        <w:rPr>
          <w:rStyle w:val="HideTWBExt"/>
          <w:i w:val="0"/>
        </w:rPr>
        <w:t>&lt;/Commission&gt;</w:t>
      </w:r>
    </w:p>
    <w:p w14:paraId="00D6B44A" w14:textId="77777777" w:rsidR="00E3537C" w:rsidRPr="00AF3419" w:rsidRDefault="00E3537C" w:rsidP="00E3537C">
      <w:pPr>
        <w:pStyle w:val="LineBottom"/>
      </w:pPr>
    </w:p>
    <w:p w14:paraId="47CF2165" w14:textId="77777777" w:rsidR="00100069" w:rsidRPr="00AF3419" w:rsidRDefault="00100069">
      <w:pPr>
        <w:pStyle w:val="CoverReference"/>
      </w:pPr>
      <w:r w:rsidRPr="00AF3419">
        <w:rPr>
          <w:rStyle w:val="HideTWBExt"/>
          <w:b w:val="0"/>
        </w:rPr>
        <w:t>&lt;RefProc&gt;</w:t>
      </w:r>
      <w:r w:rsidRPr="00AF3419">
        <w:t>2024/xxxx</w:t>
      </w:r>
      <w:r w:rsidRPr="00AF3419">
        <w:rPr>
          <w:rStyle w:val="HideTWBExt"/>
          <w:b w:val="0"/>
        </w:rPr>
        <w:t>&lt;/RefProc&gt;&lt;RefTypeProc&gt;</w:t>
      </w:r>
      <w:r w:rsidRPr="00AF3419">
        <w:t>(INI)</w:t>
      </w:r>
      <w:r w:rsidRPr="00AF3419">
        <w:rPr>
          <w:rStyle w:val="HideTWBExt"/>
          <w:b w:val="0"/>
        </w:rPr>
        <w:t>&lt;/RefTypeProc&gt;</w:t>
      </w:r>
    </w:p>
    <w:p w14:paraId="70410777" w14:textId="77777777" w:rsidR="00100069" w:rsidRPr="00AF3419" w:rsidRDefault="00100069">
      <w:pPr>
        <w:pStyle w:val="CoverDate"/>
      </w:pPr>
      <w:r w:rsidRPr="00AF3419">
        <w:rPr>
          <w:rStyle w:val="HideTWBExt"/>
        </w:rPr>
        <w:t>&lt;Date&gt;</w:t>
      </w:r>
      <w:r w:rsidRPr="00AF3419">
        <w:rPr>
          <w:rStyle w:val="HideTWBInt"/>
        </w:rPr>
        <w:t>{24/10/2024}</w:t>
      </w:r>
      <w:r w:rsidRPr="00AF3419">
        <w:t>24.10.2024</w:t>
      </w:r>
      <w:r w:rsidRPr="00AF3419">
        <w:rPr>
          <w:rStyle w:val="HideTWBExt"/>
        </w:rPr>
        <w:t>&lt;/Date&gt;</w:t>
      </w:r>
    </w:p>
    <w:p w14:paraId="09C85B7E" w14:textId="77777777" w:rsidR="00100069" w:rsidRPr="00AF3419" w:rsidRDefault="00100069">
      <w:pPr>
        <w:pStyle w:val="CoverDocType24a"/>
      </w:pPr>
      <w:r w:rsidRPr="00AF3419">
        <w:rPr>
          <w:rStyle w:val="HideTWBExt"/>
          <w:b w:val="0"/>
        </w:rPr>
        <w:t>&lt;TitreType&gt;</w:t>
      </w:r>
      <w:r w:rsidRPr="00AF3419">
        <w:t>MIETINTÖLUONNOS</w:t>
      </w:r>
      <w:r w:rsidRPr="00AF3419">
        <w:rPr>
          <w:rStyle w:val="HideTWBExt"/>
          <w:b w:val="0"/>
        </w:rPr>
        <w:t>&lt;/TitreType&gt;</w:t>
      </w:r>
    </w:p>
    <w:p w14:paraId="666A9C9B" w14:textId="77777777" w:rsidR="00100069" w:rsidRPr="00AF3419" w:rsidRDefault="00100069">
      <w:pPr>
        <w:pStyle w:val="CoverNormal"/>
      </w:pPr>
      <w:r w:rsidRPr="00AF3419">
        <w:rPr>
          <w:rStyle w:val="HideTWBExt"/>
        </w:rPr>
        <w:t>&lt;Titre&gt;</w:t>
      </w:r>
      <w:r w:rsidRPr="00AF3419">
        <w:t>Euroopan sosiaalirahasto plussasta vuoden 2027 jälkeen</w:t>
      </w:r>
      <w:r w:rsidRPr="00AF3419">
        <w:rPr>
          <w:rStyle w:val="HideTWBExt"/>
        </w:rPr>
        <w:t>&lt;/Titre&gt;</w:t>
      </w:r>
    </w:p>
    <w:p w14:paraId="2306CA1D" w14:textId="77777777" w:rsidR="00100069" w:rsidRPr="00AF3419" w:rsidRDefault="00100069">
      <w:pPr>
        <w:pStyle w:val="CoverNormal24a"/>
      </w:pPr>
      <w:r w:rsidRPr="00AF3419">
        <w:rPr>
          <w:rStyle w:val="HideTWBExt"/>
        </w:rPr>
        <w:t>&lt;DocRef&gt;</w:t>
      </w:r>
      <w:r w:rsidRPr="00AF3419">
        <w:t>(2024/xxxx(INI))</w:t>
      </w:r>
      <w:r w:rsidRPr="00AF3419">
        <w:rPr>
          <w:rStyle w:val="HideTWBExt"/>
        </w:rPr>
        <w:t>&lt;/DocRef&gt;</w:t>
      </w:r>
    </w:p>
    <w:p w14:paraId="56849246" w14:textId="77777777" w:rsidR="00100069" w:rsidRPr="00AF3419" w:rsidRDefault="00100069">
      <w:pPr>
        <w:pStyle w:val="CoverNormal24a"/>
      </w:pPr>
      <w:r w:rsidRPr="00AF3419">
        <w:rPr>
          <w:rStyle w:val="HideTWBExt"/>
        </w:rPr>
        <w:t>&lt;Commission&gt;</w:t>
      </w:r>
      <w:r w:rsidRPr="00AF3419">
        <w:rPr>
          <w:rStyle w:val="HideTWBInt"/>
        </w:rPr>
        <w:t>{EMPL}</w:t>
      </w:r>
      <w:r w:rsidRPr="00AF3419">
        <w:t>Työllisyyden ja sosiaaliasioiden valiokunta</w:t>
      </w:r>
      <w:r w:rsidRPr="00AF3419">
        <w:rPr>
          <w:rStyle w:val="HideTWBExt"/>
        </w:rPr>
        <w:t>&lt;/Commission&gt;</w:t>
      </w:r>
    </w:p>
    <w:p w14:paraId="36EC7C2B" w14:textId="77777777" w:rsidR="00100069" w:rsidRPr="00AF3419" w:rsidRDefault="00626460">
      <w:pPr>
        <w:pStyle w:val="CoverNormal24a"/>
      </w:pPr>
      <w:r w:rsidRPr="00AF3419">
        <w:t xml:space="preserve">Esittelijä: </w:t>
      </w:r>
      <w:r w:rsidRPr="00AF3419">
        <w:rPr>
          <w:rStyle w:val="HideTWBExt"/>
        </w:rPr>
        <w:t>&lt;Depute&gt;</w:t>
      </w:r>
      <w:r w:rsidRPr="00AF3419">
        <w:t>Marit Maij</w:t>
      </w:r>
      <w:r w:rsidRPr="00AF3419">
        <w:rPr>
          <w:rStyle w:val="HideTWBExt"/>
        </w:rPr>
        <w:t>&lt;/Depute&gt;</w:t>
      </w:r>
    </w:p>
    <w:p w14:paraId="29645750" w14:textId="77777777" w:rsidR="00E155CA" w:rsidRPr="00AF3419" w:rsidRDefault="00E155CA" w:rsidP="00E155CA">
      <w:pPr>
        <w:pStyle w:val="CoverNormal"/>
      </w:pPr>
    </w:p>
    <w:p w14:paraId="09765BCD" w14:textId="77777777" w:rsidR="00100069" w:rsidRPr="00AF3419" w:rsidRDefault="00100069" w:rsidP="002544DF">
      <w:pPr>
        <w:widowControl/>
        <w:tabs>
          <w:tab w:val="center" w:pos="4677"/>
        </w:tabs>
      </w:pPr>
      <w:r w:rsidRPr="00AF3419">
        <w:br w:type="page"/>
      </w:r>
      <w:r w:rsidRPr="00AF3419">
        <w:lastRenderedPageBreak/>
        <w:t>PR_INI</w:t>
      </w:r>
    </w:p>
    <w:p w14:paraId="1CAC82BE" w14:textId="77777777" w:rsidR="00100069" w:rsidRPr="00AF3419" w:rsidRDefault="00626460">
      <w:pPr>
        <w:pStyle w:val="TOCHeading"/>
      </w:pPr>
      <w:r w:rsidRPr="00AF3419">
        <w:t>SISÄLTÖ</w:t>
      </w:r>
    </w:p>
    <w:p w14:paraId="21208080" w14:textId="77777777" w:rsidR="00100069" w:rsidRPr="00AF3419" w:rsidRDefault="00626460">
      <w:pPr>
        <w:pStyle w:val="TOCPage"/>
      </w:pPr>
      <w:r w:rsidRPr="00AF3419">
        <w:t>Sivu</w:t>
      </w:r>
    </w:p>
    <w:p w14:paraId="03E255D6" w14:textId="607F98D7" w:rsidR="00BF46CD" w:rsidRDefault="002544DF">
      <w:pPr>
        <w:pStyle w:val="TOC1"/>
        <w:tabs>
          <w:tab w:val="right" w:leader="dot" w:pos="9060"/>
        </w:tabs>
        <w:rPr>
          <w:rFonts w:asciiTheme="minorHAnsi" w:eastAsiaTheme="minorEastAsia" w:hAnsiTheme="minorHAnsi" w:cstheme="minorBidi"/>
          <w:noProof/>
          <w:sz w:val="22"/>
          <w:szCs w:val="22"/>
          <w:lang w:val="en-GB"/>
        </w:rPr>
      </w:pPr>
      <w:r w:rsidRPr="00AF3419">
        <w:rPr>
          <w:b/>
        </w:rPr>
        <w:fldChar w:fldCharType="begin"/>
      </w:r>
      <w:r w:rsidRPr="00AF3419">
        <w:rPr>
          <w:b/>
        </w:rPr>
        <w:instrText xml:space="preserve"> TOC \t "PageHeading</w:instrText>
      </w:r>
      <w:r w:rsidR="00DD435C" w:rsidRPr="00AF3419">
        <w:rPr>
          <w:b/>
        </w:rPr>
        <w:instrText>;</w:instrText>
      </w:r>
      <w:r w:rsidRPr="00AF3419">
        <w:rPr>
          <w:b/>
        </w:rPr>
        <w:instrText xml:space="preserve">1" </w:instrText>
      </w:r>
      <w:r w:rsidRPr="00AF3419">
        <w:rPr>
          <w:b/>
        </w:rPr>
        <w:fldChar w:fldCharType="separate"/>
      </w:r>
      <w:r w:rsidR="00BF46CD">
        <w:rPr>
          <w:noProof/>
        </w:rPr>
        <w:t>EUROOPAN PARLAMENTIN PÄÄTÖSLAUSELMAESITYS</w:t>
      </w:r>
      <w:r w:rsidR="00BF46CD">
        <w:rPr>
          <w:noProof/>
        </w:rPr>
        <w:tab/>
      </w:r>
      <w:r w:rsidR="00BF46CD">
        <w:rPr>
          <w:noProof/>
        </w:rPr>
        <w:fldChar w:fldCharType="begin"/>
      </w:r>
      <w:r w:rsidR="00BF46CD">
        <w:rPr>
          <w:noProof/>
        </w:rPr>
        <w:instrText xml:space="preserve"> PAGEREF _Toc181950780 \h </w:instrText>
      </w:r>
      <w:r w:rsidR="00BF46CD">
        <w:rPr>
          <w:noProof/>
        </w:rPr>
      </w:r>
      <w:r w:rsidR="00BF46CD">
        <w:rPr>
          <w:noProof/>
        </w:rPr>
        <w:fldChar w:fldCharType="separate"/>
      </w:r>
      <w:r w:rsidR="00BF46CD">
        <w:rPr>
          <w:noProof/>
        </w:rPr>
        <w:t>3</w:t>
      </w:r>
      <w:r w:rsidR="00BF46CD">
        <w:rPr>
          <w:noProof/>
        </w:rPr>
        <w:fldChar w:fldCharType="end"/>
      </w:r>
    </w:p>
    <w:p w14:paraId="1D0398F5" w14:textId="0DBE3516" w:rsidR="00BF46CD" w:rsidRDefault="00BF46CD">
      <w:pPr>
        <w:pStyle w:val="TOC1"/>
        <w:tabs>
          <w:tab w:val="right" w:leader="dot" w:pos="9060"/>
        </w:tabs>
        <w:rPr>
          <w:rFonts w:asciiTheme="minorHAnsi" w:eastAsiaTheme="minorEastAsia" w:hAnsiTheme="minorHAnsi" w:cstheme="minorBidi"/>
          <w:noProof/>
          <w:sz w:val="22"/>
          <w:szCs w:val="22"/>
          <w:lang w:val="en-GB"/>
        </w:rPr>
      </w:pPr>
      <w:r>
        <w:rPr>
          <w:noProof/>
        </w:rPr>
        <w:t>PERUSTELUT</w:t>
      </w:r>
      <w:r>
        <w:rPr>
          <w:noProof/>
        </w:rPr>
        <w:tab/>
      </w:r>
      <w:r>
        <w:rPr>
          <w:noProof/>
        </w:rPr>
        <w:fldChar w:fldCharType="begin"/>
      </w:r>
      <w:r>
        <w:rPr>
          <w:noProof/>
        </w:rPr>
        <w:instrText xml:space="preserve"> PAGEREF _Toc181950781 \h </w:instrText>
      </w:r>
      <w:r>
        <w:rPr>
          <w:noProof/>
        </w:rPr>
      </w:r>
      <w:r>
        <w:rPr>
          <w:noProof/>
        </w:rPr>
        <w:fldChar w:fldCharType="separate"/>
      </w:r>
      <w:r>
        <w:rPr>
          <w:noProof/>
        </w:rPr>
        <w:t>10</w:t>
      </w:r>
      <w:r>
        <w:rPr>
          <w:noProof/>
        </w:rPr>
        <w:fldChar w:fldCharType="end"/>
      </w:r>
    </w:p>
    <w:p w14:paraId="2E0FBAE8" w14:textId="114F9822" w:rsidR="00BF46CD" w:rsidRDefault="00BF46CD">
      <w:pPr>
        <w:pStyle w:val="TOC1"/>
        <w:tabs>
          <w:tab w:val="right" w:leader="dot" w:pos="9060"/>
        </w:tabs>
        <w:rPr>
          <w:rFonts w:asciiTheme="minorHAnsi" w:eastAsiaTheme="minorEastAsia" w:hAnsiTheme="minorHAnsi" w:cstheme="minorBidi"/>
          <w:noProof/>
          <w:sz w:val="22"/>
          <w:szCs w:val="22"/>
          <w:lang w:val="en-GB"/>
        </w:rPr>
      </w:pPr>
      <w:r>
        <w:rPr>
          <w:noProof/>
        </w:rPr>
        <w:t>LIITE: YHTEISÖT TAI HENKILÖT, JOILTA ESITTELIJÄ ON SAANUT TIETOJA</w:t>
      </w:r>
      <w:r>
        <w:rPr>
          <w:noProof/>
        </w:rPr>
        <w:tab/>
      </w:r>
      <w:r>
        <w:rPr>
          <w:noProof/>
        </w:rPr>
        <w:fldChar w:fldCharType="begin"/>
      </w:r>
      <w:r>
        <w:rPr>
          <w:noProof/>
        </w:rPr>
        <w:instrText xml:space="preserve"> PAGEREF _Toc181950782 \h </w:instrText>
      </w:r>
      <w:r>
        <w:rPr>
          <w:noProof/>
        </w:rPr>
      </w:r>
      <w:r>
        <w:rPr>
          <w:noProof/>
        </w:rPr>
        <w:fldChar w:fldCharType="separate"/>
      </w:r>
      <w:r>
        <w:rPr>
          <w:noProof/>
        </w:rPr>
        <w:t>12</w:t>
      </w:r>
      <w:r>
        <w:rPr>
          <w:noProof/>
        </w:rPr>
        <w:fldChar w:fldCharType="end"/>
      </w:r>
    </w:p>
    <w:p w14:paraId="41096A3D" w14:textId="1D73F09C" w:rsidR="00E155CA" w:rsidRPr="00AF3419" w:rsidRDefault="002544DF" w:rsidP="0023245A">
      <w:r w:rsidRPr="00AF3419">
        <w:rPr>
          <w:b/>
        </w:rPr>
        <w:fldChar w:fldCharType="end"/>
      </w:r>
    </w:p>
    <w:p w14:paraId="213D8A0B" w14:textId="77777777" w:rsidR="00100069" w:rsidRPr="00AF3419" w:rsidRDefault="00100069">
      <w:pPr>
        <w:pStyle w:val="PageHeading"/>
      </w:pPr>
      <w:r w:rsidRPr="00AF3419">
        <w:br w:type="page"/>
      </w:r>
      <w:bookmarkStart w:id="1" w:name="_Toc181950780"/>
      <w:r w:rsidRPr="00AF3419">
        <w:t>EUROOPAN PARLAMENTIN PÄÄTÖSLAUSELMAESITYS</w:t>
      </w:r>
      <w:bookmarkEnd w:id="1"/>
    </w:p>
    <w:p w14:paraId="50E58057" w14:textId="77777777" w:rsidR="00100069" w:rsidRPr="00AF3419" w:rsidRDefault="00632C11">
      <w:pPr>
        <w:pStyle w:val="NormalBold"/>
      </w:pPr>
      <w:r w:rsidRPr="00AF3419">
        <w:t>Euroopan sosiaalirahasto plussasta vuoden 2027 jälkeen</w:t>
      </w:r>
    </w:p>
    <w:p w14:paraId="0F797A3A" w14:textId="77777777" w:rsidR="005074FE" w:rsidRPr="00AF3419" w:rsidRDefault="005074FE">
      <w:pPr>
        <w:pStyle w:val="NormalBold"/>
      </w:pPr>
    </w:p>
    <w:p w14:paraId="4252B6C5" w14:textId="77777777" w:rsidR="00100069" w:rsidRPr="00AF3419" w:rsidRDefault="00626460" w:rsidP="00335F69">
      <w:pPr>
        <w:pStyle w:val="NormalBold"/>
      </w:pPr>
      <w:r w:rsidRPr="00AF3419">
        <w:t>(2024/xxxx(INI))</w:t>
      </w:r>
    </w:p>
    <w:p w14:paraId="7A3A8A24" w14:textId="77777777" w:rsidR="00100069" w:rsidRPr="00AF3419" w:rsidRDefault="00626460" w:rsidP="00335F69">
      <w:pPr>
        <w:pStyle w:val="EPComma"/>
      </w:pPr>
      <w:r w:rsidRPr="00AF3419">
        <w:rPr>
          <w:i/>
          <w:iCs/>
        </w:rPr>
        <w:t>Euroopan parlamentti</w:t>
      </w:r>
      <w:r w:rsidRPr="00AF3419">
        <w:t>, joka</w:t>
      </w:r>
    </w:p>
    <w:p w14:paraId="32D27A78" w14:textId="15A42854" w:rsidR="00DA5264" w:rsidRPr="00AF3419" w:rsidRDefault="00DA5264" w:rsidP="00DA5264">
      <w:pPr>
        <w:pStyle w:val="NormalHanging12a"/>
      </w:pPr>
      <w:r w:rsidRPr="00AF3419">
        <w:t>–</w:t>
      </w:r>
      <w:r w:rsidRPr="00AF3419">
        <w:tab/>
        <w:t>ottaa huomioon Euroopan unionin toiminnasta tehdyn sopimuksen ja erityisesti sen 46</w:t>
      </w:r>
      <w:r w:rsidR="00BF46CD">
        <w:t> </w:t>
      </w:r>
      <w:r w:rsidRPr="00AF3419">
        <w:t>artiklan d alakohdan, 149 artiklan, 153 artiklan 2 kohdan a alakohdan ja 164, 175 ja 349</w:t>
      </w:r>
      <w:r w:rsidR="00BF46CD">
        <w:t> </w:t>
      </w:r>
      <w:r w:rsidRPr="00AF3419">
        <w:t>artiklan,</w:t>
      </w:r>
    </w:p>
    <w:p w14:paraId="4FB11CF1" w14:textId="1CD9BB84" w:rsidR="00DA5264" w:rsidRPr="00AF3419" w:rsidRDefault="00DA5264" w:rsidP="00DA5264">
      <w:pPr>
        <w:pStyle w:val="NormalHanging12a"/>
      </w:pPr>
      <w:r w:rsidRPr="00AF3419">
        <w:t>–</w:t>
      </w:r>
      <w:r w:rsidRPr="00AF3419">
        <w:tab/>
        <w:t>ottaa huomioon Euroopan sosiaalirahasto plussan (ESR+) perustamisesta 24.</w:t>
      </w:r>
      <w:r w:rsidR="00BF46CD">
        <w:t> </w:t>
      </w:r>
      <w:r w:rsidRPr="00AF3419">
        <w:t>kesäkuuta 2021 annetun Euroopan parlamentin ja neuvoston asetuksen (EU) 2021/1057</w:t>
      </w:r>
      <w:r w:rsidRPr="00AF3419">
        <w:rPr>
          <w:rStyle w:val="FootnoteReference"/>
        </w:rPr>
        <w:footnoteReference w:id="1"/>
      </w:r>
      <w:r w:rsidRPr="00AF3419">
        <w:t>,</w:t>
      </w:r>
    </w:p>
    <w:p w14:paraId="58B0311A" w14:textId="20509FAF" w:rsidR="00DA5264" w:rsidRPr="00AF3419" w:rsidRDefault="00DA5264" w:rsidP="00DA5264">
      <w:pPr>
        <w:pStyle w:val="NormalHanging12a"/>
      </w:pPr>
      <w:r w:rsidRPr="00AF3419">
        <w:t>–</w:t>
      </w:r>
      <w:r w:rsidRPr="00AF3419">
        <w:tab/>
        <w:t>ottaa huomioon 27. maaliskuuta 2024 annetun komission tiedonannon yhdeksännestä koheesiokertomuksesta (COM(2024)0149),</w:t>
      </w:r>
    </w:p>
    <w:p w14:paraId="7A588D55" w14:textId="402882EF" w:rsidR="00DA5264" w:rsidRPr="00AF3419" w:rsidRDefault="00DA5264" w:rsidP="00DA5264">
      <w:pPr>
        <w:pStyle w:val="NormalHanging12a"/>
      </w:pPr>
      <w:r w:rsidRPr="00AF3419">
        <w:t>–</w:t>
      </w:r>
      <w:r w:rsidRPr="00AF3419">
        <w:tab/>
        <w:t>ottaa huomioon neuvoston, Euroopan parlamentin ja komission 17. marraskuuta 2017 antaman ja allekirjoittaman julistuksen Euroopan sosiaalisten oikeuksien pilarista,</w:t>
      </w:r>
    </w:p>
    <w:p w14:paraId="3232DC62" w14:textId="4E441999" w:rsidR="00DA5264" w:rsidRPr="00AF3419" w:rsidRDefault="00DA5264" w:rsidP="00DA5264">
      <w:pPr>
        <w:pStyle w:val="NormalHanging12a"/>
      </w:pPr>
      <w:r w:rsidRPr="00AF3419">
        <w:t>–</w:t>
      </w:r>
      <w:r w:rsidRPr="00AF3419">
        <w:tab/>
        <w:t>ottaa huomioon 4. maaliskuuta 2021 annetun komission tiedonannon Euroopan sosiaalisten oikeuksien pilaria koskevasta toimintasuunnitelmasta (COM(2021)0102) ja siinä vuodeksi 2030 asetetut työllisyyttä, koulutusta ja köyhyyden vähentämistä koskevat yleistavoitteet,</w:t>
      </w:r>
    </w:p>
    <w:p w14:paraId="643D61A8" w14:textId="7AABFE42" w:rsidR="00DA5264" w:rsidRPr="00AF3419" w:rsidRDefault="00DA5264" w:rsidP="00DA5264">
      <w:pPr>
        <w:pStyle w:val="NormalHanging12a"/>
      </w:pPr>
      <w:r w:rsidRPr="00AF3419">
        <w:t>–</w:t>
      </w:r>
      <w:r w:rsidRPr="00AF3419">
        <w:tab/>
        <w:t>ottaa huomioon Euroopan parlamentin, komission, Euroopan talous- ja sosiaalikomitean ja neuvoston 16. huhtikuuta 2024 allekirjoittaman La Hulpen julistuksen Euroopan sosiaalisten oikeuksien pilarin tulevaisuudesta,</w:t>
      </w:r>
    </w:p>
    <w:p w14:paraId="21D863DE" w14:textId="2684F02F" w:rsidR="00DA5264" w:rsidRPr="00AF3419" w:rsidRDefault="00DA5264" w:rsidP="00DA5264">
      <w:pPr>
        <w:pStyle w:val="NormalHanging12a"/>
      </w:pPr>
      <w:r w:rsidRPr="00AF3419">
        <w:t>–</w:t>
      </w:r>
      <w:r w:rsidRPr="00AF3419">
        <w:tab/>
        <w:t>ottaa huomioon 29. huhtikuuta 2021 antamansa päätöslauselman eurooppalaisesta lapsitakuusta</w:t>
      </w:r>
      <w:r w:rsidR="000219CF" w:rsidRPr="00AF3419">
        <w:rPr>
          <w:rStyle w:val="FootnoteReference"/>
        </w:rPr>
        <w:footnoteReference w:id="2"/>
      </w:r>
      <w:r w:rsidRPr="00AF3419">
        <w:t>,</w:t>
      </w:r>
    </w:p>
    <w:p w14:paraId="057BFC77" w14:textId="178E087F" w:rsidR="00DA5264" w:rsidRPr="00AF3419" w:rsidRDefault="00DA5264" w:rsidP="00DA5264">
      <w:pPr>
        <w:pStyle w:val="NormalHanging12a"/>
      </w:pPr>
      <w:r w:rsidRPr="00AF3419">
        <w:t>–</w:t>
      </w:r>
      <w:r w:rsidRPr="00AF3419">
        <w:tab/>
        <w:t>ottaa huomioon 21. marraskuuta 2023 antamansa päätöslauselman ”Lapset ensin – lapsitakuun vahvistaminen kaksi vuotta sen hyväksymisen jälkeen”</w:t>
      </w:r>
      <w:r w:rsidR="000219CF" w:rsidRPr="00AF3419">
        <w:rPr>
          <w:rStyle w:val="FootnoteReference"/>
        </w:rPr>
        <w:footnoteReference w:id="3"/>
      </w:r>
      <w:r w:rsidRPr="00AF3419">
        <w:t>,</w:t>
      </w:r>
    </w:p>
    <w:p w14:paraId="00911948" w14:textId="2036415D" w:rsidR="00DA5264" w:rsidRPr="00AF3419" w:rsidRDefault="00DA5264" w:rsidP="00DA5264">
      <w:pPr>
        <w:pStyle w:val="NormalHanging12a"/>
      </w:pPr>
      <w:r w:rsidRPr="00AF3419">
        <w:t>–</w:t>
      </w:r>
      <w:r w:rsidRPr="00AF3419">
        <w:tab/>
        <w:t>ottaa huomioon 8. lokakuuta 2020 antamansa päätöslauselman nuorisotakuusta</w:t>
      </w:r>
      <w:r w:rsidR="000219CF" w:rsidRPr="00AF3419">
        <w:rPr>
          <w:rStyle w:val="FootnoteReference"/>
        </w:rPr>
        <w:footnoteReference w:id="4"/>
      </w:r>
      <w:r w:rsidRPr="00AF3419">
        <w:t>,</w:t>
      </w:r>
    </w:p>
    <w:p w14:paraId="59838D89" w14:textId="3CF788CD" w:rsidR="00DA5264" w:rsidRPr="00AF3419" w:rsidRDefault="00DA5264" w:rsidP="00DA5264">
      <w:pPr>
        <w:pStyle w:val="NormalHanging12a"/>
      </w:pPr>
      <w:r w:rsidRPr="00AF3419">
        <w:t>–</w:t>
      </w:r>
      <w:r w:rsidRPr="00AF3419">
        <w:tab/>
        <w:t>ottaa huomioon 5. heinäkuuta 2022 antamansa päätöslauselman aiheesta ”Kohti hoivatyötä koskevia EU:n yhteisiä toimia”</w:t>
      </w:r>
      <w:r w:rsidR="00762227" w:rsidRPr="00AF3419">
        <w:rPr>
          <w:rStyle w:val="FootnoteReference"/>
        </w:rPr>
        <w:footnoteReference w:id="5"/>
      </w:r>
      <w:r w:rsidRPr="00AF3419">
        <w:t>,</w:t>
      </w:r>
    </w:p>
    <w:p w14:paraId="26D9AB52" w14:textId="14990FBF" w:rsidR="00DA5264" w:rsidRPr="00AF3419" w:rsidRDefault="00DA5264" w:rsidP="00DA5264">
      <w:pPr>
        <w:pStyle w:val="NormalHanging12a"/>
      </w:pPr>
      <w:r w:rsidRPr="00AF3419">
        <w:t>–</w:t>
      </w:r>
      <w:r w:rsidRPr="00AF3419">
        <w:tab/>
        <w:t>ottaa huomioon 18. kesäkuuta 2020 antamansa päätöslauselman Euroopan vammaisstrategiasta vuoden 2020 jälkeen</w:t>
      </w:r>
      <w:r w:rsidR="00762227" w:rsidRPr="00AF3419">
        <w:rPr>
          <w:rStyle w:val="FootnoteReference"/>
        </w:rPr>
        <w:footnoteReference w:id="6"/>
      </w:r>
      <w:r w:rsidRPr="00AF3419">
        <w:t>,</w:t>
      </w:r>
    </w:p>
    <w:p w14:paraId="078E32F9" w14:textId="5768424C" w:rsidR="00DA5264" w:rsidRPr="00AF3419" w:rsidRDefault="00DA5264" w:rsidP="00DA5264">
      <w:pPr>
        <w:pStyle w:val="NormalHanging12a"/>
      </w:pPr>
      <w:r w:rsidRPr="00AF3419">
        <w:t>–</w:t>
      </w:r>
      <w:r w:rsidRPr="00AF3419">
        <w:tab/>
        <w:t>ottaa huomioon 13. joulukuuta 2022 antamansa päätöslauselman aiheesta ”Tavoitteena yhdenvertaiset oikeudet vammaisille henkilöille”</w:t>
      </w:r>
      <w:r w:rsidR="00762227" w:rsidRPr="00AF3419">
        <w:rPr>
          <w:rStyle w:val="FootnoteReference"/>
        </w:rPr>
        <w:footnoteReference w:id="7"/>
      </w:r>
      <w:r w:rsidRPr="00AF3419">
        <w:t>,</w:t>
      </w:r>
    </w:p>
    <w:p w14:paraId="75462730" w14:textId="28885199" w:rsidR="00DA5264" w:rsidRPr="00AF3419" w:rsidRDefault="00DA5264" w:rsidP="00DA5264">
      <w:pPr>
        <w:pStyle w:val="NormalHanging12a"/>
      </w:pPr>
      <w:r w:rsidRPr="00AF3419">
        <w:t>–</w:t>
      </w:r>
      <w:r w:rsidRPr="00AF3419">
        <w:tab/>
        <w:t>ottaa huomioon 24. marraskuuta 2020 antamansa päätöslauselman asunnottomuuden vähentämisestä Euroopan unionissa</w:t>
      </w:r>
      <w:r w:rsidR="00762227" w:rsidRPr="00AF3419">
        <w:rPr>
          <w:rStyle w:val="FootnoteReference"/>
        </w:rPr>
        <w:footnoteReference w:id="8"/>
      </w:r>
      <w:r w:rsidRPr="00AF3419">
        <w:t>,</w:t>
      </w:r>
    </w:p>
    <w:p w14:paraId="1F5A4723" w14:textId="3143A4EA" w:rsidR="00DA5264" w:rsidRPr="00AF3419" w:rsidRDefault="00DA5264" w:rsidP="00DA5264">
      <w:pPr>
        <w:pStyle w:val="NormalHanging12a"/>
      </w:pPr>
      <w:r w:rsidRPr="00AF3419">
        <w:t>–</w:t>
      </w:r>
      <w:r w:rsidRPr="00AF3419">
        <w:tab/>
        <w:t>ottaa huomioon 21. tammikuuta 2021 antamansa päätöslauselman mahdollisuudesta kunnolliseen ja kohtuuhintaiseen asumiseen kaikille</w:t>
      </w:r>
      <w:r w:rsidR="00762227" w:rsidRPr="00AF3419">
        <w:rPr>
          <w:rStyle w:val="FootnoteReference"/>
        </w:rPr>
        <w:footnoteReference w:id="9"/>
      </w:r>
      <w:r w:rsidRPr="00AF3419">
        <w:t>,</w:t>
      </w:r>
    </w:p>
    <w:p w14:paraId="6567D65D" w14:textId="555ECB9B" w:rsidR="00DA5264" w:rsidRPr="00AF3419" w:rsidRDefault="00DA5264" w:rsidP="00DA5264">
      <w:pPr>
        <w:pStyle w:val="NormalHanging12a"/>
      </w:pPr>
      <w:r w:rsidRPr="00AF3419">
        <w:t>–</w:t>
      </w:r>
      <w:r w:rsidRPr="00AF3419">
        <w:tab/>
        <w:t>ottaa huomioon 23. marraskuuta 2023 antamansa päätöslauselman työpaikkojen luomisesta – oikeudenmukainen siirtymä ja vaikuttavuusinvestoinnit</w:t>
      </w:r>
      <w:r w:rsidR="00762227" w:rsidRPr="00AF3419">
        <w:rPr>
          <w:rStyle w:val="FootnoteReference"/>
        </w:rPr>
        <w:footnoteReference w:id="10"/>
      </w:r>
      <w:r w:rsidRPr="00AF3419">
        <w:t>,</w:t>
      </w:r>
    </w:p>
    <w:p w14:paraId="5B97A705" w14:textId="192EC320" w:rsidR="00DA5264" w:rsidRPr="00AF3419" w:rsidRDefault="00DA5264" w:rsidP="00DA5264">
      <w:pPr>
        <w:pStyle w:val="NormalHanging12a"/>
      </w:pPr>
      <w:r w:rsidRPr="00AF3419">
        <w:t>–</w:t>
      </w:r>
      <w:r w:rsidRPr="00AF3419">
        <w:tab/>
        <w:t>ottaa huomioon 21. tammikuuta 2021 antamansa päätöslauselman sukupuolten tasa-arvoa koskevasta EU-strategiasta</w:t>
      </w:r>
      <w:r w:rsidR="00762227" w:rsidRPr="00AF3419">
        <w:rPr>
          <w:rStyle w:val="FootnoteReference"/>
        </w:rPr>
        <w:footnoteReference w:id="11"/>
      </w:r>
      <w:r w:rsidRPr="00AF3419">
        <w:t>,</w:t>
      </w:r>
    </w:p>
    <w:p w14:paraId="63EF409C" w14:textId="32005368" w:rsidR="00100069" w:rsidRPr="00AF3419" w:rsidRDefault="00DA5264" w:rsidP="00DA5264">
      <w:pPr>
        <w:pStyle w:val="NormalHanging12a"/>
      </w:pPr>
      <w:r w:rsidRPr="00AF3419">
        <w:t>–</w:t>
      </w:r>
      <w:r w:rsidRPr="00AF3419">
        <w:tab/>
        <w:t>ottaa huomioon työjärjestyksen 55 artiklan,</w:t>
      </w:r>
    </w:p>
    <w:p w14:paraId="6C8E79AF" w14:textId="77777777" w:rsidR="00531F4C" w:rsidRPr="00AF3419" w:rsidRDefault="00531F4C" w:rsidP="00531F4C">
      <w:pPr>
        <w:pStyle w:val="NormalHanging12a"/>
      </w:pPr>
      <w:r w:rsidRPr="00AF3419">
        <w:t>–</w:t>
      </w:r>
      <w:r w:rsidRPr="00AF3419">
        <w:tab/>
        <w:t>ottaa huomioon aluekehitysvaliokunnan lausunnon,</w:t>
      </w:r>
    </w:p>
    <w:p w14:paraId="30DF26AF" w14:textId="77777777" w:rsidR="00531F4C" w:rsidRPr="00AF3419" w:rsidRDefault="00531F4C" w:rsidP="00531F4C">
      <w:pPr>
        <w:pStyle w:val="NormalHanging12a"/>
      </w:pPr>
      <w:r w:rsidRPr="00AF3419">
        <w:t>–</w:t>
      </w:r>
      <w:r w:rsidRPr="00AF3419">
        <w:tab/>
        <w:t>ottaa huomioon työllisyyden ja sosiaaliasioiden valiokunnan mietinnön (A10</w:t>
      </w:r>
      <w:r w:rsidRPr="00AF3419">
        <w:noBreakHyphen/>
        <w:t>0000/2024),</w:t>
      </w:r>
    </w:p>
    <w:p w14:paraId="7BDBE801" w14:textId="058EFAF7" w:rsidR="00DA5264" w:rsidRPr="00AF3419" w:rsidRDefault="00100069" w:rsidP="00DA5264">
      <w:pPr>
        <w:pStyle w:val="NormalHanging12a"/>
      </w:pPr>
      <w:r w:rsidRPr="00AF3419">
        <w:t>A.</w:t>
      </w:r>
      <w:r w:rsidRPr="00AF3419">
        <w:tab/>
        <w:t>ottaa huomioon, että Euroopan sosiaalirahasto plussasta (ESR+) tuetaan ja täydennetään jäsenvaltioiden toimintapolitiikkoja ja tuotetaan niille lisäarvoa, jotta varmistetaan yhtäläiset mahdollisuudet, yhtäläinen pääsy työmarkkinoille, oikeudenmukaiset ja laadukkaat työolot, sosiaalinen suojelu ja osallisuus;</w:t>
      </w:r>
    </w:p>
    <w:p w14:paraId="3E6065CD" w14:textId="50E08A0E" w:rsidR="00DA5264" w:rsidRPr="00AF3419" w:rsidRDefault="00DA5264" w:rsidP="00DA5264">
      <w:pPr>
        <w:pStyle w:val="NormalHanging12a"/>
      </w:pPr>
      <w:r w:rsidRPr="00AF3419">
        <w:t>B.</w:t>
      </w:r>
      <w:r w:rsidRPr="00AF3419">
        <w:tab/>
        <w:t>ottaa huomioon, että ESR+ on ainoa pääasiassa sosiaalipolitiikkoihin painottunut EU:n rahoittama rahasto ja täten jo itsessään ainutlaatuinen ja että sillä edistetään tehokkaasti sosiaalista osallisuutta yhdessä koheesiopolitiikan kanssa;</w:t>
      </w:r>
    </w:p>
    <w:p w14:paraId="132E31A2" w14:textId="7B215806" w:rsidR="00DA5264" w:rsidRPr="00AF3419" w:rsidRDefault="00DA5264" w:rsidP="00DA5264">
      <w:pPr>
        <w:pStyle w:val="NormalHanging12a"/>
      </w:pPr>
      <w:r w:rsidRPr="00AF3419">
        <w:t>C.</w:t>
      </w:r>
      <w:r w:rsidRPr="00AF3419">
        <w:tab/>
        <w:t>katsoo, että erilaisilla haavoittuvassa asemassa olevilla ryhmillä, kuten köyhyydessä elävillä naisilla, työvoimamuuttajilla, lapsilla, vammaisilla henkilöillä ja vanhuksilla, on erilaisia tarpeita; katsoo, että digitaalinen ja vihreä siirtymä on erittäin tarpeellinen mutta asettaa myös haasteita kaikille ihmisille ja kaikille työntekijöille ja että onnistuakseen tässä pyrkimyksessä EU:n on varmistettava siirtymän oikeudenmukainen toteutus unohtamatta työntekijöitä ja haavoittuvassa asemassa olevia ihmisiä;</w:t>
      </w:r>
    </w:p>
    <w:p w14:paraId="6E32C441" w14:textId="6D6F144B" w:rsidR="00DA5264" w:rsidRPr="00AF3419" w:rsidRDefault="00DA5264" w:rsidP="00DA5264">
      <w:pPr>
        <w:pStyle w:val="NormalHanging12a"/>
      </w:pPr>
      <w:r w:rsidRPr="00AF3419">
        <w:t>D.</w:t>
      </w:r>
      <w:r w:rsidRPr="00AF3419">
        <w:tab/>
        <w:t>katsoo, että kunnollisten ja kohtuuhintaisten asuntojen määrä on vähenemässä markkinoiden liiallisen vapautumisen vuoksi; ottaa huomioon, että EU saa kaikkien aikojen ensimmäisen komission jäsenen, jonka tehtävänä on puuttua asuntokriisiin, sekä kaikkien aikojen ensimmäisen kohtuuhintaista asumista koskevan eurooppalaisen suunnitelman, jonka on tarkoitus valmistua vuonna 2025;</w:t>
      </w:r>
    </w:p>
    <w:p w14:paraId="2C9FD87E" w14:textId="596A7635" w:rsidR="00100069" w:rsidRPr="00AF3419" w:rsidRDefault="00DA5264" w:rsidP="00DA5264">
      <w:pPr>
        <w:pStyle w:val="NormalHanging12a"/>
      </w:pPr>
      <w:r w:rsidRPr="00AF3419">
        <w:t>E.</w:t>
      </w:r>
      <w:r w:rsidRPr="00AF3419">
        <w:tab/>
        <w:t>ottaa huomioon, että eurooppalaisella lapsitakuulla pyritään ehkäisemään ja torjumaan lasten sosiaalista syrjäytymistä takaamalla laadukkaan varhaiskasvatuksen, koulutuksen ja terveydenhuollon tosiasiallinen ja maksuton saanti sekä terveellisen ravinnon ja riittävän asunnon tosiasiallinen saanti;</w:t>
      </w:r>
    </w:p>
    <w:p w14:paraId="0B411C63" w14:textId="6293EB70" w:rsidR="00DA5264" w:rsidRPr="00AF3419" w:rsidRDefault="00DA5264" w:rsidP="00DA5264">
      <w:pPr>
        <w:pStyle w:val="NormalHanging12a"/>
        <w:rPr>
          <w:b/>
          <w:i/>
        </w:rPr>
      </w:pPr>
      <w:r w:rsidRPr="00AF3419">
        <w:rPr>
          <w:b/>
          <w:i/>
        </w:rPr>
        <w:t>ESR+:n periaatteet vuoden 2027 jälkeiselle ajalle</w:t>
      </w:r>
    </w:p>
    <w:p w14:paraId="5BEAC7CC" w14:textId="25E5E3E0" w:rsidR="00DA5264" w:rsidRPr="00AF3419" w:rsidRDefault="00100069" w:rsidP="00DA5264">
      <w:pPr>
        <w:pStyle w:val="NormalHanging12a"/>
      </w:pPr>
      <w:r w:rsidRPr="00AF3419">
        <w:t>1.</w:t>
      </w:r>
      <w:r w:rsidRPr="00AF3419">
        <w:tab/>
        <w:t>vaatii, että ESR+:n on oltava jatkossakin keskeinen ja ensisijainen väline, jolla tuetaan jäsenvaltioita, ihmisiä ja alueita unionin sosiaalisen ulottuvuuden vahvistamisessa;</w:t>
      </w:r>
    </w:p>
    <w:p w14:paraId="58FFC209" w14:textId="6AC2C82F" w:rsidR="00DA5264" w:rsidRPr="00AF3419" w:rsidRDefault="00DA5264" w:rsidP="00DA5264">
      <w:pPr>
        <w:pStyle w:val="NormalHanging12a"/>
      </w:pPr>
      <w:r w:rsidRPr="00AF3419">
        <w:t>2.</w:t>
      </w:r>
      <w:r w:rsidRPr="00AF3419">
        <w:tab/>
        <w:t>korostaa, että ESR+:lla olisi pyrittävä korkean työllisyystason ja riittävien palkkojen, säällisten työolojen, terveellisen työympäristön ja sosiaaliturvan saavuttamiseen, jotta voidaan kehittää vihreään ja digitaaliseen siirtymään ja tulevaisuuden työelämään valmista osaavaa, kilpailukykyistä ja sopeutumiskykyistä työvoimaa sekä luoda oikeudenmukaista sosiaalista suojelua ja osallistavia ja yhteenkuuluvuutta edistäviä yhteiskuntia, joiden tavoitteena on köyhyyden poistaminen ja Euroopan sosiaalisten oikeuksien pilarin periaatteiden toteuttaminen ja sen tavoitteiden saavuttaminen;</w:t>
      </w:r>
    </w:p>
    <w:p w14:paraId="66C3C6CF" w14:textId="22765788" w:rsidR="00DA5264" w:rsidRPr="00AF3419" w:rsidRDefault="00DA5264" w:rsidP="00DA5264">
      <w:pPr>
        <w:pStyle w:val="NormalHanging12a"/>
      </w:pPr>
      <w:r w:rsidRPr="00AF3419">
        <w:t>3.</w:t>
      </w:r>
      <w:r w:rsidRPr="00AF3419">
        <w:tab/>
        <w:t>vaatii vahvaa, lujaa ja itsenäistä ESR+:aa, joka pystyy tarjoamaan huomattavasti enemmän julkista tukea yhteiskuntiemme köyhimpien tukemiseen suunnattuja nykyisiä välineitä varten; vaatii tästä syystä ESR+:n rahoituksen kaksinkertaistamista vuoden 2027 jälkeen;</w:t>
      </w:r>
    </w:p>
    <w:p w14:paraId="7FAED07B" w14:textId="62709561" w:rsidR="00DA5264" w:rsidRPr="00AF3419" w:rsidRDefault="00DA5264" w:rsidP="00DA5264">
      <w:pPr>
        <w:pStyle w:val="NormalHanging12a"/>
      </w:pPr>
      <w:r w:rsidRPr="00AF3419">
        <w:t>4.</w:t>
      </w:r>
      <w:r w:rsidRPr="00AF3419">
        <w:tab/>
        <w:t>ilmaisee suuren huolensa yrityksistä jakaa nykyinen ESR+ tai yhdistää se muihin rahastoihin, sillä se vaarantaisi vakavasti ESR+:n sekä Euroopan sosiaalisten oikeuksien pilarin ja sen toimintasuunnitelman tavoitteiden toteuttamisen sekä Euroopan sosiaalisten oikeuksien pilarin yleistavoitteiden saavuttamisen; varoittaa, että rahastojen yhdistäminen tai yksinkertaistaminen ei välttämättä tee niistä tehokkaampia;</w:t>
      </w:r>
    </w:p>
    <w:p w14:paraId="7081045A" w14:textId="49D54D54" w:rsidR="00DA5264" w:rsidRPr="00AF3419" w:rsidRDefault="00DA5264" w:rsidP="00DA5264">
      <w:pPr>
        <w:pStyle w:val="NormalHanging12a"/>
      </w:pPr>
      <w:r w:rsidRPr="00AF3419">
        <w:t>5.</w:t>
      </w:r>
      <w:r w:rsidRPr="00AF3419">
        <w:tab/>
        <w:t>uskoo, että hallinnoimalla ESR+:aa jollain toisella tavalla pääpaino ei olisi enää sosiaalisissa näkökohdissa, kuten työllisyyttä ja sosiaalista osallisuutta edistävissä hankkeissa, eikä rahoitus päätyisi enää paikallisille tasoille ja eniten tarvitseville samalla kun riski varojen kohdentamisesta uudelleen muihin tarkoituksiin kasvaisi;</w:t>
      </w:r>
    </w:p>
    <w:p w14:paraId="2090F2B3" w14:textId="0C54D72C" w:rsidR="00DA5264" w:rsidRPr="00AF3419" w:rsidRDefault="00DA5264" w:rsidP="00DA5264">
      <w:pPr>
        <w:pStyle w:val="NormalHanging12a"/>
      </w:pPr>
      <w:r w:rsidRPr="00AF3419">
        <w:t>6.</w:t>
      </w:r>
      <w:r w:rsidRPr="00AF3419">
        <w:tab/>
        <w:t>kehottaa komissiota ja jäsenvaltioita varmistamaan työmarkkinaosapuolten, kansalaisjärjestöjen ja kohderyhmien edustajien osallistumisen kaikkiin ESR+:n suunnittelu-, toteutus-, seuranta- ja arviointivaiheisiin, osoittamaan riittävästi rahoitusta tätä varten ja estämään pienempien toimijoiden sulkemisen ulkopuolelle;</w:t>
      </w:r>
    </w:p>
    <w:p w14:paraId="73BB7632" w14:textId="76B1C022" w:rsidR="00DA5264" w:rsidRPr="00AF3419" w:rsidRDefault="00DA5264" w:rsidP="00660D16">
      <w:pPr>
        <w:pStyle w:val="NormalHanging12a"/>
      </w:pPr>
      <w:r w:rsidRPr="00AF3419">
        <w:t>7.</w:t>
      </w:r>
      <w:r w:rsidRPr="00AF3419">
        <w:tab/>
        <w:t>panee merkille, että nykyinen ESR+ -ohjelma hyväksyttiin ennen korkean inflaation ja elinkustannusten nousun aiheuttaneita kriisejä, minkä vuoksi tarvitaan suurempia julkisia ja sosiaalisia investointeja, joten nykyinen ESR+ ei pysty vastaamaan näihin nykyisiin tarpeisiin; kehottaa komissiota varmistamaan, että ESR+:lle taataan seuraavassa monivuotisessa rahoituskehyksessä kattava, pysyvä ja laajamittainen budjetti, joka perustuu tarpeisiin ja oikeuksiin;</w:t>
      </w:r>
    </w:p>
    <w:p w14:paraId="79B24CB4" w14:textId="1C4DD492" w:rsidR="00DA5264" w:rsidRPr="00AF3419" w:rsidRDefault="00DA5264" w:rsidP="00DA5264">
      <w:pPr>
        <w:pStyle w:val="NormalHanging12a"/>
      </w:pPr>
      <w:r w:rsidRPr="00AF3419">
        <w:t>8.</w:t>
      </w:r>
      <w:r w:rsidRPr="00AF3419">
        <w:tab/>
        <w:t>korostaa, että ESR+:ssa on vuoden 2027 jälkeen panostettava pysyvien sosiaalisten haasteiden selättämiseen ja keskityttävä nykyisessä ESR+:ssa asetettuihin yleisiin tavoitteisiin ja erityistavoitteisiin; painottaa rahaston periaatteita, jotka koskevat yhteistyöhön perustuvaa hallinnointia, selkeitä tavoitteita, temaattista keskittämistä ja sitä, että suurin osa rahaston varoista pitäisi käyttää mahdollisimman lähellä rahaston käyttäjiä;</w:t>
      </w:r>
    </w:p>
    <w:p w14:paraId="48358F00" w14:textId="428B6A58" w:rsidR="00DA5264" w:rsidRPr="00AF3419" w:rsidRDefault="00DA5264" w:rsidP="00DA5264">
      <w:pPr>
        <w:pStyle w:val="NormalHanging12a"/>
      </w:pPr>
      <w:r w:rsidRPr="00AF3419">
        <w:t>9.</w:t>
      </w:r>
      <w:r w:rsidRPr="00AF3419">
        <w:tab/>
        <w:t>korostaa, että ESR+:aa ei pitäisi käyttää hätätilanteiden tai kriisien hoitamiseen; vaatii, että ESR+:aa täydennetään sosiaalisella pelastusjärjestelyllä, jotta voidaan reagoida sosiaalisiin hätätilanteisiin ja kriisitilanteisiin; kehottaa komissiota hyödyntämään vuonna 2020 käynnistetyllä eurooppalaisella hätätilasta aiheutuvien työttömyysriskien lieventämisen tilapäisellä tukivälineellä (SURE) saavutettuja onnistuneita tuloksia väliaikaisen työttömyyden torjunnassa ja esittämään viipymättä EU:n työttömyysvakuutusjärjestelmää;</w:t>
      </w:r>
    </w:p>
    <w:p w14:paraId="49BBC559" w14:textId="77777777" w:rsidR="00DA5264" w:rsidRPr="00AF3419" w:rsidRDefault="00DA5264" w:rsidP="00DA5264">
      <w:pPr>
        <w:pStyle w:val="NormalHanging12a"/>
        <w:rPr>
          <w:b/>
          <w:i/>
        </w:rPr>
      </w:pPr>
      <w:r w:rsidRPr="00AF3419">
        <w:rPr>
          <w:b/>
          <w:i/>
        </w:rPr>
        <w:t xml:space="preserve">Tavoitteet, painopisteet ja budjetti </w:t>
      </w:r>
    </w:p>
    <w:p w14:paraId="438EB2B6" w14:textId="2C6BA0B9" w:rsidR="00DA5264" w:rsidRPr="00AF3419" w:rsidRDefault="00DA5264" w:rsidP="00DA5264">
      <w:pPr>
        <w:pStyle w:val="NormalHanging12a"/>
      </w:pPr>
      <w:r w:rsidRPr="00AF3419">
        <w:t>10.</w:t>
      </w:r>
      <w:r w:rsidRPr="00AF3419">
        <w:tab/>
        <w:t>korostaa, että sukupuolten tasa-arvon, syrjinnän vastaisuuden ja vapaan liikkuvuuden kaltaisten horisontaalisten periaatteiden pitäisi olla olennainen osa ESR+:aa; painottaa intersektionaalisen lähestymistavan tärkeyttä rahaston koko kehittämis- ja täytäntöönpanoprosessin ajan;</w:t>
      </w:r>
    </w:p>
    <w:p w14:paraId="546ABF9D" w14:textId="0F3AF591" w:rsidR="00DA5264" w:rsidRPr="00AF3419" w:rsidRDefault="00DA5264" w:rsidP="00DA5264">
      <w:pPr>
        <w:pStyle w:val="NormalHanging12a"/>
      </w:pPr>
      <w:r w:rsidRPr="00AF3419">
        <w:t>11.</w:t>
      </w:r>
      <w:r w:rsidRPr="00AF3419">
        <w:tab/>
        <w:t>painottaa, että ESR+:lla pitäisi tukea yhteiskuntiemme kaikkein heikoimmassa asemassa olevia ihmisiä heidän sukupuolestaan, seksuaalisesta suuntautumisestaan, iästään, uskonnostaan tai vakaumuksestaan, rodustaan tai etnisestä alkuperästään riippumatta ja erityisesti romanien kaltaisia marginalisoituneita yhteisöjä, vammaisia henkilöitä tai kroonisesti sairaita henkilöitä, asunnottomia, lapsia ja vanhuksia; tähdentää, että ESR+:n on oltava inklusiivinen ja siinä on kiinnitettävä erityistä huomiota erilaisiin perhemuotoihin, kuten yksinhuoltajaperheisiin, perheisiin, joissa on enemmän kuin kaksi vanhempaa, ja sateenkaariperheisiin;</w:t>
      </w:r>
    </w:p>
    <w:p w14:paraId="1E45DF86" w14:textId="1A97C067" w:rsidR="00DA5264" w:rsidRPr="00AF3419" w:rsidRDefault="00DA5264" w:rsidP="00DA5264">
      <w:pPr>
        <w:pStyle w:val="NormalHanging12a"/>
      </w:pPr>
      <w:r w:rsidRPr="00AF3419">
        <w:t>12.</w:t>
      </w:r>
      <w:r w:rsidRPr="00AF3419">
        <w:tab/>
        <w:t>kehottaa komissiota nykyisten haasteiden valossa sisällyttämään ESR+:n erityistavoitteisiin oikeudenmukaisen siirtymän edistämisen, maahanmuuttajien, myös työvoimamuuttajien, sosioekonomisen integraation, sukupuolistuneesta väkivallasta kärsivien naisten sosiaalisen osallisuuden ja vanhusten integraation;</w:t>
      </w:r>
    </w:p>
    <w:p w14:paraId="799CEA53" w14:textId="6256A94C" w:rsidR="00DA5264" w:rsidRPr="00AF3419" w:rsidRDefault="00DA5264" w:rsidP="00DA5264">
      <w:pPr>
        <w:pStyle w:val="NormalHanging12a"/>
      </w:pPr>
      <w:r w:rsidRPr="00AF3419">
        <w:t>13.</w:t>
      </w:r>
      <w:r w:rsidRPr="00AF3419">
        <w:tab/>
        <w:t>korostaa, että Euroopan sosiaalisten oikeuksien pilarin köyhyyttä koskevien tavoitteiden saavuttamisesta tulee haastavaa, ellei sosiaalisen suojelun järjestelmiin kohdistuvan paineen keventämiseen ja kriisien sosiaalisten vaikutusten lieventämiseen kohdenneta erityistä tukea; pitää tärkeänä tarjota tukea, jolla varmistetaan säälliset elinolot kaikille ja korkealaatuisten keskeisten palvelujen saanti; vaatii, että komission puheenjohtajan Ursula von der Leyenin poliittisissa suuntaviivoissa vuosiksi 2024–2029 esitelty köyhyyden vastainen EU:n strategia toteutetaan ESR+:n avulla moniulotteisen lähestymistavan mukaisesti ja että sen köyhyyden torjuntaa koskevia sitovia tavoitteita, kohtuulliseen toimeentuloon riittäviä kansallisia palkkatasoja ja viitebudjetteja käytetään vertailuarvoina;</w:t>
      </w:r>
    </w:p>
    <w:p w14:paraId="13D65968" w14:textId="0F66C017" w:rsidR="00DA5264" w:rsidRPr="00AF3419" w:rsidRDefault="00DA5264" w:rsidP="00DA5264">
      <w:pPr>
        <w:pStyle w:val="NormalHanging12a"/>
      </w:pPr>
      <w:r w:rsidRPr="00AF3419">
        <w:t>14.</w:t>
      </w:r>
      <w:r w:rsidRPr="00AF3419">
        <w:tab/>
        <w:t>painottaa, että lapsiköyhyyden torjuminen edellyttää asianmukaisesti rahoitettuja, kattavia ja yhdennettyjä toimenpiteitä sekä eurooppalaisen lapsitakuun täytäntöönpanoa kansallisella tasolla; vaatii, että se on keskeinen osa köyhyyden vastaista EU:n strategiaa; kehottaa jälleen lisäämään ESR+:aan vuoden 2027 jälkeiselle ajalle vähintään 20 miljardin euron rahoituksen eurooppalaiselle lapsitakuulle; vaatii, että kaikki jäsenvaltiot osoittavat eurooppalaiselle lapsitakuulle vähintään 5 prosenttia ESR+ -määrärahoistaan ja että ne jäsenvaltiot osoittavat vähintään 10 prosenttia, joissa on enemmän lapsia köyhyys- tai syrjäytymisvaarassa;</w:t>
      </w:r>
    </w:p>
    <w:p w14:paraId="2130A9F3" w14:textId="28E9F306" w:rsidR="00DA5264" w:rsidRPr="00AF3419" w:rsidRDefault="00DA5264" w:rsidP="00DA5264">
      <w:pPr>
        <w:pStyle w:val="NormalHanging12a"/>
      </w:pPr>
      <w:r w:rsidRPr="00AF3419">
        <w:t>15.</w:t>
      </w:r>
      <w:r w:rsidRPr="00AF3419">
        <w:tab/>
        <w:t>kehottaa komissiota nostamaan sosiaaliseen osallisuuteen varattua osuutta nykyisestä 25</w:t>
      </w:r>
      <w:r w:rsidR="00BF46CD">
        <w:t> </w:t>
      </w:r>
      <w:r w:rsidRPr="00AF3419">
        <w:t>prosentista ja vähävaraisimmille annettaviin elintarvikeapuun ja perushyödykkeisiin varatun osuuden 5 prosenttiin asuin- ja elintarvikekustannusten nousun vuoksi;</w:t>
      </w:r>
    </w:p>
    <w:p w14:paraId="62F48779" w14:textId="69644D71" w:rsidR="00DA5264" w:rsidRPr="00AF3419" w:rsidRDefault="00DA5264" w:rsidP="00DA5264">
      <w:pPr>
        <w:pStyle w:val="NormalHanging12a"/>
      </w:pPr>
      <w:r w:rsidRPr="00AF3419">
        <w:t>16.</w:t>
      </w:r>
      <w:r w:rsidRPr="00AF3419">
        <w:tab/>
        <w:t>kannattaa asuntokriisin hoidon asettamista etusijalle ja vaatii, että ESR+:lla pitäisi vuoden 2027 jälkeen parantaa sellaisten kohtuuhintaisten, kunnollisten, kestävien ja korkealaatuisten palvelujen oikea-aikaista ja tasapuolista saantia, jotka edistävät asunnon saamista; katsoo, että kaikkien jäsenvaltioiden olisi osoitettava vähintään 5</w:t>
      </w:r>
      <w:r w:rsidR="00BF46CD">
        <w:t> </w:t>
      </w:r>
      <w:r w:rsidRPr="00AF3419">
        <w:t>prosenttia ESR+ -määrärahoistaan asunnottomuuden poistamiseen;</w:t>
      </w:r>
    </w:p>
    <w:p w14:paraId="59FE0FA3" w14:textId="2ACB99DC" w:rsidR="00DA5264" w:rsidRPr="00AF3419" w:rsidRDefault="00DA5264" w:rsidP="00DA5264">
      <w:pPr>
        <w:pStyle w:val="NormalHanging12a"/>
      </w:pPr>
      <w:r w:rsidRPr="00AF3419">
        <w:t>17.</w:t>
      </w:r>
      <w:r w:rsidRPr="00AF3419">
        <w:tab/>
        <w:t>korostaa tarvetta varmistaa ESR+:n riittävä rahoitus vuoden 2027 jälkeen kaikille tarjolla olevan laadukkaan julkisen koulutuksen, osaamisen kehittämisen, jatko- ja uudelleenkoulutuksen ja elinikäisen oppimisen varmistamiseksi sekä osaamisvajeen poistamiseksi, jotta ihmiset pystyvät selviytymään hyvin työmarkkinasiirtymistä;</w:t>
      </w:r>
    </w:p>
    <w:p w14:paraId="02AAC286" w14:textId="77D370D9" w:rsidR="00DA5264" w:rsidRPr="00AF3419" w:rsidRDefault="00DA5264" w:rsidP="00DA5264">
      <w:pPr>
        <w:pStyle w:val="NormalHanging12a"/>
      </w:pPr>
      <w:r w:rsidRPr="00AF3419">
        <w:t>18.</w:t>
      </w:r>
      <w:r w:rsidRPr="00AF3419">
        <w:tab/>
        <w:t xml:space="preserve">kehottaa vahvistamaan nuorisotakuun täytäntöönpanon tukemista lisäämällä sen rahoitusta siten, että kaikki jäsenvaltiot osoittavat sille vähintään 15 prosenttia ESR+ </w:t>
      </w:r>
      <w:r w:rsidR="00BF46CD">
        <w:noBreakHyphen/>
      </w:r>
      <w:r w:rsidRPr="00AF3419">
        <w:t>määrärahoistaan; toistaa tässä yhteydessä jäsenvaltioille esittämänsä kehotuksen kieltää palkattomat harjoittelut;</w:t>
      </w:r>
    </w:p>
    <w:p w14:paraId="6BF54E24" w14:textId="4CAC7FD6" w:rsidR="00DA5264" w:rsidRPr="00AF3419" w:rsidRDefault="00DA5264" w:rsidP="00DA5264">
      <w:pPr>
        <w:pStyle w:val="NormalHanging12a"/>
      </w:pPr>
      <w:r w:rsidRPr="00AF3419">
        <w:t>19.</w:t>
      </w:r>
      <w:r w:rsidRPr="00AF3419">
        <w:tab/>
        <w:t>korostaa ESR+:n merkitystä toimissa, joissa keskitytään erilaisia tarpeita omaaviin erilaisiin ryhmiin; painottaa tästä syystä, että on erittäin tärkeää myöntää tukea hankkeille, jotka koskevat maahanmuuttajien, myös työvoimamuuttajien, sosioekonomista asemaa, vammaisten henkilöiden sosiaalista osallisuutta, yhteiskunnan ikääntyvää väestöä, naisia ja lapsia sekä kotitalouksia, joissa perheen pää on nainen; vaatii, että ESR+:aan sisällytetään vuoden 2027 jälkeen muita sosiaalisen osallisuuden osa-alueita, kuten asuminen, terveys ja perhesuhteet sekä yhteisöpohjaisten palvelujen tukeminen;</w:t>
      </w:r>
    </w:p>
    <w:p w14:paraId="3CC3B584" w14:textId="7EE8A963" w:rsidR="00DA5264" w:rsidRPr="00AF3419" w:rsidRDefault="00DA5264" w:rsidP="00DA5264">
      <w:pPr>
        <w:pStyle w:val="NormalHanging12a"/>
      </w:pPr>
      <w:r w:rsidRPr="00AF3419">
        <w:t>20.</w:t>
      </w:r>
      <w:r w:rsidRPr="00AF3419">
        <w:tab/>
        <w:t>painottaa, että ESR+:n työllisyyden ja sosiaalisen innovoinnin toimintalohkosta tuetaan epävarmassa tilanteessa olevia liikkuvia työntekijöitä ja varmistetaan rahoitus työntekijäjärjestöihin liittyvälle neuvonnalle; kehottaa komissiota ja jäsenvaltioita varmistamaan pysyvän rahoituksen kansallisiin ja kansainvälisiin työntekijäjärjestöihin liittyvälle neuvonnalle, joka on suunnattu tällaisille työntekijöille;</w:t>
      </w:r>
    </w:p>
    <w:p w14:paraId="3B174BDD" w14:textId="4B31451A" w:rsidR="00DA5264" w:rsidRPr="00AF3419" w:rsidRDefault="00DA5264" w:rsidP="00DA5264">
      <w:pPr>
        <w:pStyle w:val="NormalHanging12a"/>
      </w:pPr>
      <w:r w:rsidRPr="00AF3419">
        <w:t>21.</w:t>
      </w:r>
      <w:r w:rsidRPr="00AF3419">
        <w:tab/>
        <w:t>vaatii ESR+:aa tehostamaan eurooppalaisen hoito- ja hoivastrategian täytäntöönpanoa investoimalla laadukkaaseen varhaiskasvatukseen yhteisöperustaisten, yksilökeskeisten, laadukkaiden, kohtuuhintaisten ja helposti saatavilla olevien hoitojärjestelmien avulla;</w:t>
      </w:r>
    </w:p>
    <w:p w14:paraId="07C63EFF" w14:textId="4FA62385" w:rsidR="00DA5264" w:rsidRPr="00AF3419" w:rsidRDefault="00DA5264" w:rsidP="00DA5264">
      <w:pPr>
        <w:pStyle w:val="NormalHanging12a"/>
      </w:pPr>
      <w:r w:rsidRPr="00AF3419">
        <w:t>22.</w:t>
      </w:r>
      <w:r w:rsidRPr="00AF3419">
        <w:tab/>
        <w:t>painottaa, että Euroopan sosiaalisten oikeuksien pilarin täytäntöönpano ja eurooppalaisen ohjausjakson maakohtaisten suositusten noudattamiseksi tarvittavat uudistukset ovat myös riippuvaisia ESR+:n vahvasta tuesta tiettyjen politiikkatoimien osalta ja erityisesti niiden toimien osalta, jotka koskevat sosiaalihuoltojärjestelmien vahvistamista, osallistavan ja laadukkaan julkisen koulutuksen varmistamista, lapsiköyhyyden vähentämistä ja asunnottomuuden poistamista;</w:t>
      </w:r>
    </w:p>
    <w:p w14:paraId="5B6B6AB7" w14:textId="54AFDD1A" w:rsidR="00DA5264" w:rsidRPr="00AF3419" w:rsidRDefault="00DA5264" w:rsidP="0062501D">
      <w:pPr>
        <w:pStyle w:val="NormalHanging12a"/>
      </w:pPr>
      <w:r w:rsidRPr="00AF3419">
        <w:t>23.</w:t>
      </w:r>
      <w:r w:rsidRPr="00AF3419">
        <w:tab/>
        <w:t>kehottaa komissiota osoittamaan johdonmukaisesti varoja valmiuksien kehittämiseen, jolla pyritään antamaan työmarkkinaosapuolille valmiudet olla keskeinen toimija vastuualoillaan, vahvistamaan niiden kykyä osallistua työmarkkinaosapuolten vuoropuheluun sekä EU:n että kansallisella tasolla ja kehittämään työmarkkinaosapuolten eri toimia, ja tarjoamaan teknistä tukea näitä kolmea tarkoitusta varten siten, että jäsenvaltioiden on investoitava asianmukainen vähimmäisosuus; tähdentää edelleen, että työmarkkinaosapuolille ja kansalaisjärjestöille pitäisi taata yhdenvertaiset mahdollisuudet saada rahoitusta sosiaalipoliittisia tavoitteita varten kaikissa jäsenvaltioissa;</w:t>
      </w:r>
    </w:p>
    <w:p w14:paraId="42E9E385" w14:textId="59B22B54" w:rsidR="00DA5264" w:rsidRPr="00AF3419" w:rsidRDefault="00DA5264" w:rsidP="00DA5264">
      <w:pPr>
        <w:pStyle w:val="NormalHanging12a"/>
      </w:pPr>
      <w:r w:rsidRPr="00AF3419">
        <w:t>24.</w:t>
      </w:r>
      <w:r w:rsidRPr="00AF3419">
        <w:tab/>
        <w:t>pitää keskeisen tärkeänä, että pienillä yhteiskunnallisilla yrityksillä ja kansalaisjärjestöillä on mahdollisuus hyödyntää kaikkia ESR+:n osa-alueita; vaatii suurempaa vähintään 90 prosentin yhteisrahoitusosuutta vähävaraisimmille suunnatuille kansalaisjärjestöjen toteuttamille toimille ja vähintään 70 prosentin yhteisrahoitusosuutta yhteiskunnallisten yritysten toteuttamille vastaaville toimille;</w:t>
      </w:r>
    </w:p>
    <w:p w14:paraId="21CA3485" w14:textId="77777777" w:rsidR="00DA5264" w:rsidRPr="00AF3419" w:rsidRDefault="00DA5264" w:rsidP="00DA5264">
      <w:pPr>
        <w:pStyle w:val="NormalHanging12a"/>
        <w:rPr>
          <w:b/>
          <w:i/>
        </w:rPr>
      </w:pPr>
      <w:r w:rsidRPr="00AF3419">
        <w:rPr>
          <w:b/>
          <w:i/>
        </w:rPr>
        <w:t>Rahaston toiminta</w:t>
      </w:r>
    </w:p>
    <w:p w14:paraId="654D8591" w14:textId="35652127" w:rsidR="00DA5264" w:rsidRPr="00AF3419" w:rsidRDefault="00DA5264" w:rsidP="00DA5264">
      <w:pPr>
        <w:pStyle w:val="NormalHanging12a"/>
      </w:pPr>
      <w:r w:rsidRPr="00AF3419">
        <w:t>25.</w:t>
      </w:r>
      <w:r w:rsidRPr="00AF3419">
        <w:tab/>
        <w:t>kehottaa jäsenvaltioita varmistamaan, että alueellisilla ja paikallisilla viranomaisilla sekä järjestöillä on sananvaltaa kansallisista budjeteista rahoitetuissa hankkeissa;</w:t>
      </w:r>
    </w:p>
    <w:p w14:paraId="6A09EECE" w14:textId="27D2B5FD" w:rsidR="00DA5264" w:rsidRPr="00AF3419" w:rsidRDefault="00DA5264" w:rsidP="00DA5264">
      <w:pPr>
        <w:pStyle w:val="NormalHanging12a"/>
      </w:pPr>
      <w:r w:rsidRPr="00AF3419">
        <w:t>26.</w:t>
      </w:r>
      <w:r w:rsidRPr="00AF3419">
        <w:tab/>
        <w:t>vaatii, että ESR+:n käyttöä koskevissa säännöissä on varmistettava oikeusvaltioperiaatteen, EU:n säännöstön, EU:n korkeimpien sosiaalinormien, sosiaalisten oikeuksien ja demokraattisten periaatteiden noudattaminen ja parannettava sitä ja että sääntöjen on oltava johdonmukaisia Euroopan sosiaalisten oikeuksien pilarin, YK:n kestävän kehityksen tavoitteiden sekä perus- ja ihmisoikeuksien ja työntekijöiden oikeuksien kanssa;</w:t>
      </w:r>
    </w:p>
    <w:p w14:paraId="1A1B3A97" w14:textId="2DE207B0" w:rsidR="00DA5264" w:rsidRPr="00AF3419" w:rsidRDefault="00DA5264" w:rsidP="00DA5264">
      <w:pPr>
        <w:pStyle w:val="NormalHanging12a"/>
      </w:pPr>
      <w:r w:rsidRPr="00AF3419">
        <w:t>27.</w:t>
      </w:r>
      <w:r w:rsidRPr="00AF3419">
        <w:tab/>
        <w:t>vaatii vankkoja ja tehokkaampia sosiaalisia ehtoja julkisia hankintoja ja käyttöoikeussopimuksia koskeviin sääntöihin ja tehokkaita seuraamuksia; rohkaisee komissiota luomaan Eurostatin tietoja täydentävän laajan tietokannan, jonka avulla voidaan seurata oikea-aikaisesti ja luotettavasti työllisyyden, elinolojen ja työmarkkinasuhteiden kehitystä;</w:t>
      </w:r>
    </w:p>
    <w:p w14:paraId="21A37FF5" w14:textId="17262151" w:rsidR="00DA5264" w:rsidRPr="00AF3419" w:rsidRDefault="00DA5264" w:rsidP="00DA5264">
      <w:pPr>
        <w:pStyle w:val="NormalHanging12a"/>
      </w:pPr>
      <w:r w:rsidRPr="00AF3419">
        <w:t>28.</w:t>
      </w:r>
      <w:r w:rsidRPr="00AF3419">
        <w:tab/>
        <w:t>vaatii vähentämään hallinnollista taakkaa, erityisesti yksinkertaistamalla rahoituksen hakuprosesseja ja järjestöjä koskevia ilmoitusmenettelyitä varsinkin pienempien järjestöjen osalta; varoittaa, ettei yksinkertaistaminen saa vaarantaa yhteistyöhön perustuvan hallinnoinnin, avoimuuden ja vastuuvelvollisuuden perusperiaatteita julkisten varojen moitteettoman hallinnoinnin varmistamiseksi;</w:t>
      </w:r>
    </w:p>
    <w:p w14:paraId="1870B053" w14:textId="32D28FE3" w:rsidR="00DA5264" w:rsidRPr="00AF3419" w:rsidRDefault="00DA5264" w:rsidP="00DA5264">
      <w:pPr>
        <w:pStyle w:val="NormalHanging12a"/>
      </w:pPr>
      <w:r w:rsidRPr="00AF3419">
        <w:t>29.</w:t>
      </w:r>
      <w:r w:rsidRPr="00AF3419">
        <w:tab/>
        <w:t>varoittaa, etteivät kaikki ihmiset ole valmistautuneita digitalisaatioon ja että tietyt ihmisryhmät, erityisesti heikoimmassa asemassa olevat, voivat tästä syystä menettää rahoitusmahdollisuuksia;</w:t>
      </w:r>
    </w:p>
    <w:p w14:paraId="36291D38" w14:textId="6BC97BAC" w:rsidR="00100069" w:rsidRPr="00AF3419" w:rsidRDefault="00DA5264" w:rsidP="00DA5264">
      <w:pPr>
        <w:pStyle w:val="NormalHanging12a"/>
      </w:pPr>
      <w:r w:rsidRPr="00AF3419">
        <w:t>30.</w:t>
      </w:r>
      <w:r w:rsidRPr="00AF3419">
        <w:tab/>
        <w:t>katsoo, että vielä on paljon tehtävää, jotta järjestöt ja ihmiset ovat selvillä kaikista ESR+:n tarjoamista mahdollisuuksista; vaatii komissiota ja jäsenvaltioita antamaan järjestöille tietoa ja neuvomaan niitä ESR+:n tarjoamista mahdollisuuksista;</w:t>
      </w:r>
    </w:p>
    <w:p w14:paraId="6252C89B" w14:textId="77777777" w:rsidR="00117BFC" w:rsidRPr="00AF3419" w:rsidRDefault="00117BFC" w:rsidP="00117BFC">
      <w:pPr>
        <w:pStyle w:val="NormalHanging12a"/>
        <w:jc w:val="center"/>
      </w:pPr>
      <w:r w:rsidRPr="00AF3419">
        <w:t>°</w:t>
      </w:r>
    </w:p>
    <w:p w14:paraId="1CE6C54B" w14:textId="77777777" w:rsidR="00117BFC" w:rsidRPr="00AF3419" w:rsidRDefault="00117BFC" w:rsidP="00193464">
      <w:pPr>
        <w:pStyle w:val="NormalHanging12a"/>
        <w:jc w:val="center"/>
      </w:pPr>
      <w:r w:rsidRPr="00AF3419">
        <w:t>°</w:t>
      </w:r>
      <w:r w:rsidRPr="00AF3419">
        <w:tab/>
        <w:t>°</w:t>
      </w:r>
    </w:p>
    <w:p w14:paraId="5C2B7FB3" w14:textId="77777777" w:rsidR="00100069" w:rsidRPr="00AF3419" w:rsidRDefault="00DA5264">
      <w:pPr>
        <w:pStyle w:val="NormalHanging12a"/>
      </w:pPr>
      <w:r w:rsidRPr="00AF3419">
        <w:t>31.</w:t>
      </w:r>
      <w:r w:rsidRPr="00AF3419">
        <w:tab/>
        <w:t>kehottaa puhemiestä välittämään tämän päätöslauselman neuvostolle ja komissiolle.</w:t>
      </w:r>
    </w:p>
    <w:p w14:paraId="0BCECB60" w14:textId="77777777" w:rsidR="00276B35" w:rsidRPr="00AF3419" w:rsidRDefault="00276B35" w:rsidP="00F3651F">
      <w:pPr>
        <w:sectPr w:rsidR="00276B35" w:rsidRPr="00AF3419" w:rsidSect="00AF34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75CD115" w14:textId="77777777" w:rsidR="00276B35" w:rsidRPr="00AF3419" w:rsidRDefault="00626460" w:rsidP="00276B35">
      <w:pPr>
        <w:pStyle w:val="PageHeading"/>
      </w:pPr>
      <w:bookmarkStart w:id="2" w:name="_Toc181950781"/>
      <w:r w:rsidRPr="00AF3419">
        <w:t>PERUSTELUT</w:t>
      </w:r>
      <w:bookmarkEnd w:id="2"/>
    </w:p>
    <w:p w14:paraId="19B3EEC6" w14:textId="5231A81A" w:rsidR="00DA5264" w:rsidRPr="00AF3419" w:rsidRDefault="00DA5264" w:rsidP="00DA5264">
      <w:pPr>
        <w:pStyle w:val="Normal12a"/>
      </w:pPr>
      <w:r w:rsidRPr="00AF3419">
        <w:t>Euroopan sosiaalirahaston vuosikymmenien tuloksekkaan toiminnan ja jatkamisen jälkeen perustettiin Euroopan sosiaalirahasto plus (ESR+) kaudeksi 2021–2027. ESR+:n tavoitteena on edistää Euroopan unionin sosiaalista toimintaohjelmaa, ja se on tärkeä väline Euroopan sosiaalisten oikeuksien pilarin periaatteiden toteuttamisessa. Sillä tuetaan jäsenvaltioita sekä paikallisia ja alueellisia viranomaisia ihmisiin investoimisessa korkeaa työllisyystasoa, oikeudenmukaista sosiaalista suojelua ja tulevaisuuden työelämään valmista osaavaa ja sopeutumiskykyistä työvoimaa edistävien toimenpiteiden avulla. Se on osoittanut tehokkaaksi, ja miljoonat ihmiset ovat hyötyneet ESR+:n tarjoamista mahdollisuuksista. ESR+ -rahaston avulla 6,8 miljoonaa ihmistä löysi työpaikan, 14,2 miljoonaa ihmistä sai ruoka-apua, 10,3 miljoonaa ihmistä saavutti pätevyyden ja 3 miljoonaa henkilöä pystyi osallistumaan opetukseen tai koulutukseen.</w:t>
      </w:r>
    </w:p>
    <w:p w14:paraId="26DBDACD" w14:textId="77777777" w:rsidR="00DA5264" w:rsidRPr="00AF3419" w:rsidRDefault="00DA5264" w:rsidP="00DA5264">
      <w:pPr>
        <w:pStyle w:val="Normal12a"/>
      </w:pPr>
      <w:r w:rsidRPr="00AF3419">
        <w:t>Nykyinen ohjelma päättyy vuonna 2027, minkä vuoksi meidän on mietittävä rahaston tulevaisuutta. Tämän esittelijän mietinnön tarkoituksena on lähettää selkeä ja vahva viesti Euroopan komissiolle siitä, miten tuleva Euroopan sosiaalirahasto plus pitäisi luoda.</w:t>
      </w:r>
    </w:p>
    <w:p w14:paraId="5B65BF24" w14:textId="25B194D2" w:rsidR="00DA5264" w:rsidRPr="00AF3419" w:rsidRDefault="00DA5264" w:rsidP="00DA5264">
      <w:pPr>
        <w:pStyle w:val="Normal12a"/>
      </w:pPr>
      <w:r w:rsidRPr="00AF3419">
        <w:t>On käynyt selväksi, että erityisesti maailman nykyisten kriisien vuoksi on haastavaa saavuttaa Euroopan sosiaalisten oikeuksien pilarin yleistavoitteita, joiden mukaan vuoteen 2030 mennessä vähintään 78 prosenttia 20–64-vuotiaista on työelämässä, vähintään 60</w:t>
      </w:r>
      <w:r w:rsidR="00BF46CD">
        <w:t> </w:t>
      </w:r>
      <w:r w:rsidRPr="00AF3419">
        <w:t>prosenttia kaikista aikuisista osallistuu koulutukseen vuosittain ja köyhyys- tai syrjäytymisvaarassa olevien määrää pienennetään ainakin 15 miljoonalla hengellä, joista vähintään 5 miljoonaa on lapsia. Vuonna 2023 EU:ssa oli köyhyys- tai syrjäytymisvaarassa lähes 100</w:t>
      </w:r>
      <w:r w:rsidR="00BF46CD">
        <w:t> </w:t>
      </w:r>
      <w:r w:rsidRPr="00AF3419">
        <w:t>miljoonaa ihmistä, joka on yli 20 prosenttia Euroopan unionin väestöstä. Köyhyys- tai syrjäytymisvaarassa ovat erityisesti lapset ja ihmiset, joilla on matala koulutustaso. Yli 45</w:t>
      </w:r>
      <w:r w:rsidR="00BF46CD">
        <w:t> </w:t>
      </w:r>
      <w:r w:rsidRPr="00AF3419">
        <w:t>prosenttia EU:ssa asuvista kolmansien maiden kansalaisista ja 28 prosenttia jossain toisessa EU-valtiossa asuvista Euroopan unionin kansalaisista on köyhyys- tai syrjäytymisvaarassa ja noin 10 prosenttia työssä käyvistä ihmisistä elää köyhyydessä. Hintojen ja elinkustannusten nousu on Euroopan unionin kansalaisten suurin huolenaihe. Vuoden 2027 jälkeisen ESR+:n suunnittelussa pitäisi huomioida tämä huolestuttava tosiasia.</w:t>
      </w:r>
    </w:p>
    <w:p w14:paraId="6962ABA8" w14:textId="77777777" w:rsidR="00DA5264" w:rsidRPr="00AF3419" w:rsidRDefault="00DA5264" w:rsidP="00DA5264">
      <w:pPr>
        <w:pStyle w:val="Normal12a"/>
      </w:pPr>
      <w:r w:rsidRPr="00AF3419">
        <w:t xml:space="preserve">Tämä huomioon ottaen tässä mietinnössä painotetaan sen merkitystä, että ESR+:n tukea voidaan jatkossakin kohdentaa rahastoa eniten tarvitseville ihmisille ja ryhmille, kuten köyhyydessä eläville ihmisille, vanhuksille, maahanmuuttajille, naisille, lapsille, vammaisille henkilöille ja oikeudenmukaista siirtymää tarvitseville ihmisille, ja että ESR+:lla saavutetaan kyseiset ryhmät. Rahaston on yhdessä työmarkkinaosapuolten ja kansalaisjärjestöjen kanssa vastattava näiden ihmisten tarpeisiin panostamalla Euroopan unionin sosiaaliseen ulottuvuuteen. Tämän rahaston pitäisi olla helposti käytettävissä ja osallistava, ja siinä pitäisi hyödyntää intersektionaalista lähestymistapaa. On tärkeää, että ESR+ on kaikenlaisten yhteiskunnallisten organisaatioiden ja yritysten käytettävissä kaikissa jäsenvaltioissa ja kaikilla alueilla. Kumppanuusperiaatetta olisi noudatettava ja vahvistettava. Tässä mietinnössä vaaditaan ESR+:n budjetin kaksinkertaistamista kaiken tämän saavuttamiseksi. </w:t>
      </w:r>
    </w:p>
    <w:p w14:paraId="0960353C" w14:textId="77777777" w:rsidR="00DA5264" w:rsidRPr="00AF3419" w:rsidRDefault="00DA5264" w:rsidP="00DA5264">
      <w:pPr>
        <w:pStyle w:val="Normal12a"/>
      </w:pPr>
      <w:r w:rsidRPr="00AF3419">
        <w:t xml:space="preserve">Lisäksi mietinnössä esitetään rahaston päätavoitteet, periaatteet ja toiminta sekä tietoa siitä annettavan tuen jakamisesta, kuten toistuva kehotus määrärahojen myöntämisestä lapsitakuulle. </w:t>
      </w:r>
    </w:p>
    <w:p w14:paraId="4AE6F32C" w14:textId="77777777" w:rsidR="00DA5264" w:rsidRPr="00AF3419" w:rsidRDefault="00DA5264" w:rsidP="00DA5264">
      <w:pPr>
        <w:pStyle w:val="Normal12a"/>
      </w:pPr>
    </w:p>
    <w:p w14:paraId="190BB78D" w14:textId="77777777" w:rsidR="00276B35" w:rsidRPr="00AF3419" w:rsidRDefault="00DA5264" w:rsidP="00DA5264">
      <w:pPr>
        <w:pStyle w:val="Normal12a"/>
      </w:pPr>
      <w:r w:rsidRPr="00AF3419">
        <w:t>ESR+ on ainutlaatuinen rahasto verrattuna muihin EU:n rahastoihin, sillä se kohdistuu erityisesti sosiaalialan politiikkoihin ja aloitteisiin. Tästä syystä kehotamme komissiota varmistamaan pikaisesti, että ESR+ toimii jatkossakin omana rahastonaan eikä sitä jaeta tai yhdistetä muihin rahastoihin. Yhdistäminen tai jakaminen hankaloittaisi sosiaalisten investointien, työllisyyshankkeiden ja sosiaalisen osallisuuden asettamista etusijalle ja niiden tavoittamista, jotka tarvitsevat sitä eniten, eikä meillä ole varaa siihen kaikkien tulevien haasteiden edessä.</w:t>
      </w:r>
    </w:p>
    <w:p w14:paraId="718D6A85" w14:textId="77777777" w:rsidR="00DA5264" w:rsidRPr="00AF3419" w:rsidRDefault="00DA5264">
      <w:pPr>
        <w:widowControl/>
        <w:sectPr w:rsidR="00DA5264" w:rsidRPr="00AF3419" w:rsidSect="00DA526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93C6966" w14:textId="77777777" w:rsidR="00DA5264" w:rsidRPr="00AF3419" w:rsidRDefault="00DA5264">
      <w:pPr>
        <w:widowControl/>
      </w:pPr>
    </w:p>
    <w:p w14:paraId="7DA45C45" w14:textId="77777777" w:rsidR="00DA5264" w:rsidRPr="00AF3419" w:rsidRDefault="00DA5264" w:rsidP="000219CF">
      <w:pPr>
        <w:pStyle w:val="PageHeading"/>
        <w:rPr>
          <w:noProof/>
        </w:rPr>
      </w:pPr>
      <w:bookmarkStart w:id="3" w:name="FootprintPageRR"/>
      <w:bookmarkStart w:id="4" w:name="_Toc181950782"/>
      <w:r w:rsidRPr="00AF3419">
        <w:t>LIITE: YHTEISÖT TAI HENKILÖT, JOILTA ESITTELIJÄ ON SAANUT TIETOJA</w:t>
      </w:r>
      <w:bookmarkEnd w:id="4"/>
    </w:p>
    <w:p w14:paraId="2574CAB0" w14:textId="7A40A283" w:rsidR="00DA5264" w:rsidRPr="00AF3419" w:rsidRDefault="00DA5264" w:rsidP="000219CF">
      <w:pPr>
        <w:pStyle w:val="Normal24a"/>
        <w:spacing w:after="240"/>
      </w:pPr>
      <w:r w:rsidRPr="00AF3419">
        <w:rPr>
          <w:rStyle w:val="HideTWBExt"/>
        </w:rPr>
        <w:t>&lt;FootprintIntro&gt;</w:t>
      </w:r>
      <w:r w:rsidRPr="00AF3419">
        <w:t>Esittelijä ilmoittaa työjärjestyksen liitteessä I olevan 8 artiklan mukaisesti saaneensa tietoja seuraavilta yhteisöiltä tai henkilöiltä valmistellessaan mietintöluonnosta:</w:t>
      </w:r>
      <w:r w:rsidRPr="00AF3419">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A5264" w:rsidRPr="00AF3419" w14:paraId="216781F8" w14:textId="77777777" w:rsidTr="000219CF">
        <w:tc>
          <w:tcPr>
            <w:tcW w:w="9060" w:type="dxa"/>
            <w:shd w:val="clear" w:color="auto" w:fill="auto"/>
          </w:tcPr>
          <w:p w14:paraId="0C909317" w14:textId="77777777" w:rsidR="00DA5264" w:rsidRPr="00AF3419" w:rsidRDefault="00DA5264" w:rsidP="00DA5264">
            <w:pPr>
              <w:pStyle w:val="NormalBoldCenter"/>
            </w:pPr>
            <w:r w:rsidRPr="00AF3419">
              <w:t>Yhteisö ja/tai henkilö</w:t>
            </w:r>
          </w:p>
        </w:tc>
      </w:tr>
      <w:tr w:rsidR="00DA5264" w:rsidRPr="00AF3419" w14:paraId="492466F7" w14:textId="77777777" w:rsidTr="000219CF">
        <w:tc>
          <w:tcPr>
            <w:tcW w:w="9060" w:type="dxa"/>
            <w:shd w:val="clear" w:color="auto" w:fill="auto"/>
          </w:tcPr>
          <w:p w14:paraId="1AF1CBCE" w14:textId="77777777" w:rsidR="00DA5264" w:rsidRPr="00AF3419" w:rsidRDefault="00DA5264" w:rsidP="00DA5264">
            <w:pPr>
              <w:pStyle w:val="NormalSingle"/>
            </w:pPr>
            <w:r w:rsidRPr="00AF3419">
              <w:t>European Trade Union Confederation</w:t>
            </w:r>
          </w:p>
        </w:tc>
      </w:tr>
      <w:tr w:rsidR="00DA5264" w:rsidRPr="00AF3419" w14:paraId="4B8DFF16" w14:textId="77777777" w:rsidTr="000219CF">
        <w:tc>
          <w:tcPr>
            <w:tcW w:w="9060" w:type="dxa"/>
            <w:shd w:val="clear" w:color="auto" w:fill="auto"/>
          </w:tcPr>
          <w:p w14:paraId="148EF65D" w14:textId="77777777" w:rsidR="00DA5264" w:rsidRPr="00AF3419" w:rsidRDefault="00DA5264" w:rsidP="00DA5264">
            <w:pPr>
              <w:pStyle w:val="NormalSingle"/>
            </w:pPr>
            <w:r w:rsidRPr="00AF3419">
              <w:t>FNV Nederland</w:t>
            </w:r>
          </w:p>
        </w:tc>
      </w:tr>
      <w:tr w:rsidR="00DA5264" w:rsidRPr="00AF3419" w14:paraId="414502A6" w14:textId="77777777" w:rsidTr="000219CF">
        <w:tc>
          <w:tcPr>
            <w:tcW w:w="9060" w:type="dxa"/>
            <w:shd w:val="clear" w:color="auto" w:fill="auto"/>
          </w:tcPr>
          <w:p w14:paraId="217FDCC4" w14:textId="77777777" w:rsidR="00DA5264" w:rsidRPr="00AF3419" w:rsidRDefault="00DA5264" w:rsidP="00DA5264">
            <w:pPr>
              <w:pStyle w:val="NormalSingle"/>
            </w:pPr>
            <w:r w:rsidRPr="00AF3419">
              <w:t>Deutscher Gewerkschaftsbund</w:t>
            </w:r>
          </w:p>
        </w:tc>
      </w:tr>
      <w:tr w:rsidR="00DA5264" w:rsidRPr="00AF3419" w14:paraId="436CE5B2" w14:textId="77777777" w:rsidTr="000219CF">
        <w:tc>
          <w:tcPr>
            <w:tcW w:w="9060" w:type="dxa"/>
            <w:shd w:val="clear" w:color="auto" w:fill="auto"/>
          </w:tcPr>
          <w:p w14:paraId="0F838408" w14:textId="77777777" w:rsidR="00DA5264" w:rsidRPr="00AF3419" w:rsidRDefault="00DA5264" w:rsidP="00DA5264">
            <w:pPr>
              <w:pStyle w:val="NormalSingle"/>
            </w:pPr>
            <w:r w:rsidRPr="00AF3419">
              <w:t>European Disability Forum</w:t>
            </w:r>
          </w:p>
        </w:tc>
      </w:tr>
      <w:tr w:rsidR="00DA5264" w:rsidRPr="00AF3419" w14:paraId="082CD350" w14:textId="77777777" w:rsidTr="000219CF">
        <w:tc>
          <w:tcPr>
            <w:tcW w:w="9060" w:type="dxa"/>
            <w:shd w:val="clear" w:color="auto" w:fill="auto"/>
          </w:tcPr>
          <w:p w14:paraId="43B4BFBF" w14:textId="77777777" w:rsidR="00DA5264" w:rsidRPr="00AF3419" w:rsidRDefault="00DA5264" w:rsidP="00DA5264">
            <w:pPr>
              <w:pStyle w:val="NormalSingle"/>
            </w:pPr>
            <w:r w:rsidRPr="00AF3419">
              <w:t>PICUM</w:t>
            </w:r>
          </w:p>
        </w:tc>
      </w:tr>
      <w:tr w:rsidR="00DA5264" w:rsidRPr="00AF3419" w14:paraId="0E2F0F6D" w14:textId="77777777" w:rsidTr="000219CF">
        <w:tc>
          <w:tcPr>
            <w:tcW w:w="9060" w:type="dxa"/>
            <w:shd w:val="clear" w:color="auto" w:fill="auto"/>
          </w:tcPr>
          <w:p w14:paraId="3AB35E22" w14:textId="77777777" w:rsidR="00DA5264" w:rsidRPr="00AF3419" w:rsidRDefault="00DA5264" w:rsidP="00DA5264">
            <w:pPr>
              <w:pStyle w:val="NormalSingle"/>
            </w:pPr>
            <w:r w:rsidRPr="00AF3419">
              <w:t>Save the Children</w:t>
            </w:r>
          </w:p>
        </w:tc>
      </w:tr>
      <w:tr w:rsidR="00DA5264" w:rsidRPr="00AF3419" w14:paraId="590B5323" w14:textId="77777777" w:rsidTr="000219CF">
        <w:tc>
          <w:tcPr>
            <w:tcW w:w="9060" w:type="dxa"/>
            <w:shd w:val="clear" w:color="auto" w:fill="auto"/>
          </w:tcPr>
          <w:p w14:paraId="3E6F909B" w14:textId="77777777" w:rsidR="00DA5264" w:rsidRPr="00AF3419" w:rsidRDefault="00DA5264" w:rsidP="00DA5264">
            <w:pPr>
              <w:pStyle w:val="NormalSingle"/>
            </w:pPr>
            <w:r w:rsidRPr="00AF3419">
              <w:t>COFACE Families Europe</w:t>
            </w:r>
          </w:p>
        </w:tc>
      </w:tr>
      <w:tr w:rsidR="00DA5264" w:rsidRPr="00AF3419" w14:paraId="56A05787" w14:textId="77777777" w:rsidTr="000219CF">
        <w:tc>
          <w:tcPr>
            <w:tcW w:w="9060" w:type="dxa"/>
            <w:shd w:val="clear" w:color="auto" w:fill="auto"/>
          </w:tcPr>
          <w:p w14:paraId="228154D6" w14:textId="77777777" w:rsidR="00DA5264" w:rsidRPr="00AF3419" w:rsidRDefault="00DA5264" w:rsidP="00DA5264">
            <w:pPr>
              <w:pStyle w:val="NormalSingle"/>
            </w:pPr>
            <w:r w:rsidRPr="00AF3419">
              <w:t>Red Cross</w:t>
            </w:r>
          </w:p>
        </w:tc>
      </w:tr>
      <w:tr w:rsidR="00DA5264" w:rsidRPr="00AF3419" w14:paraId="2F0D62F6" w14:textId="77777777" w:rsidTr="000219CF">
        <w:tc>
          <w:tcPr>
            <w:tcW w:w="9060" w:type="dxa"/>
            <w:shd w:val="clear" w:color="auto" w:fill="auto"/>
          </w:tcPr>
          <w:p w14:paraId="604AC250" w14:textId="1CA76A1D" w:rsidR="00DA5264" w:rsidRPr="00AF3419" w:rsidRDefault="00DA5264" w:rsidP="002C5A3E">
            <w:pPr>
              <w:pStyle w:val="NormalSingle"/>
            </w:pPr>
            <w:r w:rsidRPr="00AF3419">
              <w:t>European Anti-Poverty Network</w:t>
            </w:r>
          </w:p>
        </w:tc>
      </w:tr>
      <w:tr w:rsidR="00DA5264" w:rsidRPr="00AF3419" w14:paraId="4BA64CE5" w14:textId="77777777" w:rsidTr="000219CF">
        <w:tc>
          <w:tcPr>
            <w:tcW w:w="9060" w:type="dxa"/>
            <w:shd w:val="clear" w:color="auto" w:fill="auto"/>
          </w:tcPr>
          <w:p w14:paraId="2F9A406C" w14:textId="77777777" w:rsidR="00DA5264" w:rsidRPr="00AF3419" w:rsidRDefault="00DA5264" w:rsidP="00DA5264">
            <w:pPr>
              <w:pStyle w:val="NormalSingle"/>
            </w:pPr>
            <w:r w:rsidRPr="00AF3419">
              <w:t>Caritas</w:t>
            </w:r>
          </w:p>
        </w:tc>
      </w:tr>
      <w:tr w:rsidR="00DA5264" w:rsidRPr="00AF3419" w14:paraId="5B8B0C37" w14:textId="77777777" w:rsidTr="000219CF">
        <w:tc>
          <w:tcPr>
            <w:tcW w:w="9060" w:type="dxa"/>
            <w:shd w:val="clear" w:color="auto" w:fill="auto"/>
          </w:tcPr>
          <w:p w14:paraId="45E0C8FB" w14:textId="77777777" w:rsidR="00DA5264" w:rsidRPr="00AF3419" w:rsidRDefault="00DA5264" w:rsidP="00DA5264">
            <w:pPr>
              <w:pStyle w:val="NormalSingle"/>
            </w:pPr>
            <w:r w:rsidRPr="00AF3419">
              <w:t>Eurodiaconia</w:t>
            </w:r>
          </w:p>
        </w:tc>
      </w:tr>
      <w:tr w:rsidR="00DA5264" w:rsidRPr="00BF46CD" w14:paraId="10678408" w14:textId="77777777" w:rsidTr="000219CF">
        <w:tc>
          <w:tcPr>
            <w:tcW w:w="9060" w:type="dxa"/>
            <w:shd w:val="clear" w:color="auto" w:fill="auto"/>
          </w:tcPr>
          <w:p w14:paraId="00607B51" w14:textId="77777777" w:rsidR="00DA5264" w:rsidRPr="00BF46CD" w:rsidRDefault="00DA5264" w:rsidP="00DA5264">
            <w:pPr>
              <w:pStyle w:val="NormalSingle"/>
              <w:rPr>
                <w:lang w:val="en-GB"/>
              </w:rPr>
            </w:pPr>
            <w:r w:rsidRPr="00BF46CD">
              <w:rPr>
                <w:lang w:val="en-GB"/>
              </w:rPr>
              <w:t>European Association for the Education of Adults</w:t>
            </w:r>
          </w:p>
        </w:tc>
      </w:tr>
    </w:tbl>
    <w:p w14:paraId="6E40E3D2" w14:textId="77777777" w:rsidR="00DA5264" w:rsidRPr="00AF3419" w:rsidRDefault="00DA5264" w:rsidP="000219CF">
      <w:pPr>
        <w:pStyle w:val="Footprint12b"/>
      </w:pPr>
      <w:r w:rsidRPr="00AF3419">
        <w:t>Esittelijä on yksin vastuussa edellä olevan luettelon laatimisesta.</w:t>
      </w:r>
    </w:p>
    <w:p w14:paraId="4A70F158" w14:textId="2762E37B" w:rsidR="00DA5264" w:rsidRPr="00AF3419" w:rsidRDefault="00DA5264" w:rsidP="000219CF">
      <w:pPr>
        <w:pStyle w:val="Footprint12b"/>
      </w:pPr>
      <w:r w:rsidRPr="00AF3419">
        <w:t>Kun luettelossa mainitaan luonnollisen henkilön nimi ja/tai tehtävänimike, esittelijä vakuuttaa antaneensa kyseiselle henkilölle Euroopan parlamentin tietosuojaselosteen numero</w:t>
      </w:r>
      <w:r w:rsidR="00BF46CD">
        <w:t> </w:t>
      </w:r>
      <w:r w:rsidRPr="00AF3419">
        <w:t>484 (</w:t>
      </w:r>
      <w:hyperlink r:id="rId15" w:history="1">
        <w:r w:rsidRPr="00AF3419">
          <w:rPr>
            <w:rStyle w:val="Hyperlink"/>
          </w:rPr>
          <w:t>https://www.europarl.europa.eu/data-protect/index.do</w:t>
        </w:r>
      </w:hyperlink>
      <w:r w:rsidRPr="00AF3419">
        <w:t>), jossa määritetään henkilötietojen käsittelyyn sovellettavat ehdot ja siihen liittyvät oikeudet.</w:t>
      </w:r>
    </w:p>
    <w:bookmarkEnd w:id="3"/>
    <w:p w14:paraId="0DCF1E72" w14:textId="77777777" w:rsidR="00100069" w:rsidRPr="00AF3419" w:rsidRDefault="00100069" w:rsidP="00F3651F"/>
    <w:sectPr w:rsidR="00100069" w:rsidRPr="00AF3419" w:rsidSect="00DA526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5D797" w14:textId="77777777" w:rsidR="00D76CCE" w:rsidRPr="00AF3419" w:rsidRDefault="00D76CCE">
      <w:r w:rsidRPr="00AF3419">
        <w:separator/>
      </w:r>
    </w:p>
  </w:endnote>
  <w:endnote w:type="continuationSeparator" w:id="0">
    <w:p w14:paraId="17E390CC" w14:textId="77777777" w:rsidR="00D76CCE" w:rsidRPr="00AF3419" w:rsidRDefault="00D76CCE">
      <w:r w:rsidRPr="00AF34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FF5C3" w14:textId="57034246" w:rsidR="00AF3419" w:rsidRPr="00AF3419" w:rsidRDefault="00AF3419" w:rsidP="00AF3419">
    <w:pPr>
      <w:pStyle w:val="EPFooter"/>
    </w:pPr>
    <w:r w:rsidRPr="00AF3419">
      <w:t>PE</w:t>
    </w:r>
    <w:r w:rsidRPr="00AF3419">
      <w:rPr>
        <w:rStyle w:val="HideTWBExt"/>
      </w:rPr>
      <w:t>&lt;NoPE&gt;</w:t>
    </w:r>
    <w:r w:rsidRPr="00AF3419">
      <w:t>765.062</w:t>
    </w:r>
    <w:r w:rsidRPr="00AF3419">
      <w:rPr>
        <w:rStyle w:val="HideTWBExt"/>
      </w:rPr>
      <w:t>&lt;/NoPE&gt;&lt;Version&gt;</w:t>
    </w:r>
    <w:r w:rsidRPr="00AF3419">
      <w:t>v01-00</w:t>
    </w:r>
    <w:r w:rsidRPr="00AF3419">
      <w:rPr>
        <w:rStyle w:val="HideTWBExt"/>
      </w:rPr>
      <w:t>&lt;/Version&gt;</w:t>
    </w:r>
    <w:r w:rsidRPr="00AF3419">
      <w:tab/>
    </w:r>
    <w:r w:rsidRPr="00AF3419">
      <w:fldChar w:fldCharType="begin"/>
    </w:r>
    <w:r w:rsidRPr="00AF3419">
      <w:instrText xml:space="preserve"> PAGE  \* MERGEFORMAT </w:instrText>
    </w:r>
    <w:r w:rsidRPr="00AF3419">
      <w:fldChar w:fldCharType="separate"/>
    </w:r>
    <w:r w:rsidR="00BF46CD">
      <w:rPr>
        <w:noProof/>
      </w:rPr>
      <w:t>2</w:t>
    </w:r>
    <w:r w:rsidRPr="00AF3419">
      <w:fldChar w:fldCharType="end"/>
    </w:r>
    <w:r w:rsidRPr="00AF3419">
      <w:t>/</w:t>
    </w:r>
    <w:fldSimple w:instr=" NUMPAGES  \* MERGEFORMAT ">
      <w:r w:rsidR="00BF46CD">
        <w:rPr>
          <w:noProof/>
        </w:rPr>
        <w:t>12</w:t>
      </w:r>
    </w:fldSimple>
    <w:r w:rsidRPr="00AF3419">
      <w:tab/>
    </w:r>
    <w:r w:rsidRPr="00AF3419">
      <w:rPr>
        <w:rStyle w:val="HideTWBExt"/>
      </w:rPr>
      <w:t>&lt;PathFdR&gt;</w:t>
    </w:r>
    <w:r w:rsidRPr="00AF3419">
      <w:t>PR\1307972FI.docx</w:t>
    </w:r>
    <w:r w:rsidRPr="00AF3419">
      <w:rPr>
        <w:rStyle w:val="HideTWBExt"/>
      </w:rPr>
      <w:t>&lt;/PathFdR&gt;</w:t>
    </w:r>
  </w:p>
  <w:p w14:paraId="06F7EAAB" w14:textId="7FFE6C67" w:rsidR="00D76CCE" w:rsidRPr="00AF3419" w:rsidRDefault="00AF3419" w:rsidP="00AF3419">
    <w:pPr>
      <w:pStyle w:val="EPFooter2"/>
    </w:pPr>
    <w:r w:rsidRPr="00AF3419">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D7490" w14:textId="0BCA837F" w:rsidR="00AF3419" w:rsidRPr="00AF3419" w:rsidRDefault="00AF3419" w:rsidP="00AF3419">
    <w:pPr>
      <w:pStyle w:val="EPFooter"/>
    </w:pPr>
    <w:r w:rsidRPr="00AF3419">
      <w:rPr>
        <w:rStyle w:val="HideTWBExt"/>
      </w:rPr>
      <w:t>&lt;PathFdR&gt;</w:t>
    </w:r>
    <w:r w:rsidRPr="00AF3419">
      <w:t>PR\1307972FI.docx</w:t>
    </w:r>
    <w:r w:rsidRPr="00AF3419">
      <w:rPr>
        <w:rStyle w:val="HideTWBExt"/>
      </w:rPr>
      <w:t>&lt;/PathFdR&gt;</w:t>
    </w:r>
    <w:r w:rsidRPr="00AF3419">
      <w:tab/>
    </w:r>
    <w:r w:rsidRPr="00AF3419">
      <w:fldChar w:fldCharType="begin"/>
    </w:r>
    <w:r w:rsidRPr="00AF3419">
      <w:instrText xml:space="preserve"> PAGE  \* MERGEFORMAT </w:instrText>
    </w:r>
    <w:r w:rsidRPr="00AF3419">
      <w:fldChar w:fldCharType="separate"/>
    </w:r>
    <w:r w:rsidR="00BF46CD">
      <w:rPr>
        <w:noProof/>
      </w:rPr>
      <w:t>11</w:t>
    </w:r>
    <w:r w:rsidRPr="00AF3419">
      <w:fldChar w:fldCharType="end"/>
    </w:r>
    <w:r w:rsidRPr="00AF3419">
      <w:t>/</w:t>
    </w:r>
    <w:fldSimple w:instr=" NUMPAGES  \* MERGEFORMAT ">
      <w:r w:rsidR="00BF46CD">
        <w:rPr>
          <w:noProof/>
        </w:rPr>
        <w:t>12</w:t>
      </w:r>
    </w:fldSimple>
    <w:r w:rsidRPr="00AF3419">
      <w:tab/>
      <w:t>PE</w:t>
    </w:r>
    <w:r w:rsidRPr="00AF3419">
      <w:rPr>
        <w:rStyle w:val="HideTWBExt"/>
      </w:rPr>
      <w:t>&lt;NoPE&gt;</w:t>
    </w:r>
    <w:r w:rsidRPr="00AF3419">
      <w:t>765.062</w:t>
    </w:r>
    <w:r w:rsidRPr="00AF3419">
      <w:rPr>
        <w:rStyle w:val="HideTWBExt"/>
      </w:rPr>
      <w:t>&lt;/NoPE&gt;&lt;Version&gt;</w:t>
    </w:r>
    <w:r w:rsidRPr="00AF3419">
      <w:t>v01-00</w:t>
    </w:r>
    <w:r w:rsidRPr="00AF3419">
      <w:rPr>
        <w:rStyle w:val="HideTWBExt"/>
      </w:rPr>
      <w:t>&lt;/Version&gt;</w:t>
    </w:r>
  </w:p>
  <w:p w14:paraId="2E09EA66" w14:textId="66195E42" w:rsidR="00D76CCE" w:rsidRPr="00AF3419" w:rsidRDefault="00AF3419" w:rsidP="00AF3419">
    <w:pPr>
      <w:pStyle w:val="EPFooter2"/>
    </w:pPr>
    <w:r w:rsidRPr="00AF3419">
      <w:tab/>
    </w:r>
    <w:r w:rsidRPr="00AF3419">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F2FD4" w14:textId="77777777" w:rsidR="00AF3419" w:rsidRPr="00AF3419" w:rsidRDefault="00AF3419" w:rsidP="00AF3419">
    <w:pPr>
      <w:pStyle w:val="EPFooter"/>
    </w:pPr>
    <w:r w:rsidRPr="00AF3419">
      <w:rPr>
        <w:rStyle w:val="HideTWBExt"/>
      </w:rPr>
      <w:t>&lt;PathFdR&gt;</w:t>
    </w:r>
    <w:r w:rsidRPr="00AF3419">
      <w:t>PR\1307972FI.docx</w:t>
    </w:r>
    <w:r w:rsidRPr="00AF3419">
      <w:rPr>
        <w:rStyle w:val="HideTWBExt"/>
      </w:rPr>
      <w:t>&lt;/PathFdR&gt;</w:t>
    </w:r>
    <w:r w:rsidRPr="00AF3419">
      <w:tab/>
    </w:r>
    <w:r w:rsidRPr="00AF3419">
      <w:tab/>
      <w:t>PE</w:t>
    </w:r>
    <w:r w:rsidRPr="00AF3419">
      <w:rPr>
        <w:rStyle w:val="HideTWBExt"/>
      </w:rPr>
      <w:t>&lt;NoPE&gt;</w:t>
    </w:r>
    <w:r w:rsidRPr="00AF3419">
      <w:t>765.062</w:t>
    </w:r>
    <w:r w:rsidRPr="00AF3419">
      <w:rPr>
        <w:rStyle w:val="HideTWBExt"/>
      </w:rPr>
      <w:t>&lt;/NoPE&gt;&lt;Version&gt;</w:t>
    </w:r>
    <w:r w:rsidRPr="00AF3419">
      <w:t>v01-00</w:t>
    </w:r>
    <w:r w:rsidRPr="00AF3419">
      <w:rPr>
        <w:rStyle w:val="HideTWBExt"/>
      </w:rPr>
      <w:t>&lt;/Version&gt;</w:t>
    </w:r>
  </w:p>
  <w:p w14:paraId="14C10D4E" w14:textId="32678F3D" w:rsidR="00D76CCE" w:rsidRPr="00AF3419" w:rsidRDefault="00AF3419" w:rsidP="00AF3419">
    <w:pPr>
      <w:pStyle w:val="EPFooter2"/>
    </w:pPr>
    <w:r w:rsidRPr="00AF3419">
      <w:t>FI</w:t>
    </w:r>
    <w:r w:rsidRPr="00AF3419">
      <w:tab/>
    </w:r>
    <w:r w:rsidRPr="00AF3419">
      <w:rPr>
        <w:b w:val="0"/>
        <w:i/>
        <w:color w:val="C0C0C0"/>
        <w:sz w:val="22"/>
      </w:rPr>
      <w:t>Moninaisuudessaan yhtenäinen</w:t>
    </w:r>
    <w:r w:rsidRPr="00AF3419">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80AA92" w14:textId="77777777" w:rsidR="00D76CCE" w:rsidRPr="00AF3419" w:rsidRDefault="00D76CCE">
      <w:r w:rsidRPr="00AF3419">
        <w:separator/>
      </w:r>
    </w:p>
  </w:footnote>
  <w:footnote w:type="continuationSeparator" w:id="0">
    <w:p w14:paraId="5F7A11BB" w14:textId="77777777" w:rsidR="00D76CCE" w:rsidRPr="00AF3419" w:rsidRDefault="00D76CCE">
      <w:r w:rsidRPr="00AF3419">
        <w:continuationSeparator/>
      </w:r>
    </w:p>
  </w:footnote>
  <w:footnote w:id="1">
    <w:p w14:paraId="3D8D3C1B" w14:textId="0AC59303" w:rsidR="00D76CCE" w:rsidRPr="00AF3419" w:rsidRDefault="00D76CCE">
      <w:pPr>
        <w:pStyle w:val="FootnoteText"/>
      </w:pPr>
      <w:r w:rsidRPr="00AF3419">
        <w:rPr>
          <w:rStyle w:val="FootnoteReference"/>
        </w:rPr>
        <w:footnoteRef/>
      </w:r>
      <w:r w:rsidRPr="00AF3419">
        <w:t xml:space="preserve"> EUVL L 231, 30.6.2021, s. 21, ELI: </w:t>
      </w:r>
      <w:hyperlink r:id="rId1" w:tooltip="Linkki asiakirjaan sen ELI-tunnukseen perustuvan URI-osoitteen kautta." w:history="1">
        <w:r w:rsidRPr="00AF3419">
          <w:rPr>
            <w:rStyle w:val="Hyperlink"/>
          </w:rPr>
          <w:t>http://data.europa.eu/eli/reg/2021/1057/oj</w:t>
        </w:r>
      </w:hyperlink>
      <w:r w:rsidRPr="00AF3419">
        <w:t>.</w:t>
      </w:r>
    </w:p>
  </w:footnote>
  <w:footnote w:id="2">
    <w:p w14:paraId="11F3E8F5" w14:textId="1D06B580" w:rsidR="00D76CCE" w:rsidRPr="00AF3419" w:rsidRDefault="00D76CCE">
      <w:pPr>
        <w:pStyle w:val="FootnoteText"/>
      </w:pPr>
      <w:r w:rsidRPr="00AF3419">
        <w:rPr>
          <w:rStyle w:val="FootnoteReference"/>
        </w:rPr>
        <w:footnoteRef/>
      </w:r>
      <w:r w:rsidRPr="00AF3419">
        <w:t xml:space="preserve"> EUVL C 506, 15.12.2021, s. 94.</w:t>
      </w:r>
    </w:p>
  </w:footnote>
  <w:footnote w:id="3">
    <w:p w14:paraId="363AB1D2" w14:textId="58A58685" w:rsidR="00D76CCE" w:rsidRPr="00AF3419" w:rsidRDefault="00D76CCE">
      <w:pPr>
        <w:pStyle w:val="FootnoteText"/>
      </w:pPr>
      <w:r w:rsidRPr="00AF3419">
        <w:rPr>
          <w:rStyle w:val="FootnoteReference"/>
        </w:rPr>
        <w:footnoteRef/>
      </w:r>
      <w:r w:rsidRPr="00AF3419">
        <w:t xml:space="preserve"> EUVL C, C/2024/4212, 24.7.2024, ELI: </w:t>
      </w:r>
      <w:hyperlink r:id="rId2" w:tgtFrame="_blank" w:tooltip="Linkki asiakirjaan sen ELI-tunnukseen perustuvan URI-osoitteen kautta." w:history="1">
        <w:r w:rsidRPr="00AF3419">
          <w:rPr>
            <w:rStyle w:val="Hyperlink"/>
          </w:rPr>
          <w:t>http://data.europa.eu/eli/C/2024/4212/oj</w:t>
        </w:r>
      </w:hyperlink>
      <w:r w:rsidRPr="00AF3419">
        <w:t>.</w:t>
      </w:r>
    </w:p>
  </w:footnote>
  <w:footnote w:id="4">
    <w:p w14:paraId="5FE150EB" w14:textId="15068DA1" w:rsidR="00D76CCE" w:rsidRPr="00AF3419" w:rsidRDefault="00D76CCE">
      <w:pPr>
        <w:pStyle w:val="FootnoteText"/>
      </w:pPr>
      <w:r w:rsidRPr="00AF3419">
        <w:rPr>
          <w:rStyle w:val="FootnoteReference"/>
        </w:rPr>
        <w:footnoteRef/>
      </w:r>
      <w:r w:rsidRPr="00AF3419">
        <w:t xml:space="preserve"> EUVL C 395, 29.9.2021, s. 101.</w:t>
      </w:r>
    </w:p>
  </w:footnote>
  <w:footnote w:id="5">
    <w:p w14:paraId="59D34F80" w14:textId="24786751" w:rsidR="00D76CCE" w:rsidRPr="00AF3419" w:rsidRDefault="00D76CCE">
      <w:pPr>
        <w:pStyle w:val="FootnoteText"/>
      </w:pPr>
      <w:r w:rsidRPr="00AF3419">
        <w:rPr>
          <w:rStyle w:val="FootnoteReference"/>
        </w:rPr>
        <w:footnoteRef/>
      </w:r>
      <w:r w:rsidRPr="00AF3419">
        <w:t xml:space="preserve"> EUVL C 47, 7.2.2023, s. 30.</w:t>
      </w:r>
    </w:p>
  </w:footnote>
  <w:footnote w:id="6">
    <w:p w14:paraId="471788B5" w14:textId="168B1EA3" w:rsidR="00D76CCE" w:rsidRPr="00AF3419" w:rsidRDefault="00D76CCE">
      <w:pPr>
        <w:pStyle w:val="FootnoteText"/>
      </w:pPr>
      <w:r w:rsidRPr="00AF3419">
        <w:rPr>
          <w:rStyle w:val="FootnoteReference"/>
        </w:rPr>
        <w:footnoteRef/>
      </w:r>
      <w:r w:rsidRPr="00AF3419">
        <w:t xml:space="preserve"> EUVL C 362, 8.9.2021, s. 8.</w:t>
      </w:r>
    </w:p>
  </w:footnote>
  <w:footnote w:id="7">
    <w:p w14:paraId="5F8481A4" w14:textId="6D5909A0" w:rsidR="00D76CCE" w:rsidRPr="00AF3419" w:rsidRDefault="00D76CCE">
      <w:pPr>
        <w:pStyle w:val="FootnoteText"/>
      </w:pPr>
      <w:r w:rsidRPr="00AF3419">
        <w:rPr>
          <w:rStyle w:val="FootnoteReference"/>
        </w:rPr>
        <w:footnoteRef/>
      </w:r>
      <w:r w:rsidRPr="00AF3419">
        <w:t xml:space="preserve"> EUVL C 177, 17.5.2023, s. 13.</w:t>
      </w:r>
    </w:p>
  </w:footnote>
  <w:footnote w:id="8">
    <w:p w14:paraId="0D501A52" w14:textId="1CC2282D" w:rsidR="00D76CCE" w:rsidRPr="00AF3419" w:rsidRDefault="00D76CCE">
      <w:pPr>
        <w:pStyle w:val="FootnoteText"/>
      </w:pPr>
      <w:r w:rsidRPr="00AF3419">
        <w:rPr>
          <w:rStyle w:val="FootnoteReference"/>
        </w:rPr>
        <w:footnoteRef/>
      </w:r>
      <w:r w:rsidRPr="00AF3419">
        <w:t xml:space="preserve"> EUVL C 425, 20.10.2021, s. 2.</w:t>
      </w:r>
    </w:p>
  </w:footnote>
  <w:footnote w:id="9">
    <w:p w14:paraId="7B42E36C" w14:textId="3B221178" w:rsidR="00D76CCE" w:rsidRPr="00AF3419" w:rsidRDefault="00D76CCE">
      <w:pPr>
        <w:pStyle w:val="FootnoteText"/>
      </w:pPr>
      <w:r w:rsidRPr="00AF3419">
        <w:rPr>
          <w:rStyle w:val="FootnoteReference"/>
        </w:rPr>
        <w:footnoteRef/>
      </w:r>
      <w:r w:rsidRPr="00AF3419">
        <w:t xml:space="preserve"> EUVL C 456, 10.11.2021, s. 145.</w:t>
      </w:r>
    </w:p>
  </w:footnote>
  <w:footnote w:id="10">
    <w:p w14:paraId="7870FDA1" w14:textId="61269181" w:rsidR="00D76CCE" w:rsidRPr="00AF3419" w:rsidRDefault="00D76CCE">
      <w:pPr>
        <w:pStyle w:val="FootnoteText"/>
      </w:pPr>
      <w:r w:rsidRPr="00AF3419">
        <w:rPr>
          <w:rStyle w:val="FootnoteReference"/>
        </w:rPr>
        <w:footnoteRef/>
      </w:r>
      <w:r w:rsidRPr="00AF3419">
        <w:t xml:space="preserve"> EUVL C, C/2024/4224, 24.7.2024, ELI: </w:t>
      </w:r>
      <w:hyperlink r:id="rId3" w:tgtFrame="_blank" w:tooltip="Linkki asiakirjaan sen ELI-tunnukseen perustuvan URI-osoitteen kautta." w:history="1">
        <w:r w:rsidRPr="00AF3419">
          <w:rPr>
            <w:rStyle w:val="Hyperlink"/>
          </w:rPr>
          <w:t>http://data.europa.eu/eli/C/2024/4224/oj</w:t>
        </w:r>
      </w:hyperlink>
      <w:r w:rsidRPr="00AF3419">
        <w:t>.</w:t>
      </w:r>
    </w:p>
  </w:footnote>
  <w:footnote w:id="11">
    <w:p w14:paraId="2CB6FE43" w14:textId="76EB795F" w:rsidR="00D76CCE" w:rsidRPr="00AF3419" w:rsidRDefault="00D76CCE">
      <w:pPr>
        <w:pStyle w:val="FootnoteText"/>
      </w:pPr>
      <w:r w:rsidRPr="00AF3419">
        <w:rPr>
          <w:rStyle w:val="FootnoteReference"/>
        </w:rPr>
        <w:footnoteRef/>
      </w:r>
      <w:r w:rsidRPr="00AF3419">
        <w:t xml:space="preserve"> EUVL C 456, 10.11.2021, s. 208.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7A464" w14:textId="77777777" w:rsidR="00BF46CD" w:rsidRDefault="00BF46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E2285" w14:textId="77777777" w:rsidR="00BF46CD" w:rsidRDefault="00BF46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5189D" w14:textId="77777777" w:rsidR="00BF46CD" w:rsidRDefault="00BF46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activeWritingStyle w:appName="MSWord" w:lang="en-GB" w:vendorID="64" w:dllVersion="131078" w:nlCheck="1" w:checkStyle="1"/>
  <w:activeWritingStyle w:appName="MSWord" w:lang="it-IT" w:vendorID="64" w:dllVersion="131078" w:nlCheck="1" w:checkStyle="0"/>
  <w:activeWritingStyle w:appName="MSWord" w:lang="fi-FI"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2"/>
    <w:docVar w:name="COMKEY" w:val="EMPL"/>
    <w:docVar w:name="CONTRIBUTIONMNU" w:val=" 1"/>
    <w:docVar w:name="DOCDT" w:val="24/10/2024"/>
    <w:docVar w:name="LastEditedSection" w:val=" 1"/>
    <w:docVar w:name="MOTIONMNU" w:val=" 1"/>
    <w:docVar w:name="NVAR1" w:val="0"/>
    <w:docVar w:name="RULEMNU" w:val=" 1"/>
    <w:docVar w:name="strDocTypeID" w:val="PR_INI"/>
    <w:docVar w:name="strSubDir" w:val="1307"/>
    <w:docVar w:name="TITLEMNU" w:val=" 1"/>
    <w:docVar w:name="TXTLANGUE" w:val="EN"/>
    <w:docVar w:name="TXTLANGUEMIN" w:val="en"/>
    <w:docVar w:name="TXTNRINI" w:val="2024/xxxx"/>
    <w:docVar w:name="TXTNRPE" w:val="765.062"/>
    <w:docVar w:name="TXTPEorAP" w:val="PE"/>
    <w:docVar w:name="TXTROUTE" w:val="PR\1307972EN.docx"/>
    <w:docVar w:name="TXTTITLE" w:val="the European Social Fund Plus post-2027"/>
    <w:docVar w:name="TXTVERSION" w:val="01-00"/>
  </w:docVars>
  <w:rsids>
    <w:rsidRoot w:val="00626460"/>
    <w:rsid w:val="000219CF"/>
    <w:rsid w:val="00040EAC"/>
    <w:rsid w:val="0007541B"/>
    <w:rsid w:val="00082B37"/>
    <w:rsid w:val="00092F6F"/>
    <w:rsid w:val="000B4164"/>
    <w:rsid w:val="000D2631"/>
    <w:rsid w:val="000E5AAD"/>
    <w:rsid w:val="000F662C"/>
    <w:rsid w:val="00100069"/>
    <w:rsid w:val="001046B1"/>
    <w:rsid w:val="00105C44"/>
    <w:rsid w:val="00117BFC"/>
    <w:rsid w:val="001232AB"/>
    <w:rsid w:val="00124F43"/>
    <w:rsid w:val="00153F8E"/>
    <w:rsid w:val="001631E7"/>
    <w:rsid w:val="0016502E"/>
    <w:rsid w:val="00191C40"/>
    <w:rsid w:val="00193464"/>
    <w:rsid w:val="001A0E45"/>
    <w:rsid w:val="001A7F2E"/>
    <w:rsid w:val="001B207D"/>
    <w:rsid w:val="001E3962"/>
    <w:rsid w:val="001E3FEE"/>
    <w:rsid w:val="001E7DA2"/>
    <w:rsid w:val="002116EB"/>
    <w:rsid w:val="002147C0"/>
    <w:rsid w:val="00220243"/>
    <w:rsid w:val="0023245A"/>
    <w:rsid w:val="00236592"/>
    <w:rsid w:val="002475DB"/>
    <w:rsid w:val="002544DF"/>
    <w:rsid w:val="00267482"/>
    <w:rsid w:val="00276B35"/>
    <w:rsid w:val="002914AB"/>
    <w:rsid w:val="00291DEE"/>
    <w:rsid w:val="00296405"/>
    <w:rsid w:val="002C4DC7"/>
    <w:rsid w:val="002C5A3E"/>
    <w:rsid w:val="00335F69"/>
    <w:rsid w:val="00395A66"/>
    <w:rsid w:val="00397AD9"/>
    <w:rsid w:val="003A437A"/>
    <w:rsid w:val="003B3E99"/>
    <w:rsid w:val="003C79CB"/>
    <w:rsid w:val="003E6413"/>
    <w:rsid w:val="004016B4"/>
    <w:rsid w:val="00417B73"/>
    <w:rsid w:val="004200B3"/>
    <w:rsid w:val="00432B50"/>
    <w:rsid w:val="00455003"/>
    <w:rsid w:val="004607B2"/>
    <w:rsid w:val="00466A1A"/>
    <w:rsid w:val="004A756E"/>
    <w:rsid w:val="004E6C69"/>
    <w:rsid w:val="004F1304"/>
    <w:rsid w:val="005074FE"/>
    <w:rsid w:val="005178FF"/>
    <w:rsid w:val="00531F4C"/>
    <w:rsid w:val="005369CC"/>
    <w:rsid w:val="00536E5F"/>
    <w:rsid w:val="005577C3"/>
    <w:rsid w:val="00584A07"/>
    <w:rsid w:val="00585920"/>
    <w:rsid w:val="005A1A16"/>
    <w:rsid w:val="005D4DA6"/>
    <w:rsid w:val="0062501D"/>
    <w:rsid w:val="00626460"/>
    <w:rsid w:val="006272CD"/>
    <w:rsid w:val="00632C11"/>
    <w:rsid w:val="0064126C"/>
    <w:rsid w:val="00660D16"/>
    <w:rsid w:val="006D6380"/>
    <w:rsid w:val="00705D44"/>
    <w:rsid w:val="00714A95"/>
    <w:rsid w:val="00724A7F"/>
    <w:rsid w:val="00726C82"/>
    <w:rsid w:val="00762227"/>
    <w:rsid w:val="00781EA7"/>
    <w:rsid w:val="00783565"/>
    <w:rsid w:val="007963C6"/>
    <w:rsid w:val="007F1712"/>
    <w:rsid w:val="00805293"/>
    <w:rsid w:val="00814009"/>
    <w:rsid w:val="0083512E"/>
    <w:rsid w:val="00865656"/>
    <w:rsid w:val="008C4C65"/>
    <w:rsid w:val="0090583E"/>
    <w:rsid w:val="0095536F"/>
    <w:rsid w:val="00956282"/>
    <w:rsid w:val="009742B0"/>
    <w:rsid w:val="00975FD7"/>
    <w:rsid w:val="00996AC6"/>
    <w:rsid w:val="009E2F59"/>
    <w:rsid w:val="009E4ABB"/>
    <w:rsid w:val="00A45202"/>
    <w:rsid w:val="00AC715B"/>
    <w:rsid w:val="00AD485B"/>
    <w:rsid w:val="00AF310F"/>
    <w:rsid w:val="00AF3419"/>
    <w:rsid w:val="00AF47CC"/>
    <w:rsid w:val="00B17532"/>
    <w:rsid w:val="00B213DC"/>
    <w:rsid w:val="00BA2A57"/>
    <w:rsid w:val="00BA5076"/>
    <w:rsid w:val="00BB70F1"/>
    <w:rsid w:val="00BC7C60"/>
    <w:rsid w:val="00BF46CD"/>
    <w:rsid w:val="00C00074"/>
    <w:rsid w:val="00C309C0"/>
    <w:rsid w:val="00C64F8B"/>
    <w:rsid w:val="00C67641"/>
    <w:rsid w:val="00C72CF1"/>
    <w:rsid w:val="00C8368D"/>
    <w:rsid w:val="00C93A60"/>
    <w:rsid w:val="00CC196D"/>
    <w:rsid w:val="00CD3E8A"/>
    <w:rsid w:val="00CE05B1"/>
    <w:rsid w:val="00D045C3"/>
    <w:rsid w:val="00D31D25"/>
    <w:rsid w:val="00D47BB0"/>
    <w:rsid w:val="00D76CCE"/>
    <w:rsid w:val="00D83505"/>
    <w:rsid w:val="00D862B4"/>
    <w:rsid w:val="00D9535F"/>
    <w:rsid w:val="00DA0F0E"/>
    <w:rsid w:val="00DA5264"/>
    <w:rsid w:val="00DB4680"/>
    <w:rsid w:val="00DD435C"/>
    <w:rsid w:val="00DD7B9D"/>
    <w:rsid w:val="00DF3D46"/>
    <w:rsid w:val="00E155CA"/>
    <w:rsid w:val="00E3537C"/>
    <w:rsid w:val="00E46039"/>
    <w:rsid w:val="00E61690"/>
    <w:rsid w:val="00EA5439"/>
    <w:rsid w:val="00EA672C"/>
    <w:rsid w:val="00EC6C5A"/>
    <w:rsid w:val="00F01400"/>
    <w:rsid w:val="00F032DB"/>
    <w:rsid w:val="00F0388A"/>
    <w:rsid w:val="00F076A5"/>
    <w:rsid w:val="00F3651F"/>
    <w:rsid w:val="00F43265"/>
    <w:rsid w:val="00F52CCC"/>
    <w:rsid w:val="00F714A9"/>
    <w:rsid w:val="00F76452"/>
    <w:rsid w:val="00FD3897"/>
    <w:rsid w:val="00FD6D1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A72E6C"/>
  <w15:chartTrackingRefBased/>
  <w15:docId w15:val="{52120D0C-F3F7-4E1A-BBC2-76A5446C8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styleId="FootnoteText">
    <w:name w:val="footnote text"/>
    <w:basedOn w:val="Normal"/>
    <w:link w:val="FootnoteTextChar"/>
    <w:rsid w:val="00DA5264"/>
    <w:rPr>
      <w:sz w:val="20"/>
    </w:rPr>
  </w:style>
  <w:style w:type="character" w:customStyle="1" w:styleId="FootnoteTextChar">
    <w:name w:val="Footnote Text Char"/>
    <w:basedOn w:val="DefaultParagraphFont"/>
    <w:link w:val="FootnoteText"/>
    <w:rsid w:val="00DA5264"/>
  </w:style>
  <w:style w:type="character" w:styleId="FootnoteReference">
    <w:name w:val="footnote reference"/>
    <w:basedOn w:val="DefaultParagraphFont"/>
    <w:rsid w:val="00DA5264"/>
    <w:rPr>
      <w:vertAlign w:val="superscript"/>
    </w:rPr>
  </w:style>
  <w:style w:type="paragraph" w:customStyle="1" w:styleId="Normal24a">
    <w:name w:val="Normal24a"/>
    <w:basedOn w:val="Normal"/>
    <w:rsid w:val="00DA5264"/>
    <w:pPr>
      <w:spacing w:after="480"/>
    </w:pPr>
  </w:style>
  <w:style w:type="paragraph" w:customStyle="1" w:styleId="NormalBoldCenter">
    <w:name w:val="NormalBoldCenter"/>
    <w:basedOn w:val="Normal"/>
    <w:rsid w:val="00DA5264"/>
    <w:pPr>
      <w:jc w:val="center"/>
    </w:pPr>
    <w:rPr>
      <w:b/>
    </w:rPr>
  </w:style>
  <w:style w:type="paragraph" w:customStyle="1" w:styleId="Footprint12b">
    <w:name w:val="Footprint12b"/>
    <w:basedOn w:val="Normal"/>
    <w:rsid w:val="00DA5264"/>
    <w:pPr>
      <w:spacing w:before="240"/>
    </w:pPr>
    <w:rPr>
      <w:szCs w:val="24"/>
    </w:rPr>
  </w:style>
  <w:style w:type="paragraph" w:customStyle="1" w:styleId="NormalSingle">
    <w:name w:val="NormalSingle"/>
    <w:basedOn w:val="Normal"/>
    <w:qFormat/>
    <w:rsid w:val="00DA5264"/>
    <w:rPr>
      <w:szCs w:val="24"/>
    </w:rPr>
  </w:style>
  <w:style w:type="character" w:styleId="Hyperlink">
    <w:name w:val="Hyperlink"/>
    <w:basedOn w:val="DefaultParagraphFont"/>
    <w:uiPriority w:val="99"/>
    <w:rsid w:val="00DA5264"/>
    <w:rPr>
      <w:color w:val="0563C1" w:themeColor="hyperlink"/>
      <w:u w:val="single"/>
    </w:rPr>
  </w:style>
  <w:style w:type="paragraph" w:styleId="Footer">
    <w:name w:val="footer"/>
    <w:basedOn w:val="Normal"/>
    <w:link w:val="FooterChar"/>
    <w:semiHidden/>
    <w:rsid w:val="009742B0"/>
    <w:pPr>
      <w:tabs>
        <w:tab w:val="center" w:pos="4513"/>
        <w:tab w:val="right" w:pos="9026"/>
      </w:tabs>
    </w:pPr>
  </w:style>
  <w:style w:type="character" w:customStyle="1" w:styleId="FooterChar">
    <w:name w:val="Footer Char"/>
    <w:basedOn w:val="DefaultParagraphFont"/>
    <w:link w:val="Footer"/>
    <w:semiHidden/>
    <w:rsid w:val="009742B0"/>
    <w:rPr>
      <w:sz w:val="24"/>
    </w:rPr>
  </w:style>
  <w:style w:type="character" w:styleId="CommentReference">
    <w:name w:val="annotation reference"/>
    <w:basedOn w:val="DefaultParagraphFont"/>
    <w:rsid w:val="005074FE"/>
    <w:rPr>
      <w:sz w:val="16"/>
      <w:szCs w:val="16"/>
    </w:rPr>
  </w:style>
  <w:style w:type="paragraph" w:styleId="CommentText">
    <w:name w:val="annotation text"/>
    <w:basedOn w:val="Normal"/>
    <w:link w:val="CommentTextChar"/>
    <w:rsid w:val="005074FE"/>
    <w:rPr>
      <w:sz w:val="20"/>
    </w:rPr>
  </w:style>
  <w:style w:type="character" w:customStyle="1" w:styleId="CommentTextChar">
    <w:name w:val="Comment Text Char"/>
    <w:basedOn w:val="DefaultParagraphFont"/>
    <w:link w:val="CommentText"/>
    <w:rsid w:val="005074FE"/>
  </w:style>
  <w:style w:type="paragraph" w:styleId="CommentSubject">
    <w:name w:val="annotation subject"/>
    <w:basedOn w:val="CommentText"/>
    <w:next w:val="CommentText"/>
    <w:link w:val="CommentSubjectChar"/>
    <w:semiHidden/>
    <w:unhideWhenUsed/>
    <w:rsid w:val="005074FE"/>
    <w:rPr>
      <w:b/>
      <w:bCs/>
    </w:rPr>
  </w:style>
  <w:style w:type="character" w:customStyle="1" w:styleId="CommentSubjectChar">
    <w:name w:val="Comment Subject Char"/>
    <w:basedOn w:val="CommentTextChar"/>
    <w:link w:val="CommentSubject"/>
    <w:semiHidden/>
    <w:rsid w:val="005074FE"/>
    <w:rPr>
      <w:b/>
      <w:bCs/>
    </w:rPr>
  </w:style>
  <w:style w:type="paragraph" w:styleId="BalloonText">
    <w:name w:val="Balloon Text"/>
    <w:basedOn w:val="Normal"/>
    <w:link w:val="BalloonTextChar"/>
    <w:semiHidden/>
    <w:unhideWhenUsed/>
    <w:rsid w:val="005074FE"/>
    <w:rPr>
      <w:rFonts w:ascii="Segoe UI" w:hAnsi="Segoe UI" w:cs="Segoe UI"/>
      <w:sz w:val="18"/>
      <w:szCs w:val="18"/>
    </w:rPr>
  </w:style>
  <w:style w:type="character" w:customStyle="1" w:styleId="BalloonTextChar">
    <w:name w:val="Balloon Text Char"/>
    <w:basedOn w:val="DefaultParagraphFont"/>
    <w:link w:val="BalloonText"/>
    <w:semiHidden/>
    <w:rsid w:val="005074FE"/>
    <w:rPr>
      <w:rFonts w:ascii="Segoe UI" w:hAnsi="Segoe UI" w:cs="Segoe UI"/>
      <w:sz w:val="18"/>
      <w:szCs w:val="18"/>
    </w:rPr>
  </w:style>
  <w:style w:type="character" w:styleId="Emphasis">
    <w:name w:val="Emphasis"/>
    <w:basedOn w:val="DefaultParagraphFont"/>
    <w:uiPriority w:val="20"/>
    <w:qFormat/>
    <w:rsid w:val="000219CF"/>
    <w:rPr>
      <w:i/>
      <w:iCs/>
    </w:rPr>
  </w:style>
  <w:style w:type="character" w:styleId="FollowedHyperlink">
    <w:name w:val="FollowedHyperlink"/>
    <w:basedOn w:val="DefaultParagraphFont"/>
    <w:rsid w:val="002914AB"/>
    <w:rPr>
      <w:color w:val="954F72" w:themeColor="followedHyperlink"/>
      <w:u w:val="single"/>
    </w:rPr>
  </w:style>
  <w:style w:type="paragraph" w:styleId="Revision">
    <w:name w:val="Revision"/>
    <w:hidden/>
    <w:uiPriority w:val="99"/>
    <w:semiHidden/>
    <w:rsid w:val="00F032D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24/oj" TargetMode="External"/><Relationship Id="rId2" Type="http://schemas.openxmlformats.org/officeDocument/2006/relationships/hyperlink" Target="http://data.europa.eu/eli/C/2024/4212/oj" TargetMode="External"/><Relationship Id="rId1"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0F28E-52FA-4AAD-A024-7A184379E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2383</Words>
  <Characters>20237</Characters>
  <Application>Microsoft Office Word</Application>
  <DocSecurity>0</DocSecurity>
  <Lines>331</Lines>
  <Paragraphs>118</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NOTARIDOU Aikaterini</dc:creator>
  <cp:keywords/>
  <dc:description/>
  <cp:lastModifiedBy>MANELL Mari</cp:lastModifiedBy>
  <cp:revision>2</cp:revision>
  <cp:lastPrinted>2024-10-28T14:25:00Z</cp:lastPrinted>
  <dcterms:created xsi:type="dcterms:W3CDTF">2024-11-08T08:32:00Z</dcterms:created>
  <dcterms:modified xsi:type="dcterms:W3CDTF">2024-11-08T08:32:00Z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9.18.0 Build [20240401]</vt:lpwstr>
  </property>
  <property fmtid="{D5CDD505-2E9C-101B-9397-08002B2CF9AE}" pid="4" name="LastEdited with">
    <vt:lpwstr>10.0.0 Build [20241005]</vt:lpwstr>
  </property>
  <property fmtid="{D5CDD505-2E9C-101B-9397-08002B2CF9AE}" pid="5" name="&lt;FdR&gt;">
    <vt:lpwstr>1307972</vt:lpwstr>
  </property>
  <property fmtid="{D5CDD505-2E9C-101B-9397-08002B2CF9AE}" pid="6" name="&lt;Type&gt;">
    <vt:lpwstr>PR</vt:lpwstr>
  </property>
  <property fmtid="{D5CDD505-2E9C-101B-9397-08002B2CF9AE}" pid="7" name="&lt;ModelCod&gt;">
    <vt:lpwstr>\\eiciBRUpr1\pdocep$\DocEP\DOCS\General\PR\PR_NonLeg\INI\PR_INI.dotx(17/07/2024 10:08:00)</vt:lpwstr>
  </property>
  <property fmtid="{D5CDD505-2E9C-101B-9397-08002B2CF9AE}" pid="8" name="&lt;ModelTra&gt;">
    <vt:lpwstr>\\eiciBRUpr1\pdocep$\DocEP\TRANSFIL\EN\PR_INI.EN(27/06/2024 06:20:01)</vt:lpwstr>
  </property>
  <property fmtid="{D5CDD505-2E9C-101B-9397-08002B2CF9AE}" pid="9" name="&lt;Model&gt;">
    <vt:lpwstr>PR_INI</vt:lpwstr>
  </property>
  <property fmtid="{D5CDD505-2E9C-101B-9397-08002B2CF9AE}" pid="10" name="FooterPath">
    <vt:lpwstr>PR\1307972FI.docx</vt:lpwstr>
  </property>
  <property fmtid="{D5CDD505-2E9C-101B-9397-08002B2CF9AE}" pid="11" name="PE number">
    <vt:lpwstr>765.062</vt:lpwstr>
  </property>
  <property fmtid="{D5CDD505-2E9C-101B-9397-08002B2CF9AE}" pid="12" name="SendToEpades">
    <vt:lpwstr>OK - 2024/10/24 12:37</vt:lpwstr>
  </property>
  <property fmtid="{D5CDD505-2E9C-101B-9397-08002B2CF9AE}" pid="13" name="Bookout">
    <vt:lpwstr>OK - 2024/11/08 09:32</vt:lpwstr>
  </property>
  <property fmtid="{D5CDD505-2E9C-101B-9397-08002B2CF9AE}" pid="14" name="SDLStudio">
    <vt:lpwstr/>
  </property>
</Properties>
</file>