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47288" w:rsidRPr="00D219BC" w:rsidTr="00F14438">
        <w:trPr>
          <w:trHeight w:hRule="exact" w:val="1418"/>
        </w:trPr>
        <w:tc>
          <w:tcPr>
            <w:tcW w:w="6804" w:type="dxa"/>
            <w:shd w:val="clear" w:color="auto" w:fill="auto"/>
            <w:vAlign w:val="center"/>
          </w:tcPr>
          <w:p w:rsidR="00B13D6F" w:rsidRPr="00D219BC" w:rsidRDefault="001D653E" w:rsidP="00F14438">
            <w:pPr>
              <w:pStyle w:val="EPName"/>
            </w:pPr>
            <w:r w:rsidRPr="00D219BC">
              <w:t>Euroopa Parlament</w:t>
            </w:r>
          </w:p>
          <w:p w:rsidR="00B13D6F" w:rsidRPr="00D219BC" w:rsidRDefault="001D653E" w:rsidP="002B4584">
            <w:pPr>
              <w:pStyle w:val="EPTerm"/>
            </w:pPr>
            <w:r w:rsidRPr="00D219BC">
              <w:t>2024-2029</w:t>
            </w:r>
          </w:p>
        </w:tc>
        <w:tc>
          <w:tcPr>
            <w:tcW w:w="2268" w:type="dxa"/>
            <w:shd w:val="clear" w:color="auto" w:fill="auto"/>
          </w:tcPr>
          <w:p w:rsidR="00B13D6F" w:rsidRPr="00D219BC" w:rsidRDefault="001D653E" w:rsidP="00F14438">
            <w:pPr>
              <w:pStyle w:val="EPLogo"/>
            </w:pPr>
            <w:r w:rsidRPr="00D219B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219BC" w:rsidRDefault="00461601" w:rsidP="00461601">
      <w:pPr>
        <w:pStyle w:val="LineTop"/>
      </w:pPr>
    </w:p>
    <w:p w:rsidR="00461601" w:rsidRPr="00D219BC" w:rsidRDefault="001D653E" w:rsidP="00461601">
      <w:pPr>
        <w:pStyle w:val="EPBody"/>
      </w:pPr>
      <w:r w:rsidRPr="00D219BC">
        <w:rPr>
          <w:rStyle w:val="HideTWBExt"/>
        </w:rPr>
        <w:t>&lt;</w:t>
      </w:r>
      <w:r w:rsidRPr="00D219BC">
        <w:rPr>
          <w:rStyle w:val="HideTWBExt"/>
          <w:i w:val="0"/>
        </w:rPr>
        <w:t>Commission</w:t>
      </w:r>
      <w:r w:rsidRPr="00D219BC">
        <w:rPr>
          <w:rStyle w:val="HideTWBExt"/>
        </w:rPr>
        <w:t>&gt;</w:t>
      </w:r>
      <w:r w:rsidRPr="00D219BC">
        <w:rPr>
          <w:rStyle w:val="HideTWBInt"/>
          <w:color w:val="auto"/>
        </w:rPr>
        <w:t>{EMPL}</w:t>
      </w:r>
      <w:r w:rsidRPr="00D219BC">
        <w:t>Tööhõive- ja sotsiaalkomisjon</w:t>
      </w:r>
      <w:r w:rsidRPr="00D219BC">
        <w:rPr>
          <w:rStyle w:val="HideTWBExt"/>
        </w:rPr>
        <w:t>&lt;/</w:t>
      </w:r>
      <w:r w:rsidRPr="00D219BC">
        <w:rPr>
          <w:rStyle w:val="HideTWBExt"/>
          <w:i w:val="0"/>
        </w:rPr>
        <w:t>Commission</w:t>
      </w:r>
      <w:r w:rsidRPr="00D219BC">
        <w:rPr>
          <w:rStyle w:val="HideTWBExt"/>
        </w:rPr>
        <w:t>&gt;</w:t>
      </w:r>
    </w:p>
    <w:p w:rsidR="00461601" w:rsidRPr="00D219BC" w:rsidRDefault="00461601" w:rsidP="00461601">
      <w:pPr>
        <w:pStyle w:val="LineBottom"/>
      </w:pPr>
      <w:bookmarkStart w:id="0" w:name="_GoBack"/>
      <w:bookmarkEnd w:id="0"/>
    </w:p>
    <w:p w:rsidR="00793EA9" w:rsidRPr="00D219BC" w:rsidRDefault="001D653E">
      <w:pPr>
        <w:pStyle w:val="CoverReference"/>
      </w:pPr>
      <w:r w:rsidRPr="00D219BC">
        <w:rPr>
          <w:rStyle w:val="HideTWBExt"/>
          <w:b w:val="0"/>
        </w:rPr>
        <w:t>&lt;RefProc&gt;</w:t>
      </w:r>
      <w:r w:rsidRPr="00D219BC">
        <w:t>2024/0068</w:t>
      </w:r>
      <w:r w:rsidRPr="00D219BC">
        <w:rPr>
          <w:rStyle w:val="HideTWBExt"/>
          <w:b w:val="0"/>
        </w:rPr>
        <w:t>&lt;/RefProc&gt;&lt;RefTypeProc&gt;</w:t>
      </w:r>
      <w:r w:rsidRPr="00D219BC">
        <w:t>(COD)</w:t>
      </w:r>
      <w:r w:rsidRPr="00D219BC">
        <w:rPr>
          <w:rStyle w:val="HideTWBExt"/>
          <w:b w:val="0"/>
        </w:rPr>
        <w:t>&lt;/RefTypeProc&gt;</w:t>
      </w:r>
    </w:p>
    <w:p w:rsidR="00793EA9" w:rsidRPr="00D219BC" w:rsidRDefault="001D653E">
      <w:pPr>
        <w:pStyle w:val="CoverDate"/>
      </w:pPr>
      <w:r w:rsidRPr="00D219BC">
        <w:rPr>
          <w:rStyle w:val="HideTWBExt"/>
        </w:rPr>
        <w:t>&lt;Date&gt;</w:t>
      </w:r>
      <w:r w:rsidRPr="00D219BC">
        <w:rPr>
          <w:rStyle w:val="HideTWBInt"/>
          <w:color w:val="auto"/>
        </w:rPr>
        <w:t>{24/02/2025}</w:t>
      </w:r>
      <w:r w:rsidRPr="00D219BC">
        <w:t>24.2.2025</w:t>
      </w:r>
      <w:r w:rsidRPr="00D219BC">
        <w:rPr>
          <w:rStyle w:val="HideTWBExt"/>
        </w:rPr>
        <w:t>&lt;/Date&gt;</w:t>
      </w:r>
    </w:p>
    <w:p w:rsidR="00793EA9" w:rsidRPr="00D219BC" w:rsidRDefault="001D653E">
      <w:pPr>
        <w:pStyle w:val="CoverDocType"/>
      </w:pPr>
      <w:r w:rsidRPr="00D219BC">
        <w:rPr>
          <w:rStyle w:val="HideTWBExt"/>
          <w:b w:val="0"/>
        </w:rPr>
        <w:t>&lt;RefProcLect&gt;</w:t>
      </w:r>
      <w:r w:rsidRPr="00D219BC">
        <w:t>***I</w:t>
      </w:r>
      <w:r w:rsidRPr="00D219BC">
        <w:rPr>
          <w:rStyle w:val="HideTWBExt"/>
          <w:b w:val="0"/>
        </w:rPr>
        <w:t>&lt;/RefProcLect&gt;</w:t>
      </w:r>
    </w:p>
    <w:p w:rsidR="00793EA9" w:rsidRPr="00D219BC" w:rsidRDefault="001D653E">
      <w:pPr>
        <w:pStyle w:val="CoverDocType24a"/>
      </w:pPr>
      <w:r w:rsidRPr="00D219BC">
        <w:rPr>
          <w:rStyle w:val="HideTWBExt"/>
          <w:b w:val="0"/>
        </w:rPr>
        <w:t>&lt;TitreType&gt;</w:t>
      </w:r>
      <w:r w:rsidRPr="00D219BC">
        <w:t>RAPORTI PROJEKT</w:t>
      </w:r>
      <w:r w:rsidRPr="00D219BC">
        <w:rPr>
          <w:rStyle w:val="HideTWBExt"/>
          <w:b w:val="0"/>
        </w:rPr>
        <w:t>&lt;/TitreType&gt;</w:t>
      </w:r>
    </w:p>
    <w:p w:rsidR="00793EA9" w:rsidRPr="00D219BC" w:rsidRDefault="001D653E">
      <w:pPr>
        <w:pStyle w:val="CoverNormal"/>
      </w:pPr>
      <w:r w:rsidRPr="00D219BC">
        <w:rPr>
          <w:rStyle w:val="HideTWBExt"/>
        </w:rPr>
        <w:t>&lt;Titre&gt;</w:t>
      </w:r>
      <w:r w:rsidRPr="00D219BC">
        <w:t>ettepaneku kohta võtta vastu Euroopa Parlamendi ja nõukogu direktiiv, milles käsitletakse praktikantide töötingimuste parandamist ja täitmise tagamist ning võitlust olukorraga, kus tavapäraseid töösuhteid esitatakse praktikana (praktika</w:t>
      </w:r>
      <w:r w:rsidRPr="00D219BC">
        <w:t>direktiiv)</w:t>
      </w:r>
      <w:r w:rsidRPr="00D219BC">
        <w:rPr>
          <w:rStyle w:val="HideTWBExt"/>
        </w:rPr>
        <w:t>&lt;/Titre&gt;</w:t>
      </w:r>
    </w:p>
    <w:p w:rsidR="00793EA9" w:rsidRPr="00D219BC" w:rsidRDefault="001D653E">
      <w:pPr>
        <w:pStyle w:val="CoverNormal24a"/>
      </w:pPr>
      <w:r w:rsidRPr="00D219BC">
        <w:rPr>
          <w:rStyle w:val="HideTWBExt"/>
        </w:rPr>
        <w:t>&lt;DocRef&gt;</w:t>
      </w:r>
      <w:r w:rsidRPr="00D219BC">
        <w:t>(COM(2024)0132 – C10</w:t>
      </w:r>
      <w:r w:rsidRPr="00D219BC">
        <w:noBreakHyphen/>
        <w:t>0004/2024 – 2024/0068(COD))</w:t>
      </w:r>
      <w:r w:rsidRPr="00D219BC">
        <w:rPr>
          <w:rStyle w:val="HideTWBExt"/>
        </w:rPr>
        <w:t>&lt;/DocRef&gt;</w:t>
      </w:r>
    </w:p>
    <w:p w:rsidR="00793EA9" w:rsidRPr="00D219BC" w:rsidRDefault="001D653E">
      <w:pPr>
        <w:pStyle w:val="CoverNormal24a"/>
      </w:pPr>
      <w:r w:rsidRPr="00D219BC">
        <w:rPr>
          <w:rStyle w:val="HideTWBExt"/>
        </w:rPr>
        <w:t>&lt;Commission&gt;</w:t>
      </w:r>
      <w:r w:rsidRPr="00D219BC">
        <w:rPr>
          <w:rStyle w:val="HideTWBInt"/>
          <w:color w:val="auto"/>
        </w:rPr>
        <w:t>{EMPL}</w:t>
      </w:r>
      <w:r w:rsidRPr="00D219BC">
        <w:t>Tööhõive- ja sotsiaalkomisjon</w:t>
      </w:r>
      <w:r w:rsidRPr="00D219BC">
        <w:rPr>
          <w:rStyle w:val="HideTWBExt"/>
        </w:rPr>
        <w:t>&lt;/Commission&gt;</w:t>
      </w:r>
    </w:p>
    <w:p w:rsidR="00793EA9" w:rsidRPr="00D219BC" w:rsidRDefault="001D653E">
      <w:pPr>
        <w:pStyle w:val="CoverNormal24a"/>
      </w:pPr>
      <w:r w:rsidRPr="00D219BC">
        <w:t xml:space="preserve">Raportöör: </w:t>
      </w:r>
      <w:r w:rsidRPr="00D219BC">
        <w:rPr>
          <w:rStyle w:val="HideTWBExt"/>
        </w:rPr>
        <w:t>&lt;Depute&gt;</w:t>
      </w:r>
      <w:r w:rsidRPr="00D219BC">
        <w:t>Alicia Homs Ginel</w:t>
      </w:r>
      <w:r w:rsidRPr="00D219BC">
        <w:rPr>
          <w:rStyle w:val="HideTWBExt"/>
        </w:rPr>
        <w:t>&lt;/Depute&gt;</w:t>
      </w:r>
    </w:p>
    <w:p w:rsidR="001C5B44" w:rsidRPr="00D219BC" w:rsidRDefault="001C5B44" w:rsidP="001C5B44">
      <w:pPr>
        <w:pStyle w:val="CoverNormal"/>
      </w:pPr>
    </w:p>
    <w:p w:rsidR="002B4584" w:rsidRPr="00D219BC" w:rsidRDefault="001D653E" w:rsidP="00F14438">
      <w:r w:rsidRPr="00D219BC">
        <w:br w:type="page"/>
      </w:r>
      <w:r w:rsidRPr="00D219BC">
        <w:lastRenderedPageBreak/>
        <w:fldChar w:fldCharType="begin"/>
      </w:r>
      <w:r w:rsidRPr="00D219BC">
        <w:instrText xml:space="preserve"> TITLE  \* MERGEFORMAT </w:instrText>
      </w:r>
      <w:r w:rsidRPr="00D219BC">
        <w:fldChar w:fldCharType="separate"/>
      </w:r>
      <w:r>
        <w:t>PR_COD_1amCom</w:t>
      </w:r>
      <w:r w:rsidRPr="00D219BC">
        <w:fldChar w:fldCharType="end"/>
      </w:r>
    </w:p>
    <w:p w:rsidR="002B4584" w:rsidRPr="00D219BC" w:rsidRDefault="002B4584" w:rsidP="00F14438"/>
    <w:p w:rsidR="002B4584" w:rsidRPr="00D219BC" w:rsidRDefault="002B4584" w:rsidP="00F1443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47288" w:rsidRPr="00D219BC">
        <w:tc>
          <w:tcPr>
            <w:tcW w:w="5811" w:type="dxa"/>
          </w:tcPr>
          <w:p w:rsidR="002B4584" w:rsidRPr="00D219BC" w:rsidRDefault="001D653E" w:rsidP="00F14438">
            <w:pPr>
              <w:pStyle w:val="Lgendetitre"/>
            </w:pPr>
            <w:r w:rsidRPr="00D219BC">
              <w:t>Kasutatud tähised</w:t>
            </w:r>
          </w:p>
        </w:tc>
      </w:tr>
      <w:tr w:rsidR="00447288" w:rsidRPr="00D219BC" w:rsidTr="00F14438">
        <w:trPr>
          <w:cantSplit/>
          <w:trHeight w:val="1807"/>
        </w:trPr>
        <w:tc>
          <w:tcPr>
            <w:tcW w:w="5811" w:type="dxa"/>
            <w:tcBorders>
              <w:bottom w:val="single" w:sz="4" w:space="0" w:color="auto"/>
            </w:tcBorders>
          </w:tcPr>
          <w:p w:rsidR="002B4584" w:rsidRPr="00D219BC" w:rsidRDefault="001D653E" w:rsidP="00F14438">
            <w:pPr>
              <w:pStyle w:val="Lgendesigne"/>
            </w:pPr>
            <w:r w:rsidRPr="00D219BC">
              <w:tab/>
            </w:r>
            <w:r w:rsidRPr="00D219BC">
              <w:t>*</w:t>
            </w:r>
            <w:r w:rsidRPr="00D219BC">
              <w:tab/>
              <w:t>nõuandemenetlus</w:t>
            </w:r>
          </w:p>
          <w:p w:rsidR="002B4584" w:rsidRPr="00D219BC" w:rsidRDefault="001D653E" w:rsidP="00F14438">
            <w:pPr>
              <w:pStyle w:val="Lgendesigne"/>
            </w:pPr>
            <w:r w:rsidRPr="00D219BC">
              <w:tab/>
              <w:t>***</w:t>
            </w:r>
            <w:r w:rsidRPr="00D219BC">
              <w:tab/>
              <w:t>nõusolekumenetlus</w:t>
            </w:r>
          </w:p>
          <w:p w:rsidR="002B4584" w:rsidRPr="00D219BC" w:rsidRDefault="001D653E" w:rsidP="00F14438">
            <w:pPr>
              <w:pStyle w:val="Lgendesigne"/>
            </w:pPr>
            <w:r w:rsidRPr="00D219BC">
              <w:tab/>
              <w:t>***I</w:t>
            </w:r>
            <w:r w:rsidRPr="00D219BC">
              <w:tab/>
              <w:t>seadusandlik tavamenetlus (esimene lugemine)</w:t>
            </w:r>
          </w:p>
          <w:p w:rsidR="002B4584" w:rsidRPr="00D219BC" w:rsidRDefault="001D653E" w:rsidP="00F14438">
            <w:pPr>
              <w:pStyle w:val="Lgendesigne"/>
            </w:pPr>
            <w:r w:rsidRPr="00D219BC">
              <w:tab/>
              <w:t>***II</w:t>
            </w:r>
            <w:r w:rsidRPr="00D219BC">
              <w:tab/>
              <w:t>seadusandlik tavamenetlus (teine lugemine)</w:t>
            </w:r>
          </w:p>
          <w:p w:rsidR="002B4584" w:rsidRPr="00D219BC" w:rsidRDefault="001D653E" w:rsidP="00F14438">
            <w:pPr>
              <w:pStyle w:val="Lgendesigne"/>
            </w:pPr>
            <w:r w:rsidRPr="00D219BC">
              <w:tab/>
              <w:t>***III</w:t>
            </w:r>
            <w:r w:rsidRPr="00D219BC">
              <w:tab/>
              <w:t>seadusandlik tavamenetlus (kolmas lugemine)</w:t>
            </w:r>
          </w:p>
          <w:p w:rsidR="002B4584" w:rsidRPr="00D219BC" w:rsidRDefault="002B4584" w:rsidP="00F14438">
            <w:pPr>
              <w:pStyle w:val="Lgendestandard"/>
            </w:pPr>
          </w:p>
          <w:p w:rsidR="002B4584" w:rsidRPr="00D219BC" w:rsidRDefault="001D653E" w:rsidP="00F14438">
            <w:pPr>
              <w:pStyle w:val="Lgendestandard"/>
            </w:pPr>
            <w:r w:rsidRPr="00D219BC">
              <w:t>(Märgitud menetlus põhineb õigusakti eelnõus esitatud õigusli</w:t>
            </w:r>
            <w:r w:rsidRPr="00D219BC">
              <w:t>kul alusel.)</w:t>
            </w:r>
          </w:p>
          <w:p w:rsidR="002B4584" w:rsidRPr="00D219BC" w:rsidRDefault="002B4584" w:rsidP="00F14438">
            <w:pPr>
              <w:pStyle w:val="Lgendestandard"/>
            </w:pPr>
          </w:p>
        </w:tc>
      </w:tr>
    </w:tbl>
    <w:p w:rsidR="002B4584" w:rsidRPr="00D219BC" w:rsidRDefault="002B4584" w:rsidP="00F14438"/>
    <w:p w:rsidR="002B4584" w:rsidRPr="00D219BC" w:rsidRDefault="002B4584" w:rsidP="00F14438"/>
    <w:p w:rsidR="002B4584" w:rsidRPr="00D219BC" w:rsidRDefault="002B4584" w:rsidP="00F14438"/>
    <w:p w:rsidR="002B4584" w:rsidRPr="00D219BC" w:rsidRDefault="002B4584" w:rsidP="00F1443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47288" w:rsidRPr="00D219BC">
        <w:tc>
          <w:tcPr>
            <w:tcW w:w="5811" w:type="dxa"/>
          </w:tcPr>
          <w:p w:rsidR="002B4584" w:rsidRPr="00D219BC" w:rsidRDefault="001D653E" w:rsidP="00F14438">
            <w:pPr>
              <w:pStyle w:val="Lgendetitre"/>
            </w:pPr>
            <w:r w:rsidRPr="00D219BC">
              <w:t>Õigusakti eelnõu muudatusettepanekud</w:t>
            </w:r>
          </w:p>
        </w:tc>
      </w:tr>
      <w:tr w:rsidR="00447288" w:rsidRPr="00D219BC" w:rsidTr="00F14438">
        <w:trPr>
          <w:trHeight w:val="4496"/>
        </w:trPr>
        <w:tc>
          <w:tcPr>
            <w:tcW w:w="5811" w:type="dxa"/>
          </w:tcPr>
          <w:p w:rsidR="002B4584" w:rsidRPr="00D219BC" w:rsidRDefault="001D653E" w:rsidP="00F14438">
            <w:pPr>
              <w:pStyle w:val="Lgendestandard"/>
              <w:rPr>
                <w:szCs w:val="24"/>
              </w:rPr>
            </w:pPr>
            <w:r w:rsidRPr="00D219BC">
              <w:rPr>
                <w:b/>
              </w:rPr>
              <w:t>Kahes veerus esitatud Euroopa Parlamendi muudatusettepanekud</w:t>
            </w:r>
          </w:p>
          <w:p w:rsidR="002B4584" w:rsidRPr="00D219BC" w:rsidRDefault="002B4584" w:rsidP="00F14438">
            <w:pPr>
              <w:pStyle w:val="Lgendestandard"/>
              <w:rPr>
                <w:szCs w:val="24"/>
              </w:rPr>
            </w:pPr>
          </w:p>
          <w:p w:rsidR="002B4584" w:rsidRPr="00D219BC" w:rsidRDefault="001D653E" w:rsidP="00F14438">
            <w:pPr>
              <w:pStyle w:val="Lgendestandard"/>
              <w:rPr>
                <w:szCs w:val="24"/>
              </w:rPr>
            </w:pPr>
            <w:r w:rsidRPr="00D219BC">
              <w:t xml:space="preserve">Välja jäetav tekst on märgistatud vasakpoolses veerus </w:t>
            </w:r>
            <w:r w:rsidRPr="00D219BC">
              <w:rPr>
                <w:b/>
                <w:i/>
              </w:rPr>
              <w:t>paksus kaldkirjas</w:t>
            </w:r>
            <w:r w:rsidRPr="00D219BC">
              <w:t xml:space="preserve">. Teksti asendamine on märgistatud mõlemas veerus </w:t>
            </w:r>
            <w:r w:rsidRPr="00D219BC">
              <w:rPr>
                <w:b/>
                <w:i/>
              </w:rPr>
              <w:t>paksus kaldkirja</w:t>
            </w:r>
            <w:r w:rsidRPr="00D219BC">
              <w:t xml:space="preserve">s. Uus tekst on märgistatud parempoolses veerus </w:t>
            </w:r>
            <w:r w:rsidRPr="00D219BC">
              <w:rPr>
                <w:b/>
                <w:i/>
              </w:rPr>
              <w:t>paksus kaldkirja</w:t>
            </w:r>
            <w:r w:rsidRPr="00D219BC">
              <w:t>s.</w:t>
            </w:r>
          </w:p>
          <w:p w:rsidR="002B4584" w:rsidRPr="00D219BC" w:rsidRDefault="002B4584" w:rsidP="00F14438">
            <w:pPr>
              <w:pStyle w:val="Lgendestandard"/>
              <w:rPr>
                <w:szCs w:val="24"/>
              </w:rPr>
            </w:pPr>
          </w:p>
          <w:p w:rsidR="002B4584" w:rsidRPr="00D219BC" w:rsidRDefault="001D653E" w:rsidP="00F14438">
            <w:pPr>
              <w:pStyle w:val="Lgendestandard"/>
              <w:rPr>
                <w:szCs w:val="24"/>
              </w:rPr>
            </w:pPr>
            <w:r w:rsidRPr="00D219BC">
              <w:t xml:space="preserve">Iga muudatusettepaneku päise esimene ja teine rida osutavad läbivaadatava õigusakti eelnõu asjaomasele tekstiosale. Kui muudatusettepanek puudutab kehtivat õigusakti, mida õigusakti </w:t>
            </w:r>
            <w:r w:rsidRPr="00D219BC">
              <w:t>eelnõus soovitakse muuta, märgitakse päises lisaks kolmandale reale viide kehtivale õigusaktile ja neljandale reale viide muudetavale sättele.</w:t>
            </w:r>
          </w:p>
          <w:p w:rsidR="002B4584" w:rsidRPr="00D219BC" w:rsidRDefault="002B4584" w:rsidP="00F14438">
            <w:pPr>
              <w:pStyle w:val="Lgendestandard"/>
              <w:rPr>
                <w:szCs w:val="24"/>
              </w:rPr>
            </w:pPr>
          </w:p>
          <w:p w:rsidR="002B4584" w:rsidRPr="00D219BC" w:rsidRDefault="001D653E" w:rsidP="00F14438">
            <w:pPr>
              <w:pStyle w:val="Lgendestandard"/>
              <w:rPr>
                <w:b/>
                <w:szCs w:val="24"/>
              </w:rPr>
            </w:pPr>
            <w:r w:rsidRPr="00D219BC">
              <w:rPr>
                <w:b/>
              </w:rPr>
              <w:t>Konsolideeritud tekstina esitatud Euroopa Parlamendi muudatusettepanekud</w:t>
            </w:r>
          </w:p>
          <w:p w:rsidR="002B4584" w:rsidRPr="00D219BC" w:rsidRDefault="002B4584" w:rsidP="00F14438">
            <w:pPr>
              <w:pStyle w:val="Lgendestandard"/>
              <w:rPr>
                <w:szCs w:val="24"/>
              </w:rPr>
            </w:pPr>
          </w:p>
          <w:p w:rsidR="002B4584" w:rsidRPr="00D219BC" w:rsidRDefault="001D653E" w:rsidP="00F14438">
            <w:pPr>
              <w:pStyle w:val="Lgendestandard"/>
              <w:rPr>
                <w:szCs w:val="24"/>
              </w:rPr>
            </w:pPr>
            <w:r w:rsidRPr="00D219BC">
              <w:t xml:space="preserve">Uued tekstiosad on märgistatud </w:t>
            </w:r>
            <w:r w:rsidRPr="00D219BC">
              <w:rPr>
                <w:b/>
                <w:i/>
              </w:rPr>
              <w:t xml:space="preserve">paksus </w:t>
            </w:r>
            <w:r w:rsidRPr="00D219BC">
              <w:rPr>
                <w:b/>
                <w:i/>
              </w:rPr>
              <w:t>kaldkirjas</w:t>
            </w:r>
            <w:r w:rsidRPr="00D219BC">
              <w:t xml:space="preserve">. Välja jäetud tekstiosad on tähistatud sümboliga ▌ või läbi kriipsutatud. Teksti asendamise puhul on uus tekst märgistatud </w:t>
            </w:r>
            <w:r w:rsidRPr="000444E7">
              <w:rPr>
                <w:b/>
                <w:i/>
              </w:rPr>
              <w:t>paksus kaldkirjas</w:t>
            </w:r>
            <w:r w:rsidRPr="00D219BC">
              <w:t xml:space="preserve"> ja asendatav tekst kustutatud või läbi kriipsutatud. </w:t>
            </w:r>
          </w:p>
          <w:p w:rsidR="002B4584" w:rsidRPr="00D219BC" w:rsidRDefault="001D653E" w:rsidP="00F14438">
            <w:pPr>
              <w:pStyle w:val="Lgendestandard"/>
            </w:pPr>
            <w:r w:rsidRPr="00D219BC">
              <w:t>Erandina ei tähistata teenistuste tehtud puhtalt t</w:t>
            </w:r>
            <w:r w:rsidRPr="00D219BC">
              <w:t>ehnilist laadi muudatusi lõpliku teksti vormistamiseks.</w:t>
            </w:r>
          </w:p>
          <w:p w:rsidR="002B4584" w:rsidRPr="00D219BC" w:rsidRDefault="002B4584" w:rsidP="00F14438">
            <w:pPr>
              <w:pStyle w:val="Lgendestandard"/>
            </w:pPr>
          </w:p>
        </w:tc>
      </w:tr>
    </w:tbl>
    <w:p w:rsidR="002B4584" w:rsidRPr="00D219BC" w:rsidRDefault="002B4584" w:rsidP="00F14438"/>
    <w:p w:rsidR="00793EA9" w:rsidRPr="00D219BC" w:rsidRDefault="00793EA9" w:rsidP="00012351">
      <w:pPr>
        <w:widowControl/>
        <w:tabs>
          <w:tab w:val="center" w:pos="4677"/>
        </w:tabs>
      </w:pPr>
    </w:p>
    <w:p w:rsidR="00793EA9" w:rsidRPr="00D219BC" w:rsidRDefault="001D653E">
      <w:pPr>
        <w:pStyle w:val="TOCHeading"/>
      </w:pPr>
      <w:r w:rsidRPr="00D219BC">
        <w:br w:type="page"/>
      </w:r>
      <w:r w:rsidRPr="00D219BC">
        <w:lastRenderedPageBreak/>
        <w:t>SISUKORD</w:t>
      </w:r>
    </w:p>
    <w:p w:rsidR="00793EA9" w:rsidRPr="00D219BC" w:rsidRDefault="001D653E">
      <w:pPr>
        <w:pStyle w:val="TOCPage"/>
      </w:pPr>
      <w:r w:rsidRPr="00D219BC">
        <w:t>lk</w:t>
      </w:r>
    </w:p>
    <w:p w:rsidR="001D653E" w:rsidRDefault="001D653E">
      <w:pPr>
        <w:pStyle w:val="TOC1"/>
        <w:tabs>
          <w:tab w:val="right" w:leader="dot" w:pos="9060"/>
        </w:tabs>
        <w:rPr>
          <w:rFonts w:asciiTheme="minorHAnsi" w:eastAsiaTheme="minorEastAsia" w:hAnsiTheme="minorHAnsi" w:cstheme="minorBidi"/>
          <w:noProof/>
          <w:sz w:val="22"/>
          <w:szCs w:val="22"/>
          <w:lang w:val="en-GB"/>
        </w:rPr>
      </w:pPr>
      <w:r w:rsidRPr="00D219BC">
        <w:rPr>
          <w:b/>
        </w:rPr>
        <w:fldChar w:fldCharType="begin"/>
      </w:r>
      <w:r w:rsidRPr="00D219BC">
        <w:rPr>
          <w:b/>
        </w:rPr>
        <w:instrText xml:space="preserve"> TOC \t "PageHeading</w:instrText>
      </w:r>
      <w:r w:rsidR="00805D70" w:rsidRPr="00D219BC">
        <w:rPr>
          <w:b/>
        </w:rPr>
        <w:instrText>;</w:instrText>
      </w:r>
      <w:r w:rsidRPr="00D219BC">
        <w:rPr>
          <w:b/>
        </w:rPr>
        <w:instrText xml:space="preserve">1" </w:instrText>
      </w:r>
      <w:r w:rsidRPr="00D219BC">
        <w:rPr>
          <w:b/>
        </w:rPr>
        <w:fldChar w:fldCharType="separate"/>
      </w:r>
      <w:r>
        <w:rPr>
          <w:noProof/>
        </w:rPr>
        <w:t>EUROOPA PARLAMENDI SEADUSANDLIKU RESOLUTSIOONI PROJEKT</w:t>
      </w:r>
      <w:r>
        <w:rPr>
          <w:noProof/>
        </w:rPr>
        <w:tab/>
      </w:r>
      <w:r>
        <w:rPr>
          <w:noProof/>
        </w:rPr>
        <w:fldChar w:fldCharType="begin"/>
      </w:r>
      <w:r>
        <w:rPr>
          <w:noProof/>
        </w:rPr>
        <w:instrText xml:space="preserve"> PAGEREF _Toc192850648 \h </w:instrText>
      </w:r>
      <w:r>
        <w:rPr>
          <w:noProof/>
        </w:rPr>
      </w:r>
      <w:r>
        <w:rPr>
          <w:noProof/>
        </w:rPr>
        <w:fldChar w:fldCharType="separate"/>
      </w:r>
      <w:r>
        <w:rPr>
          <w:noProof/>
        </w:rPr>
        <w:t>4</w:t>
      </w:r>
      <w:r>
        <w:rPr>
          <w:noProof/>
        </w:rPr>
        <w:fldChar w:fldCharType="end"/>
      </w:r>
    </w:p>
    <w:p w:rsidR="001D653E" w:rsidRDefault="001D653E">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_Toc192850649 \h </w:instrText>
      </w:r>
      <w:r>
        <w:rPr>
          <w:noProof/>
        </w:rPr>
      </w:r>
      <w:r>
        <w:rPr>
          <w:noProof/>
        </w:rPr>
        <w:fldChar w:fldCharType="separate"/>
      </w:r>
      <w:r>
        <w:rPr>
          <w:noProof/>
        </w:rPr>
        <w:t>54</w:t>
      </w:r>
      <w:r>
        <w:rPr>
          <w:noProof/>
        </w:rPr>
        <w:fldChar w:fldCharType="end"/>
      </w:r>
    </w:p>
    <w:p w:rsidR="001D653E" w:rsidRDefault="001D653E">
      <w:pPr>
        <w:pStyle w:val="TOC1"/>
        <w:tabs>
          <w:tab w:val="right" w:leader="dot" w:pos="9060"/>
        </w:tabs>
        <w:rPr>
          <w:rFonts w:asciiTheme="minorHAnsi" w:eastAsiaTheme="minorEastAsia" w:hAnsiTheme="minorHAnsi" w:cstheme="minorBidi"/>
          <w:noProof/>
          <w:sz w:val="22"/>
          <w:szCs w:val="22"/>
          <w:lang w:val="en-GB"/>
        </w:rPr>
      </w:pPr>
      <w:r>
        <w:rPr>
          <w:noProof/>
        </w:rPr>
        <w:t>LISA: ÜKSUSED VÕI ISIKUD, KELLELT RAPORTÖÖR SAI SISENDMATERJALI</w:t>
      </w:r>
      <w:r>
        <w:rPr>
          <w:noProof/>
        </w:rPr>
        <w:tab/>
      </w:r>
      <w:r>
        <w:rPr>
          <w:noProof/>
        </w:rPr>
        <w:fldChar w:fldCharType="begin"/>
      </w:r>
      <w:r>
        <w:rPr>
          <w:noProof/>
        </w:rPr>
        <w:instrText xml:space="preserve"> PAGEREF _Toc192850650 \h </w:instrText>
      </w:r>
      <w:r>
        <w:rPr>
          <w:noProof/>
        </w:rPr>
      </w:r>
      <w:r>
        <w:rPr>
          <w:noProof/>
        </w:rPr>
        <w:fldChar w:fldCharType="separate"/>
      </w:r>
      <w:r>
        <w:rPr>
          <w:noProof/>
        </w:rPr>
        <w:t>58</w:t>
      </w:r>
      <w:r>
        <w:rPr>
          <w:noProof/>
        </w:rPr>
        <w:fldChar w:fldCharType="end"/>
      </w:r>
    </w:p>
    <w:p w:rsidR="002346B0" w:rsidRPr="00D219BC" w:rsidRDefault="001D653E" w:rsidP="00C23324">
      <w:r w:rsidRPr="00D219BC">
        <w:rPr>
          <w:b/>
        </w:rPr>
        <w:fldChar w:fldCharType="end"/>
      </w:r>
    </w:p>
    <w:p w:rsidR="00793EA9" w:rsidRPr="00D219BC" w:rsidRDefault="001D653E">
      <w:pPr>
        <w:pStyle w:val="PageHeading"/>
      </w:pPr>
      <w:r w:rsidRPr="00D219BC">
        <w:br w:type="page"/>
      </w:r>
      <w:bookmarkStart w:id="1" w:name="_Toc192850648"/>
      <w:r w:rsidRPr="00D219BC">
        <w:lastRenderedPageBreak/>
        <w:t>EUROOPA PARLAMENDI SEADUSANDLIKU RESOLUTSIOONI PROJEKT</w:t>
      </w:r>
      <w:bookmarkEnd w:id="1"/>
    </w:p>
    <w:p w:rsidR="00793EA9" w:rsidRPr="00D219BC" w:rsidRDefault="001D653E">
      <w:pPr>
        <w:pStyle w:val="NormalBold"/>
      </w:pPr>
      <w:r w:rsidRPr="00D219BC">
        <w:t xml:space="preserve">ettepaneku kohta võtta vastu Euroopa Parlamendi ja nõukogu direktiiv, milles käsitletakse praktikantide töötingimuste parandamist ja täitmise tagamist ning võitlust olukorraga, </w:t>
      </w:r>
      <w:r w:rsidRPr="00D219BC">
        <w:t>kus tavapäraseid töösuhteid esitatakse praktikana (praktikadirektiiv)</w:t>
      </w:r>
    </w:p>
    <w:p w:rsidR="00793EA9" w:rsidRPr="00D219BC" w:rsidRDefault="001D653E">
      <w:pPr>
        <w:pStyle w:val="NormalBold12a"/>
      </w:pPr>
      <w:r w:rsidRPr="00D219BC">
        <w:t>(COM(2024)0132 – C10</w:t>
      </w:r>
      <w:r w:rsidRPr="00D219BC">
        <w:noBreakHyphen/>
        <w:t>0004/2024 – 2024/0068(COD))</w:t>
      </w:r>
    </w:p>
    <w:p w:rsidR="00793EA9" w:rsidRPr="00D219BC" w:rsidRDefault="001D653E" w:rsidP="00A910C9">
      <w:pPr>
        <w:pStyle w:val="NormalBold"/>
      </w:pPr>
      <w:r w:rsidRPr="00D219BC">
        <w:t>(Seadusandlik tavamenetlus: esimene lugemine)</w:t>
      </w:r>
    </w:p>
    <w:p w:rsidR="00793EA9" w:rsidRPr="00D219BC" w:rsidRDefault="001D653E" w:rsidP="00A910C9">
      <w:pPr>
        <w:pStyle w:val="EPComma"/>
      </w:pPr>
      <w:r w:rsidRPr="00D219BC">
        <w:rPr>
          <w:i/>
        </w:rPr>
        <w:t>Euroopa Parlament</w:t>
      </w:r>
      <w:r w:rsidRPr="00D219BC">
        <w:t>,</w:t>
      </w:r>
    </w:p>
    <w:p w:rsidR="00793EA9" w:rsidRPr="00D219BC" w:rsidRDefault="001D653E">
      <w:pPr>
        <w:pStyle w:val="NormalHanging12a"/>
      </w:pPr>
      <w:r w:rsidRPr="00D219BC">
        <w:t>–</w:t>
      </w:r>
      <w:r w:rsidRPr="00D219BC">
        <w:tab/>
        <w:t>võttes arvesse komisjoni ettepanekut Euroopa Parlamendile ja nõukogule</w:t>
      </w:r>
      <w:r w:rsidRPr="00D219BC">
        <w:t xml:space="preserve"> (COM(2024)0132),</w:t>
      </w:r>
    </w:p>
    <w:p w:rsidR="00793EA9" w:rsidRPr="00D219BC" w:rsidRDefault="001D653E">
      <w:pPr>
        <w:pStyle w:val="NormalHanging12a"/>
      </w:pPr>
      <w:r w:rsidRPr="00D219BC">
        <w:t>–</w:t>
      </w:r>
      <w:r w:rsidRPr="00D219BC">
        <w:tab/>
        <w:t>võttes arvesse Euroopa Liidu toimimise lepingu artikli 294 lõiget 2 ja artikli 153 lõike 2 punkti b koostoimes artikli 153 lõike 1 punktiga b, mille alusel komisjon esitas Euroopa Parlamendile ettepaneku (C10</w:t>
      </w:r>
      <w:r w:rsidRPr="00D219BC">
        <w:noBreakHyphen/>
        <w:t>0004/2024),</w:t>
      </w:r>
    </w:p>
    <w:p w:rsidR="00A26F46" w:rsidRPr="00D219BC" w:rsidRDefault="001D653E" w:rsidP="00A26F46">
      <w:pPr>
        <w:pStyle w:val="NormalHanging12a"/>
      </w:pPr>
      <w:r w:rsidRPr="00D219BC">
        <w:t>–</w:t>
      </w:r>
      <w:r w:rsidRPr="00D219BC">
        <w:tab/>
        <w:t>võttes arvess</w:t>
      </w:r>
      <w:r w:rsidRPr="00D219BC">
        <w:t>e Euroopa Liidu toimimise lepingu artikli 294 lõiget 3,</w:t>
      </w:r>
    </w:p>
    <w:p w:rsidR="00FB52FE" w:rsidRPr="00D219BC" w:rsidRDefault="001D653E" w:rsidP="00FB52FE">
      <w:pPr>
        <w:pStyle w:val="NormalHanging12a"/>
      </w:pPr>
      <w:r w:rsidRPr="00D219BC">
        <w:t>–</w:t>
      </w:r>
      <w:r w:rsidRPr="00D219BC">
        <w:tab/>
        <w:t>võttes arvesse Rootsi Riksdagi poolt subsidiaarsuse ja proportsionaalsuse põhimõtete kohaldamist käsitleva protokolli nr 2 alusel esitatud põhjendatud arvamust, mille kohaselt seadusandliku akti eel</w:t>
      </w:r>
      <w:r w:rsidRPr="00D219BC">
        <w:t>nõu ei vasta subsidiaarsuse põhimõttele,</w:t>
      </w:r>
    </w:p>
    <w:p w:rsidR="00793EA9" w:rsidRPr="00D219BC" w:rsidRDefault="001D653E">
      <w:pPr>
        <w:pStyle w:val="NormalHanging12a"/>
      </w:pPr>
      <w:r w:rsidRPr="00D219BC">
        <w:t>–</w:t>
      </w:r>
      <w:r w:rsidRPr="00D219BC">
        <w:tab/>
        <w:t>võttes arvesse kodukorra artiklit 60,</w:t>
      </w:r>
    </w:p>
    <w:p w:rsidR="00B31E12" w:rsidRPr="00D219BC" w:rsidRDefault="001D653E" w:rsidP="00B31E12">
      <w:pPr>
        <w:pStyle w:val="NormalHanging12a"/>
      </w:pPr>
      <w:r w:rsidRPr="00D219BC">
        <w:t>–</w:t>
      </w:r>
      <w:r w:rsidRPr="00D219BC">
        <w:tab/>
        <w:t>võttes arvesse Euroopa Majandus- ja Sotsiaalkomitee […]</w:t>
      </w:r>
      <w:r w:rsidRPr="00D219BC">
        <w:rPr>
          <w:rStyle w:val="FootnoteReference"/>
        </w:rPr>
        <w:footnoteReference w:id="1"/>
      </w:r>
      <w:r w:rsidRPr="00D219BC">
        <w:t xml:space="preserve"> arvamust, </w:t>
      </w:r>
    </w:p>
    <w:p w:rsidR="00B31E12" w:rsidRPr="00D219BC" w:rsidRDefault="001D653E" w:rsidP="00B31E12">
      <w:pPr>
        <w:pStyle w:val="NormalHanging12a"/>
      </w:pPr>
      <w:r w:rsidRPr="00D219BC">
        <w:t>–</w:t>
      </w:r>
      <w:r w:rsidRPr="00D219BC">
        <w:tab/>
        <w:t>võttes arvesse Regioonide Komitee […]</w:t>
      </w:r>
      <w:r w:rsidRPr="00D219BC">
        <w:rPr>
          <w:rStyle w:val="FootnoteReference"/>
        </w:rPr>
        <w:t xml:space="preserve"> </w:t>
      </w:r>
      <w:r w:rsidRPr="00D219BC">
        <w:rPr>
          <w:rStyle w:val="FootnoteReference"/>
        </w:rPr>
        <w:footnoteReference w:id="2"/>
      </w:r>
      <w:r w:rsidRPr="00D219BC">
        <w:t xml:space="preserve"> arvamust,</w:t>
      </w:r>
    </w:p>
    <w:p w:rsidR="006A2F5D" w:rsidRPr="00D219BC" w:rsidRDefault="001D653E" w:rsidP="006A2F5D">
      <w:pPr>
        <w:pStyle w:val="NormalHanging12a"/>
      </w:pPr>
      <w:r w:rsidRPr="00D219BC">
        <w:t>–</w:t>
      </w:r>
      <w:r w:rsidRPr="00D219BC">
        <w:tab/>
        <w:t>võttes arvesse kultuuri- ja hariduskomisjoni arvamu</w:t>
      </w:r>
      <w:r w:rsidRPr="00D219BC">
        <w:t>st,</w:t>
      </w:r>
    </w:p>
    <w:p w:rsidR="006A2F5D" w:rsidRPr="00D219BC" w:rsidRDefault="001D653E" w:rsidP="006A2F5D">
      <w:pPr>
        <w:pStyle w:val="NormalHanging12a"/>
      </w:pPr>
      <w:r w:rsidRPr="00D219BC">
        <w:t>–</w:t>
      </w:r>
      <w:r w:rsidRPr="00D219BC">
        <w:tab/>
        <w:t>võttes arvesse tööhõive- ja sotsiaalkomisjoni raportit (A10</w:t>
      </w:r>
      <w:r w:rsidRPr="00D219BC">
        <w:noBreakHyphen/>
        <w:t>0000/2025),</w:t>
      </w:r>
    </w:p>
    <w:p w:rsidR="009F6C2F" w:rsidRPr="00D219BC" w:rsidRDefault="001D653E" w:rsidP="009F6C2F">
      <w:pPr>
        <w:pStyle w:val="NormalHanging12a"/>
      </w:pPr>
      <w:r w:rsidRPr="00D219BC">
        <w:t>1.</w:t>
      </w:r>
      <w:r w:rsidRPr="00D219BC">
        <w:tab/>
        <w:t>võtab vastu allpool toodud esimese lugemise seisukoha;</w:t>
      </w:r>
    </w:p>
    <w:p w:rsidR="009F6C2F" w:rsidRPr="00D219BC" w:rsidRDefault="001D653E" w:rsidP="009F6C2F">
      <w:pPr>
        <w:pStyle w:val="NormalHanging12a"/>
      </w:pPr>
      <w:r w:rsidRPr="00D219BC">
        <w:t>2.</w:t>
      </w:r>
      <w:r w:rsidRPr="00D219BC">
        <w:tab/>
        <w:t>teeb presidendile ülesandeks edastada Euroopa Parlamendi seisukoht nõukogule ja komisjonile ning liikmesriikide parla</w:t>
      </w:r>
      <w:r w:rsidRPr="00D219BC">
        <w:t>mentidele.</w:t>
      </w:r>
    </w:p>
    <w:p w:rsidR="00D30DE2" w:rsidRPr="00D219BC" w:rsidRDefault="00D30DE2" w:rsidP="00D30DE2"/>
    <w:p w:rsidR="000A359B" w:rsidRPr="00D219BC" w:rsidRDefault="001D653E" w:rsidP="000A359B">
      <w:pPr>
        <w:pStyle w:val="AMNumberTabs0"/>
        <w:keepNext/>
      </w:pPr>
      <w:r w:rsidRPr="00D219BC">
        <w:rPr>
          <w:rStyle w:val="HideTWBExt"/>
          <w:b w:val="0"/>
        </w:rPr>
        <w:t>&lt;RepeatBlock-Amend&gt;&lt;Amend&gt;</w:t>
      </w:r>
      <w:r w:rsidRPr="00D219BC">
        <w:t>Muudatusettepanek</w:t>
      </w:r>
      <w:r w:rsidRPr="00D219BC">
        <w:tab/>
      </w:r>
      <w:r w:rsidRPr="00D219BC">
        <w:tab/>
      </w:r>
      <w:r w:rsidRPr="00D219BC">
        <w:rPr>
          <w:rStyle w:val="HideTWBExt"/>
          <w:b w:val="0"/>
        </w:rPr>
        <w:t>&lt;NumAm&gt;</w:t>
      </w:r>
      <w:r w:rsidRPr="00D219BC">
        <w:t>1</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1 jaotis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Ettepanek:</w:t>
            </w:r>
          </w:p>
        </w:tc>
        <w:tc>
          <w:tcPr>
            <w:tcW w:w="4876" w:type="dxa"/>
          </w:tcPr>
          <w:p w:rsidR="000A359B" w:rsidRPr="00D219BC" w:rsidRDefault="001D653E" w:rsidP="00F14438">
            <w:pPr>
              <w:pStyle w:val="Normal6"/>
              <w:rPr>
                <w:szCs w:val="24"/>
              </w:rPr>
            </w:pPr>
            <w:r w:rsidRPr="00D219BC">
              <w:t>Ettepanek:</w:t>
            </w:r>
          </w:p>
        </w:tc>
      </w:tr>
      <w:tr w:rsidR="00447288" w:rsidRPr="00D219BC" w:rsidTr="00F14438">
        <w:trPr>
          <w:jc w:val="center"/>
        </w:trPr>
        <w:tc>
          <w:tcPr>
            <w:tcW w:w="4876" w:type="dxa"/>
          </w:tcPr>
          <w:p w:rsidR="000A359B" w:rsidRPr="00D219BC" w:rsidRDefault="001D653E" w:rsidP="00F14438">
            <w:pPr>
              <w:pStyle w:val="Normal6"/>
            </w:pPr>
            <w:r w:rsidRPr="00D219BC">
              <w:t xml:space="preserve">EUROOPA PARLAMENDI JA NÕUKOGU </w:t>
            </w:r>
            <w:r w:rsidRPr="00D219BC">
              <w:t>DIREKTIIV,</w:t>
            </w:r>
          </w:p>
        </w:tc>
        <w:tc>
          <w:tcPr>
            <w:tcW w:w="4876" w:type="dxa"/>
          </w:tcPr>
          <w:p w:rsidR="000A359B" w:rsidRPr="00D219BC" w:rsidRDefault="001D653E" w:rsidP="00F14438">
            <w:pPr>
              <w:pStyle w:val="Normal6"/>
              <w:rPr>
                <w:szCs w:val="24"/>
              </w:rPr>
            </w:pPr>
            <w:r w:rsidRPr="00D219BC">
              <w:t>EUROOPA PARLAMENDI JA NÕUKOGU DIREKTIIV,</w:t>
            </w:r>
          </w:p>
        </w:tc>
      </w:tr>
      <w:tr w:rsidR="00447288" w:rsidRPr="00D219BC" w:rsidTr="00F14438">
        <w:trPr>
          <w:jc w:val="center"/>
        </w:trPr>
        <w:tc>
          <w:tcPr>
            <w:tcW w:w="4876" w:type="dxa"/>
          </w:tcPr>
          <w:p w:rsidR="000A359B" w:rsidRPr="00D219BC" w:rsidRDefault="001D653E" w:rsidP="00F14438">
            <w:pPr>
              <w:pStyle w:val="Normal6"/>
            </w:pPr>
            <w:r w:rsidRPr="00D219BC">
              <w:t xml:space="preserve">milles käsitletakse praktikantide töötingimuste parandamist ja täitmise tagamist ning võitlust </w:t>
            </w:r>
            <w:r w:rsidRPr="00D219BC">
              <w:rPr>
                <w:b/>
                <w:i/>
              </w:rPr>
              <w:t>olukorraga, kus tavapäraseid töösuhteid esitatakse praktikana</w:t>
            </w:r>
            <w:r w:rsidRPr="00D219BC">
              <w:t xml:space="preserve"> (praktikadirektiiv)</w:t>
            </w:r>
          </w:p>
        </w:tc>
        <w:tc>
          <w:tcPr>
            <w:tcW w:w="4876" w:type="dxa"/>
          </w:tcPr>
          <w:p w:rsidR="000A359B" w:rsidRPr="00D219BC" w:rsidRDefault="001D653E" w:rsidP="00F14438">
            <w:pPr>
              <w:pStyle w:val="Normal6"/>
              <w:rPr>
                <w:szCs w:val="24"/>
              </w:rPr>
            </w:pPr>
            <w:r w:rsidRPr="00D219BC">
              <w:t>milles käsitletakse prakti</w:t>
            </w:r>
            <w:r w:rsidRPr="00D219BC">
              <w:t xml:space="preserve">kantide töötingimuste parandamist ja täitmise tagamist ning võitlust </w:t>
            </w:r>
            <w:r w:rsidRPr="00D219BC">
              <w:rPr>
                <w:b/>
                <w:i/>
              </w:rPr>
              <w:t>praktika kuritahtliku kasutamise tavadega</w:t>
            </w:r>
            <w:r w:rsidRPr="00D219BC">
              <w:t xml:space="preserve"> (praktikadirektiiv)</w:t>
            </w:r>
          </w:p>
        </w:tc>
      </w:tr>
      <w:tr w:rsidR="00447288" w:rsidRPr="00D219BC" w:rsidTr="00F14438">
        <w:trPr>
          <w:jc w:val="center"/>
        </w:trPr>
        <w:tc>
          <w:tcPr>
            <w:tcW w:w="4876" w:type="dxa"/>
          </w:tcPr>
          <w:p w:rsidR="000A359B" w:rsidRPr="00D219BC" w:rsidRDefault="001D653E" w:rsidP="00F14438">
            <w:pPr>
              <w:pStyle w:val="Normal6"/>
            </w:pPr>
            <w:r w:rsidRPr="00D219BC">
              <w:t>(EMPs kohaldatav tekst)</w:t>
            </w:r>
          </w:p>
        </w:tc>
        <w:tc>
          <w:tcPr>
            <w:tcW w:w="4876" w:type="dxa"/>
          </w:tcPr>
          <w:p w:rsidR="000A359B" w:rsidRPr="00D219BC" w:rsidRDefault="001D653E" w:rsidP="00F14438">
            <w:pPr>
              <w:pStyle w:val="Normal6"/>
              <w:rPr>
                <w:szCs w:val="24"/>
              </w:rPr>
            </w:pPr>
            <w:r w:rsidRPr="00D219BC">
              <w:t>(EMPs kohaldatav tekst)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2</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 a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(-1a)</w:t>
            </w:r>
            <w:r w:rsidRPr="00D219BC">
              <w:rPr>
                <w:b/>
                <w:i/>
              </w:rPr>
              <w:tab/>
              <w:t xml:space="preserve">Euroopa Liidu lepingu (ELi leping) artikli 3 kohaselt on liidu eesmärk edendada oma rahvaste hüvangut, </w:t>
            </w:r>
            <w:r w:rsidRPr="00D219BC">
              <w:rPr>
                <w:b/>
                <w:i/>
              </w:rPr>
              <w:t>võidelda sotsiaalse tõrjutuse ja diskrimineerimise vastu ning taotleda Euroopa kestlikku arengut, mis põhineb muu hulgas tasakaalustatud majanduskasvul ja kõrge konkurentsivõimega sotsiaalsel turumajandusel, et saavutada täielik tööhõive ja sotsiaalne prog</w:t>
            </w:r>
            <w:r w:rsidRPr="00D219BC">
              <w:rPr>
                <w:b/>
                <w:i/>
              </w:rPr>
              <w:t>ress. Euroopa Liidu toimimise lepingu (ELi toimimise leping) artikli 9 kohaselt võtab liit muu hulgas arvesse kõrge tööhõive taseme edendamise, piisava sotsiaalse kaitse tagamise ja sotsiaalse tõrjutuse vastase võitlusega seotud nõudeid.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rPr>
          <w:rStyle w:val="HideTWBInt"/>
        </w:rPr>
        <w:t>}</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Muudatusettepanek</w:t>
      </w:r>
      <w:r w:rsidRPr="00D219BC">
        <w:tab/>
      </w:r>
      <w:r w:rsidRPr="00D219BC">
        <w:tab/>
      </w:r>
      <w:r w:rsidRPr="00D219BC">
        <w:rPr>
          <w:rStyle w:val="HideTWBExt"/>
          <w:b w:val="0"/>
        </w:rPr>
        <w:t>&lt;NumAm&gt;</w:t>
      </w:r>
      <w:r w:rsidRPr="00D219BC">
        <w:t>3</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 b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(-1b) </w:t>
            </w:r>
            <w:r w:rsidRPr="00D219BC">
              <w:rPr>
                <w:b/>
                <w:i/>
              </w:rPr>
              <w:tab/>
              <w:t xml:space="preserve">Euroopa Liidu põhiõiguste harta artikliga 21 </w:t>
            </w:r>
            <w:r w:rsidRPr="00D219BC">
              <w:rPr>
                <w:b/>
                <w:i/>
              </w:rPr>
              <w:t>keelatakse igasugune diskrimineerimine, sealhulgas diskrimineerimine soo, rassi, nahavärvuse, etnilise või sotsiaalse päritolu, geneetiliste omaduste, keele, usutunnistuse või veendumuste, poliitiliste või muude arvamuste, rahvusvähemusse kuulumise, varali</w:t>
            </w:r>
            <w:r w:rsidRPr="00D219BC">
              <w:rPr>
                <w:b/>
                <w:i/>
              </w:rPr>
              <w:t>se seisundi, sünnipära, puuete, vanuse ja seksuaalse sättumuse tõttu. Harta artikli 31 kohaselt on igal töötajal õigus headele ja õiglastele töötingimustele, mis on tema tervise, ohutuse ja väärikuse kohased.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w:t>
      </w:r>
      <w:r w:rsidRPr="00D219BC">
        <w:rPr>
          <w:rStyle w:val="HideTWBExt"/>
          <w:b w:val="0"/>
        </w:rPr>
        <w:t>d&gt;</w:t>
      </w:r>
      <w:r w:rsidRPr="00D219BC">
        <w:t>Muudatusettepanek</w:t>
      </w:r>
      <w:r w:rsidRPr="00D219BC">
        <w:tab/>
      </w:r>
      <w:r w:rsidRPr="00D219BC">
        <w:tab/>
      </w:r>
      <w:r w:rsidRPr="00D219BC">
        <w:rPr>
          <w:rStyle w:val="HideTWBExt"/>
          <w:b w:val="0"/>
        </w:rPr>
        <w:t>&lt;NumAm&gt;</w:t>
      </w:r>
      <w:r w:rsidRPr="00D219BC">
        <w:t>4</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 c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(-1c)</w:t>
            </w:r>
            <w:r w:rsidRPr="00D219BC">
              <w:rPr>
                <w:b/>
                <w:i/>
              </w:rPr>
              <w:tab/>
              <w:t xml:space="preserve">Göteborgis 17. novembril 2017 välja kuulutatud Euroopa sotsiaalõiguste samba </w:t>
            </w:r>
            <w:r w:rsidRPr="00D219BC">
              <w:rPr>
                <w:b/>
                <w:i/>
              </w:rPr>
              <w:t>I ja II peatükis on sätestatud põhimõtted, millest juhinduda võrdsete võimaluste ja tööturule juurdepääsu ning õiglaste töötingimuste tagamisel. Samba kolmandas põhimõttes rõhutatakse, et hoolimata soost, rassilisest või etnilisest päritolust, usutunnistus</w:t>
            </w:r>
            <w:r w:rsidRPr="00D219BC">
              <w:rPr>
                <w:b/>
                <w:i/>
              </w:rPr>
              <w:t xml:space="preserve">est või veendumustest, puudest, vanusest või seksuaalsest sättumusest on igaühel õigus võrdsele kohtlemisele ja võrdsetele võimalustele muu hulgas seoses tööhõive ja haridusega. Samba neljanda põhimõtte punkti b kohaselt on noortel õigus nelja kuu jooksul </w:t>
            </w:r>
            <w:r w:rsidRPr="00D219BC">
              <w:rPr>
                <w:b/>
                <w:i/>
              </w:rPr>
              <w:t xml:space="preserve">pärast töötuks jäämist või õpingute lõpetamist saada kvaliteetne </w:t>
            </w:r>
            <w:r w:rsidRPr="00D219BC">
              <w:rPr>
                <w:b/>
                <w:i/>
              </w:rPr>
              <w:lastRenderedPageBreak/>
              <w:t>täiendushariduse, õpipoisiõppe, praktika- või tööpakkumine. Samba viienda põhimõtte kohaselt on töötajatel töösuhte liigist ja kestusest hoolimata õigus õiglasele ja võrdsele kohtlemisele seo</w:t>
            </w:r>
            <w:r w:rsidRPr="00D219BC">
              <w:rPr>
                <w:b/>
                <w:i/>
              </w:rPr>
              <w:t>ses töötingimustega ning juurdepääsuga sotsiaalkaitsele ja koolitusele, ning hoiduda töösuhetest, mille tulemuseks on ebakindlad töötingimused. Samba kuuenda põhimõtte kohaselt on töötajatel õigus õiglasele palgale, mis võimaldab inimväärse elatustaseme.</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5</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3</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(3)</w:t>
            </w:r>
            <w:r w:rsidRPr="00D219BC">
              <w:tab/>
              <w:t xml:space="preserve">Noorte tööhõive </w:t>
            </w:r>
            <w:r w:rsidRPr="00D219BC">
              <w:rPr>
                <w:b/>
                <w:i/>
              </w:rPr>
              <w:t>tugevdamise</w:t>
            </w:r>
            <w:r w:rsidRPr="00D219BC">
              <w:t xml:space="preserve"> eesmärk on tagada, et kõik kuni 30aastased noored saaksid kvaliteetse tööpakkumise, jätkuõppe võimaluse, töökohapõhise õppe või praktikapakkumise nelja kuu jooksul pärast töötuks jäämist või formaalharidussüsteemist lahkumist. </w:t>
            </w:r>
            <w:r w:rsidRPr="00D219BC">
              <w:rPr>
                <w:b/>
                <w:i/>
              </w:rPr>
              <w:t>2014. aasta soovitus on olul</w:t>
            </w:r>
            <w:r w:rsidRPr="00D219BC">
              <w:rPr>
                <w:b/>
                <w:i/>
              </w:rPr>
              <w:t>ine võrdlusalus noorte tööhõive tugevdamise raames pakutavate praktikapakkumiste kvaliteedi mõõtmiseks</w:t>
            </w:r>
            <w:r w:rsidRPr="00D219BC">
              <w:t>.</w:t>
            </w:r>
          </w:p>
        </w:tc>
        <w:tc>
          <w:tcPr>
            <w:tcW w:w="4876" w:type="dxa"/>
          </w:tcPr>
          <w:p w:rsidR="000A359B" w:rsidRPr="00D219BC" w:rsidRDefault="001D653E" w:rsidP="00F14438">
            <w:pPr>
              <w:pStyle w:val="Normal6"/>
              <w:rPr>
                <w:szCs w:val="24"/>
              </w:rPr>
            </w:pPr>
            <w:r w:rsidRPr="00D219BC">
              <w:t>(3)</w:t>
            </w:r>
            <w:r w:rsidRPr="00D219BC">
              <w:tab/>
            </w:r>
            <w:r w:rsidRPr="00D219BC">
              <w:rPr>
                <w:b/>
                <w:i/>
              </w:rPr>
              <w:t>Nõukogu soovituse, milles käsitletakse algatust „Töösild – </w:t>
            </w:r>
            <w:r w:rsidRPr="00D219BC">
              <w:t xml:space="preserve">noorte tööhõive </w:t>
            </w:r>
            <w:r w:rsidRPr="00D219BC">
              <w:rPr>
                <w:b/>
                <w:i/>
              </w:rPr>
              <w:t>tugevdamine“,</w:t>
            </w:r>
            <w:r w:rsidRPr="00D219BC">
              <w:t xml:space="preserve"> eesmärk on tagada, et kõik kuni 30aastased noored saaksid k</w:t>
            </w:r>
            <w:r w:rsidRPr="00D219BC">
              <w:t xml:space="preserve">valiteetse tööpakkumise, jätkuõppe võimaluse, töökohapõhise õppe või praktikapakkumise nelja kuu jooksul pärast töötuks jäämist või formaalharidussüsteemist lahkumist. </w:t>
            </w:r>
            <w:r w:rsidRPr="00D219BC">
              <w:rPr>
                <w:b/>
                <w:i/>
              </w:rPr>
              <w:t>Tööhõivekomitee 2024. aasta ülevaatest noortegarantii kohta</w:t>
            </w:r>
            <w:r w:rsidRPr="00D219BC">
              <w:rPr>
                <w:b/>
                <w:i/>
                <w:vertAlign w:val="superscript"/>
              </w:rPr>
              <w:t xml:space="preserve"> 1a</w:t>
            </w:r>
            <w:r w:rsidRPr="00D219BC">
              <w:rPr>
                <w:b/>
                <w:i/>
              </w:rPr>
              <w:t xml:space="preserve"> selgus siiski, et teenuste osutamise kvaliteedis ja tõhususes on püsivaid ja märkimisväärseid erinevusi</w:t>
            </w:r>
            <w:r w:rsidRPr="00D219BC">
              <w:t>.</w:t>
            </w:r>
          </w:p>
        </w:tc>
      </w:tr>
      <w:tr w:rsidR="00447288" w:rsidRPr="00D219BC" w:rsidTr="00F14438">
        <w:trPr>
          <w:jc w:val="center"/>
        </w:trPr>
        <w:tc>
          <w:tcPr>
            <w:tcW w:w="4876" w:type="dxa"/>
          </w:tcPr>
          <w:p w:rsidR="000A359B" w:rsidRPr="00D219BC" w:rsidRDefault="001D653E" w:rsidP="00F14438">
            <w:pPr>
              <w:pStyle w:val="Normal6"/>
            </w:pPr>
            <w:r w:rsidRPr="00D219BC">
              <w:t>__________________</w:t>
            </w:r>
          </w:p>
        </w:tc>
        <w:tc>
          <w:tcPr>
            <w:tcW w:w="4876" w:type="dxa"/>
          </w:tcPr>
          <w:p w:rsidR="000A359B" w:rsidRPr="00D219BC" w:rsidRDefault="001D653E" w:rsidP="00F14438">
            <w:pPr>
              <w:pStyle w:val="Normal6"/>
              <w:rPr>
                <w:szCs w:val="24"/>
              </w:rPr>
            </w:pPr>
            <w:r w:rsidRPr="00D219BC">
              <w:t>__________________</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1a Tööhõivekomitee ülevaade nõukogu soovituse „Töösild – noorte tööhõive tugevdamine“ rakendamise kohta</w:t>
            </w: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4</w:t>
            </w:r>
            <w:r w:rsidRPr="00D219BC">
              <w:t xml:space="preserve"> Nõ</w:t>
            </w:r>
            <w:r w:rsidRPr="00D219BC">
              <w:t xml:space="preserve">ukogu 30. oktoobri 2020. aasta soovitus, milles käsitletakse algatust „Töösild – noorte tööhõive tugevdamine“ ja millega asendatakse nõukogu 22. aprilli 2013. aasta soovitus noortegarantii loomise kohta 2020/C 372/01, (ELT C 372, </w:t>
            </w:r>
            <w:r w:rsidRPr="00D219BC">
              <w:lastRenderedPageBreak/>
              <w:t>4.11.2020, lk 1).</w:t>
            </w:r>
          </w:p>
        </w:tc>
        <w:tc>
          <w:tcPr>
            <w:tcW w:w="4876" w:type="dxa"/>
          </w:tcPr>
          <w:p w:rsidR="000A359B" w:rsidRPr="00D219BC" w:rsidRDefault="001D653E" w:rsidP="00F14438">
            <w:pPr>
              <w:pStyle w:val="Normal6"/>
              <w:rPr>
                <w:szCs w:val="24"/>
              </w:rPr>
            </w:pPr>
            <w:r w:rsidRPr="00D219BC">
              <w:rPr>
                <w:vertAlign w:val="superscript"/>
              </w:rPr>
              <w:lastRenderedPageBreak/>
              <w:t>4</w:t>
            </w:r>
            <w:r w:rsidRPr="00D219BC">
              <w:t xml:space="preserve"> Nõukog</w:t>
            </w:r>
            <w:r w:rsidRPr="00D219BC">
              <w:t xml:space="preserve">u 30. oktoobri 2020. aasta soovitus, milles käsitletakse algatust „Töösild – noorte tööhõive tugevdamine“ ja millega asendatakse nõukogu 22. aprilli 2013. aasta soovitus noortegarantii loomise kohta 2020/C 372/01, (ELT C 372, </w:t>
            </w:r>
            <w:r w:rsidRPr="00D219BC">
              <w:lastRenderedPageBreak/>
              <w:t>4.11.2020, lk 1).</w:t>
            </w:r>
          </w:p>
        </w:tc>
      </w:tr>
    </w:tbl>
    <w:p w:rsidR="000A359B" w:rsidRPr="00D219BC" w:rsidRDefault="001D653E" w:rsidP="000A359B">
      <w:pPr>
        <w:pStyle w:val="Olang"/>
      </w:pPr>
      <w:r w:rsidRPr="00D219BC">
        <w:lastRenderedPageBreak/>
        <w:t xml:space="preserve">Or. </w:t>
      </w:r>
      <w:r w:rsidRPr="00D219BC">
        <w:rPr>
          <w:rStyle w:val="HideTWBExt"/>
          <w:noProof w:val="0"/>
        </w:rPr>
        <w:t>&lt;Origin</w:t>
      </w:r>
      <w:r w:rsidRPr="00D219BC">
        <w:rPr>
          <w:rStyle w:val="HideTWBExt"/>
          <w:noProof w:val="0"/>
        </w:rPr>
        <w:t>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6</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4</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(4)</w:t>
            </w:r>
            <w:r w:rsidRPr="00D219BC">
              <w:rPr>
                <w:b/>
                <w:i/>
              </w:rPr>
              <w:tab/>
              <w:t xml:space="preserve">Tööjõupuudust esineb paljudel kutsealadel ja kõigil </w:t>
            </w:r>
            <w:r w:rsidRPr="00D219BC">
              <w:rPr>
                <w:b/>
                <w:i/>
              </w:rPr>
              <w:t>oskuste tasemetel. Eelduste kohaselt suureneb see tulevikus veelgi, kuna tööealine elanikkond peaks prognooside kohaselt vähenema ning samas on kasvamas nõudlus mitme rohe- ja digipöördega seotud olulise kutseala järele. Neid probleeme süvendab veelgi asja</w:t>
            </w:r>
            <w:r w:rsidRPr="00D219BC">
              <w:rPr>
                <w:b/>
                <w:i/>
              </w:rPr>
              <w:t>olu, et noorte tööturul osalemise määr on langenud. Kvaliteetne praktika võib pakkuda igas vanuses inimestele kasulikke võimalusi täiendus- ja/või ümberõppeks, et omandada töökohal praktilisi oskusi, mis aitavad siseneda tööturule või anda oma karjäärile u</w:t>
            </w:r>
            <w:r w:rsidRPr="00D219BC">
              <w:rPr>
                <w:b/>
                <w:i/>
              </w:rPr>
              <w:t>us suund.</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4 a (uus)</w:t>
      </w:r>
      <w:r w:rsidRPr="00D219B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B66E7F">
        <w:trPr>
          <w:jc w:val="center"/>
        </w:trPr>
        <w:tc>
          <w:tcPr>
            <w:tcW w:w="9752" w:type="dxa"/>
            <w:gridSpan w:val="2"/>
          </w:tcPr>
          <w:p w:rsidR="000A359B" w:rsidRPr="00D219BC" w:rsidRDefault="000A359B" w:rsidP="00F14438">
            <w:pPr>
              <w:keepNext/>
            </w:pPr>
          </w:p>
        </w:tc>
      </w:tr>
      <w:tr w:rsidR="00447288" w:rsidRPr="00D219BC" w:rsidTr="00B66E7F">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B66E7F">
        <w:trPr>
          <w:jc w:val="center"/>
        </w:trPr>
        <w:tc>
          <w:tcPr>
            <w:tcW w:w="4876" w:type="dxa"/>
          </w:tcPr>
          <w:p w:rsidR="000A359B" w:rsidRPr="00D219BC" w:rsidRDefault="000A359B" w:rsidP="00F14438">
            <w:pPr>
              <w:pStyle w:val="Normal6"/>
            </w:pPr>
          </w:p>
        </w:tc>
        <w:tc>
          <w:tcPr>
            <w:tcW w:w="4876" w:type="dxa"/>
          </w:tcPr>
          <w:p w:rsidR="000A359B" w:rsidRPr="00D219BC" w:rsidRDefault="001D653E" w:rsidP="00D5351E">
            <w:pPr>
              <w:pStyle w:val="Normal6"/>
              <w:rPr>
                <w:szCs w:val="24"/>
              </w:rPr>
            </w:pPr>
            <w:r w:rsidRPr="00D219BC">
              <w:rPr>
                <w:b/>
                <w:i/>
              </w:rPr>
              <w:t>(4a)</w:t>
            </w:r>
            <w:r w:rsidRPr="00D219BC">
              <w:rPr>
                <w:b/>
                <w:i/>
              </w:rPr>
              <w:tab/>
              <w:t xml:space="preserve">Liidu </w:t>
            </w:r>
            <w:r w:rsidRPr="00D219BC">
              <w:rPr>
                <w:b/>
                <w:i/>
              </w:rPr>
              <w:t>tasandil on töötajate kaitseks loodud kehtivatest õigusaktidest koosnev raamistik, sealhulgas Euroopa Parlamendi ja nõukogu direktiivid 89/391/EMÜ</w:t>
            </w:r>
            <w:r w:rsidRPr="00D219BC">
              <w:rPr>
                <w:b/>
                <w:i/>
                <w:vertAlign w:val="superscript"/>
              </w:rPr>
              <w:t>1e</w:t>
            </w:r>
            <w:r w:rsidRPr="00D219BC">
              <w:rPr>
                <w:b/>
                <w:i/>
              </w:rPr>
              <w:t>, 2002/14/EÜ</w:t>
            </w:r>
            <w:r w:rsidRPr="00D219BC">
              <w:rPr>
                <w:b/>
                <w:i/>
                <w:vertAlign w:val="superscript"/>
              </w:rPr>
              <w:t>1b</w:t>
            </w:r>
            <w:r w:rsidRPr="00D219BC">
              <w:rPr>
                <w:b/>
                <w:i/>
              </w:rPr>
              <w:t>, 2003/88/EÜ</w:t>
            </w:r>
            <w:r w:rsidRPr="00D219BC">
              <w:rPr>
                <w:b/>
                <w:i/>
                <w:vertAlign w:val="superscript"/>
              </w:rPr>
              <w:t>1c</w:t>
            </w:r>
            <w:r w:rsidRPr="00D219BC">
              <w:rPr>
                <w:b/>
                <w:i/>
              </w:rPr>
              <w:t>, 2008/104/EÜ</w:t>
            </w:r>
            <w:r w:rsidRPr="00D219BC">
              <w:rPr>
                <w:b/>
                <w:i/>
                <w:vertAlign w:val="superscript"/>
              </w:rPr>
              <w:t>1d</w:t>
            </w:r>
            <w:r w:rsidRPr="00D219BC">
              <w:rPr>
                <w:b/>
                <w:i/>
              </w:rPr>
              <w:t>, (EL) 2018/957</w:t>
            </w:r>
            <w:r w:rsidRPr="00D219BC">
              <w:rPr>
                <w:b/>
                <w:i/>
                <w:vertAlign w:val="superscript"/>
              </w:rPr>
              <w:t>1e</w:t>
            </w:r>
            <w:r w:rsidRPr="00D219BC">
              <w:rPr>
                <w:b/>
                <w:i/>
              </w:rPr>
              <w:t>, (EL) 2019/1152</w:t>
            </w:r>
            <w:r w:rsidRPr="00D219BC">
              <w:rPr>
                <w:b/>
                <w:i/>
                <w:vertAlign w:val="superscript"/>
              </w:rPr>
              <w:t>1f</w:t>
            </w:r>
            <w:r w:rsidRPr="00D219BC">
              <w:rPr>
                <w:b/>
                <w:i/>
              </w:rPr>
              <w:t>, (EL) 2019/1158</w:t>
            </w:r>
            <w:r w:rsidRPr="00D219BC">
              <w:rPr>
                <w:b/>
                <w:i/>
                <w:vertAlign w:val="superscript"/>
              </w:rPr>
              <w:t>1g</w:t>
            </w:r>
            <w:r w:rsidRPr="00D219BC">
              <w:rPr>
                <w:b/>
                <w:i/>
              </w:rPr>
              <w:t xml:space="preserve"> ja (EL) 202</w:t>
            </w:r>
            <w:r w:rsidRPr="00D219BC">
              <w:rPr>
                <w:b/>
                <w:i/>
              </w:rPr>
              <w:t>2/2041</w:t>
            </w:r>
            <w:r w:rsidRPr="00D219BC">
              <w:rPr>
                <w:b/>
                <w:i/>
                <w:vertAlign w:val="superscript"/>
              </w:rPr>
              <w:t>1h</w:t>
            </w:r>
            <w:r w:rsidRPr="00D219BC">
              <w:rPr>
                <w:b/>
                <w:i/>
              </w:rPr>
              <w:t xml:space="preserve"> ning nõukogu direktiivid 97/81/EÜ</w:t>
            </w:r>
            <w:r w:rsidRPr="00D219BC">
              <w:rPr>
                <w:b/>
                <w:i/>
                <w:vertAlign w:val="superscript"/>
              </w:rPr>
              <w:t>1i</w:t>
            </w:r>
            <w:r w:rsidRPr="00D219BC">
              <w:rPr>
                <w:b/>
                <w:i/>
              </w:rPr>
              <w:t xml:space="preserve">, </w:t>
            </w:r>
            <w:r w:rsidRPr="00D219BC">
              <w:rPr>
                <w:b/>
                <w:i/>
              </w:rPr>
              <w:lastRenderedPageBreak/>
              <w:t>1999/70/EÜ</w:t>
            </w:r>
            <w:r w:rsidRPr="00D219BC">
              <w:rPr>
                <w:b/>
                <w:i/>
                <w:vertAlign w:val="superscript"/>
              </w:rPr>
              <w:t>1j</w:t>
            </w:r>
            <w:r w:rsidRPr="00D219BC">
              <w:rPr>
                <w:b/>
                <w:i/>
              </w:rPr>
              <w:t xml:space="preserve"> ja 2000/78/EÜ</w:t>
            </w:r>
            <w:r w:rsidRPr="00D219BC">
              <w:rPr>
                <w:b/>
                <w:i/>
                <w:vertAlign w:val="superscript"/>
              </w:rPr>
              <w:t>1k</w:t>
            </w:r>
            <w:r w:rsidRPr="00D219BC">
              <w:rPr>
                <w:b/>
                <w:i/>
              </w:rPr>
              <w:t>.</w:t>
            </w:r>
          </w:p>
        </w:tc>
      </w:tr>
      <w:tr w:rsidR="00447288" w:rsidRPr="00D219BC" w:rsidTr="00B66E7F">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__________________</w:t>
            </w:r>
          </w:p>
        </w:tc>
      </w:tr>
      <w:tr w:rsidR="00447288" w:rsidRPr="00D219BC" w:rsidTr="00B66E7F">
        <w:trPr>
          <w:jc w:val="center"/>
        </w:trPr>
        <w:tc>
          <w:tcPr>
            <w:tcW w:w="4876" w:type="dxa"/>
          </w:tcPr>
          <w:p w:rsidR="000A359B" w:rsidRPr="00D219BC" w:rsidRDefault="000A359B" w:rsidP="00F14438">
            <w:pPr>
              <w:pStyle w:val="Normal6"/>
            </w:pPr>
          </w:p>
        </w:tc>
        <w:tc>
          <w:tcPr>
            <w:tcW w:w="4876" w:type="dxa"/>
          </w:tcPr>
          <w:p w:rsidR="000A359B" w:rsidRPr="00D219BC" w:rsidRDefault="001D653E" w:rsidP="00D5351E">
            <w:pPr>
              <w:pStyle w:val="Normal6"/>
              <w:rPr>
                <w:szCs w:val="24"/>
              </w:rPr>
            </w:pPr>
            <w:r w:rsidRPr="00D219BC">
              <w:rPr>
                <w:b/>
                <w:i/>
              </w:rPr>
              <w:t xml:space="preserve">1a Nõukogu 12. juuni 1989. aasta direktiiv 89/391/EMÜ töötajate töötervishoiu ja tööohutuse parandamist soodustavate meetmete kehtestamise kohta (EÜT L 183, </w:t>
            </w:r>
            <w:r w:rsidRPr="00D219BC">
              <w:rPr>
                <w:b/>
                <w:i/>
              </w:rPr>
              <w:t>29.6.1989, lk 1).</w:t>
            </w:r>
          </w:p>
        </w:tc>
      </w:tr>
      <w:tr w:rsidR="00447288" w:rsidRPr="00D219BC" w:rsidTr="00B66E7F">
        <w:trPr>
          <w:jc w:val="center"/>
        </w:trPr>
        <w:tc>
          <w:tcPr>
            <w:tcW w:w="4876" w:type="dxa"/>
          </w:tcPr>
          <w:p w:rsidR="00B66E7F" w:rsidRPr="00D219BC" w:rsidRDefault="00B66E7F" w:rsidP="00B66E7F">
            <w:pPr>
              <w:pStyle w:val="Normal6"/>
            </w:pPr>
          </w:p>
        </w:tc>
        <w:tc>
          <w:tcPr>
            <w:tcW w:w="4876" w:type="dxa"/>
          </w:tcPr>
          <w:p w:rsidR="00B66E7F" w:rsidRPr="00D219BC" w:rsidRDefault="001D653E" w:rsidP="00D5351E">
            <w:pPr>
              <w:pStyle w:val="Normal6"/>
              <w:rPr>
                <w:b/>
                <w:i/>
                <w:vertAlign w:val="superscript"/>
              </w:rPr>
            </w:pPr>
            <w:r w:rsidRPr="00D219BC">
              <w:rPr>
                <w:b/>
                <w:i/>
              </w:rPr>
              <w:t>1b</w:t>
            </w:r>
            <w:r w:rsidRPr="00D219BC">
              <w:rPr>
                <w:b/>
                <w:i/>
              </w:rPr>
              <w:t xml:space="preserve"> Euroopa Parlamendi ja nõukogu 11. märtsi 2002. aasta direktiiv 2002/14/EÜ, millega kehtestatakse töötajate teavitamise ja nõustamise üldraamistik Euroopa Ühenduses – Euroopa Parlamendi, nõukogu ja komisjoni ühisdeklaratsioon töötajate esindamise kohta (EÜ</w:t>
            </w:r>
            <w:r w:rsidRPr="00D219BC">
              <w:rPr>
                <w:b/>
                <w:i/>
              </w:rPr>
              <w:t>T L 80, 23.3.2002, lk 29).</w:t>
            </w:r>
          </w:p>
        </w:tc>
      </w:tr>
      <w:tr w:rsidR="00447288" w:rsidRPr="00D219BC" w:rsidTr="00B66E7F">
        <w:trPr>
          <w:jc w:val="center"/>
        </w:trPr>
        <w:tc>
          <w:tcPr>
            <w:tcW w:w="4876" w:type="dxa"/>
          </w:tcPr>
          <w:p w:rsidR="00B66E7F" w:rsidRPr="00D219BC" w:rsidRDefault="00B66E7F" w:rsidP="00B66E7F">
            <w:pPr>
              <w:pStyle w:val="Normal6"/>
            </w:pPr>
          </w:p>
        </w:tc>
        <w:tc>
          <w:tcPr>
            <w:tcW w:w="4876" w:type="dxa"/>
          </w:tcPr>
          <w:p w:rsidR="00B66E7F" w:rsidRPr="00D219BC" w:rsidRDefault="001D653E" w:rsidP="00D5351E">
            <w:pPr>
              <w:pStyle w:val="Normal6"/>
              <w:rPr>
                <w:b/>
                <w:i/>
                <w:vertAlign w:val="superscript"/>
              </w:rPr>
            </w:pPr>
            <w:r w:rsidRPr="00D219BC">
              <w:rPr>
                <w:b/>
                <w:i/>
              </w:rPr>
              <w:t>1c Euroopa Parlamendi ja nõukogu 4. novembri 2003. aasta direktiiv 2003/88/EÜ tööaja korralduse teatavate aspektide kohta (EÜT L 299, 18.11.2003, lk 9).</w:t>
            </w:r>
          </w:p>
        </w:tc>
      </w:tr>
      <w:tr w:rsidR="00447288" w:rsidRPr="00D219BC" w:rsidTr="00B66E7F">
        <w:trPr>
          <w:jc w:val="center"/>
        </w:trPr>
        <w:tc>
          <w:tcPr>
            <w:tcW w:w="4876" w:type="dxa"/>
          </w:tcPr>
          <w:p w:rsidR="00B66E7F" w:rsidRPr="00D219BC" w:rsidRDefault="00B66E7F" w:rsidP="00B66E7F">
            <w:pPr>
              <w:pStyle w:val="Normal6"/>
            </w:pPr>
          </w:p>
        </w:tc>
        <w:tc>
          <w:tcPr>
            <w:tcW w:w="4876" w:type="dxa"/>
          </w:tcPr>
          <w:p w:rsidR="00B66E7F" w:rsidRPr="00D219BC" w:rsidRDefault="001D653E" w:rsidP="00D5351E">
            <w:pPr>
              <w:pStyle w:val="Normal6"/>
              <w:rPr>
                <w:b/>
                <w:i/>
                <w:vertAlign w:val="superscript"/>
              </w:rPr>
            </w:pPr>
            <w:r w:rsidRPr="00D219BC">
              <w:rPr>
                <w:b/>
                <w:i/>
              </w:rPr>
              <w:t>1d Euroopa Parlamendi ja nõukogu 19. novembri 2008. aasta direktiiv 2008</w:t>
            </w:r>
            <w:r w:rsidRPr="00D219BC">
              <w:rPr>
                <w:b/>
                <w:i/>
              </w:rPr>
              <w:t>/104/EÜ renditöö kohta (ELT L 327, 5.12.2008, lk 9).</w:t>
            </w:r>
          </w:p>
        </w:tc>
      </w:tr>
      <w:tr w:rsidR="00447288" w:rsidRPr="00D219BC" w:rsidTr="00B66E7F">
        <w:trPr>
          <w:jc w:val="center"/>
        </w:trPr>
        <w:tc>
          <w:tcPr>
            <w:tcW w:w="4876" w:type="dxa"/>
          </w:tcPr>
          <w:p w:rsidR="00B66E7F" w:rsidRPr="00D219BC" w:rsidRDefault="00B66E7F" w:rsidP="00B66E7F">
            <w:pPr>
              <w:pStyle w:val="Normal6"/>
            </w:pPr>
          </w:p>
        </w:tc>
        <w:tc>
          <w:tcPr>
            <w:tcW w:w="4876" w:type="dxa"/>
          </w:tcPr>
          <w:p w:rsidR="00B66E7F" w:rsidRPr="00D219BC" w:rsidRDefault="001D653E" w:rsidP="00D5351E">
            <w:pPr>
              <w:pStyle w:val="Normal6"/>
              <w:rPr>
                <w:b/>
                <w:i/>
                <w:vertAlign w:val="superscript"/>
              </w:rPr>
            </w:pPr>
            <w:r w:rsidRPr="00D219BC">
              <w:rPr>
                <w:b/>
                <w:i/>
              </w:rPr>
              <w:t>1e Euroopa Parlamendi ja nõukogu 28. juuni 2018. aasta direktiiv (EL) 2018/957, millega muudetakse direktiivi 96/71/EÜ töötajate lähetamise kohta seoses teenuste osutamisega (ELT L 173, 9.7.2018, lk 16</w:t>
            </w:r>
            <w:r w:rsidRPr="00D219BC">
              <w:rPr>
                <w:b/>
                <w:i/>
              </w:rPr>
              <w:t>).</w:t>
            </w:r>
          </w:p>
        </w:tc>
      </w:tr>
      <w:tr w:rsidR="00447288" w:rsidRPr="00D219BC" w:rsidTr="00B66E7F">
        <w:trPr>
          <w:jc w:val="center"/>
        </w:trPr>
        <w:tc>
          <w:tcPr>
            <w:tcW w:w="4876" w:type="dxa"/>
          </w:tcPr>
          <w:p w:rsidR="00B66E7F" w:rsidRPr="00D219BC" w:rsidRDefault="00B66E7F" w:rsidP="00B66E7F">
            <w:pPr>
              <w:pStyle w:val="Normal6"/>
            </w:pPr>
          </w:p>
        </w:tc>
        <w:tc>
          <w:tcPr>
            <w:tcW w:w="4876" w:type="dxa"/>
          </w:tcPr>
          <w:p w:rsidR="00B66E7F" w:rsidRPr="00D219BC" w:rsidRDefault="001D653E" w:rsidP="00B66E7F">
            <w:pPr>
              <w:pStyle w:val="Normal6"/>
              <w:rPr>
                <w:b/>
                <w:i/>
                <w:vertAlign w:val="superscript"/>
              </w:rPr>
            </w:pPr>
            <w:r w:rsidRPr="00D219BC">
              <w:rPr>
                <w:b/>
                <w:i/>
              </w:rPr>
              <w:t>1f Euroopa Parlamendi ja nõukogu 20. juuni 2019. aasta direktiiv (EL) 2019/1152 läbipaistvate ja prognoositavate töötingimuste kohta Euroopa Liidus (ELT L 186, 11.7.2019, lk 105).</w:t>
            </w:r>
          </w:p>
        </w:tc>
      </w:tr>
      <w:tr w:rsidR="00447288" w:rsidRPr="00D219BC" w:rsidTr="00B66E7F">
        <w:trPr>
          <w:jc w:val="center"/>
        </w:trPr>
        <w:tc>
          <w:tcPr>
            <w:tcW w:w="4876" w:type="dxa"/>
          </w:tcPr>
          <w:p w:rsidR="00D5351E" w:rsidRPr="00D219BC" w:rsidRDefault="00D5351E" w:rsidP="00B66E7F">
            <w:pPr>
              <w:pStyle w:val="Normal6"/>
            </w:pPr>
          </w:p>
        </w:tc>
        <w:tc>
          <w:tcPr>
            <w:tcW w:w="4876" w:type="dxa"/>
          </w:tcPr>
          <w:p w:rsidR="00D5351E" w:rsidRPr="00D219BC" w:rsidRDefault="001D653E" w:rsidP="00B66E7F">
            <w:pPr>
              <w:pStyle w:val="Normal6"/>
              <w:rPr>
                <w:b/>
                <w:i/>
                <w:vertAlign w:val="superscript"/>
              </w:rPr>
            </w:pPr>
            <w:r w:rsidRPr="00D219BC">
              <w:rPr>
                <w:b/>
                <w:i/>
              </w:rPr>
              <w:t>1g</w:t>
            </w:r>
            <w:r w:rsidRPr="00D219BC">
              <w:rPr>
                <w:b/>
                <w:i/>
              </w:rPr>
              <w:t xml:space="preserve"> Euroopa Parlamendi ja nõukogu 20. juuni 2019. aasta direktiiv (EL) 2019/1158 töö- ja eraelu tasakaalu kohta (ELT L 188, 12.7.2019, lk 79).</w:t>
            </w:r>
          </w:p>
        </w:tc>
      </w:tr>
      <w:tr w:rsidR="00447288" w:rsidRPr="00D219BC" w:rsidTr="00B66E7F">
        <w:trPr>
          <w:jc w:val="center"/>
        </w:trPr>
        <w:tc>
          <w:tcPr>
            <w:tcW w:w="4876" w:type="dxa"/>
          </w:tcPr>
          <w:p w:rsidR="00D5351E" w:rsidRPr="00D219BC" w:rsidRDefault="00D5351E" w:rsidP="00B66E7F">
            <w:pPr>
              <w:pStyle w:val="Normal6"/>
            </w:pPr>
          </w:p>
        </w:tc>
        <w:tc>
          <w:tcPr>
            <w:tcW w:w="4876" w:type="dxa"/>
          </w:tcPr>
          <w:p w:rsidR="00D5351E" w:rsidRPr="00D219BC" w:rsidRDefault="001D653E" w:rsidP="00B66E7F">
            <w:pPr>
              <w:pStyle w:val="Normal6"/>
              <w:rPr>
                <w:b/>
                <w:i/>
                <w:vertAlign w:val="superscript"/>
              </w:rPr>
            </w:pPr>
            <w:r w:rsidRPr="00D219BC">
              <w:rPr>
                <w:b/>
                <w:i/>
              </w:rPr>
              <w:t>1c Euroopa Parlamendi ja nõukogu 19. oktoobri 2022. aasta direktiiv (EL) 2022/2041, mis käsitleb piisavat miinimum</w:t>
            </w:r>
            <w:r w:rsidRPr="00D219BC">
              <w:rPr>
                <w:b/>
                <w:i/>
              </w:rPr>
              <w:t xml:space="preserve">palka Euroopa Liidus </w:t>
            </w:r>
            <w:r w:rsidRPr="00D219BC">
              <w:rPr>
                <w:b/>
                <w:i/>
              </w:rPr>
              <w:lastRenderedPageBreak/>
              <w:t>(ELT L 275, 25.10.2022, lk 33).</w:t>
            </w:r>
          </w:p>
        </w:tc>
      </w:tr>
      <w:tr w:rsidR="00447288" w:rsidRPr="00D219BC" w:rsidTr="00B66E7F">
        <w:trPr>
          <w:jc w:val="center"/>
        </w:trPr>
        <w:tc>
          <w:tcPr>
            <w:tcW w:w="4876" w:type="dxa"/>
          </w:tcPr>
          <w:p w:rsidR="00D5351E" w:rsidRPr="00D219BC" w:rsidRDefault="00D5351E" w:rsidP="00B66E7F">
            <w:pPr>
              <w:pStyle w:val="Normal6"/>
            </w:pPr>
          </w:p>
        </w:tc>
        <w:tc>
          <w:tcPr>
            <w:tcW w:w="4876" w:type="dxa"/>
          </w:tcPr>
          <w:p w:rsidR="00D5351E" w:rsidRPr="00D219BC" w:rsidRDefault="001D653E" w:rsidP="00B66E7F">
            <w:pPr>
              <w:pStyle w:val="Normal6"/>
              <w:rPr>
                <w:b/>
                <w:i/>
                <w:vertAlign w:val="superscript"/>
              </w:rPr>
            </w:pPr>
            <w:r w:rsidRPr="00D219BC">
              <w:rPr>
                <w:b/>
                <w:i/>
              </w:rPr>
              <w:t>1i Nõukogu 15. detsembri 1997. aasta direktiiv 97/81/EÜ Euroopa Tööandjate Föderatsiooni, Euroopa Riigiosalusega Ettevõtete Keskuse ja Euroopa Ametiühingute Konföderatsiooni poolt sõlmitud osalist tööa</w:t>
            </w:r>
            <w:r w:rsidRPr="00D219BC">
              <w:rPr>
                <w:b/>
                <w:i/>
              </w:rPr>
              <w:t>ega käsitleva raamkokkuleppe kohta – Lisa: Osalist tööaega käsitlev raamkokkulepe (EÜT L 14, 20.1.1998, lk 9).</w:t>
            </w:r>
          </w:p>
        </w:tc>
      </w:tr>
      <w:tr w:rsidR="00447288" w:rsidRPr="00D219BC" w:rsidTr="00B66E7F">
        <w:trPr>
          <w:jc w:val="center"/>
        </w:trPr>
        <w:tc>
          <w:tcPr>
            <w:tcW w:w="4876" w:type="dxa"/>
          </w:tcPr>
          <w:p w:rsidR="00D5351E" w:rsidRPr="00D219BC" w:rsidRDefault="00D5351E" w:rsidP="00B66E7F">
            <w:pPr>
              <w:pStyle w:val="Normal6"/>
            </w:pPr>
          </w:p>
        </w:tc>
        <w:tc>
          <w:tcPr>
            <w:tcW w:w="4876" w:type="dxa"/>
          </w:tcPr>
          <w:p w:rsidR="00D5351E" w:rsidRPr="00D219BC" w:rsidRDefault="001D653E" w:rsidP="00B66E7F">
            <w:pPr>
              <w:pStyle w:val="Normal6"/>
              <w:rPr>
                <w:b/>
                <w:i/>
                <w:vertAlign w:val="superscript"/>
              </w:rPr>
            </w:pPr>
            <w:r w:rsidRPr="00D219BC">
              <w:rPr>
                <w:b/>
                <w:i/>
              </w:rPr>
              <w:t>1j Nõukogu 28. juuni 1999. aasta direktiiv 1999/70/EÜ, milles käsitletakse Euroopa Ametiühingute Konföderatsiooni (ETUC), Euroopa Tööandjate Fö</w:t>
            </w:r>
            <w:r w:rsidRPr="00D219BC">
              <w:rPr>
                <w:b/>
                <w:i/>
              </w:rPr>
              <w:t>deratsiooni (UNICE) ja Euroopa Riigiosalusega Ettevõtete Keskuse (CEEP) sõlmitud raamkokkulepet tähtajalise töö kohta (EÜT L 175, 10.7.1999, lk 43).</w:t>
            </w:r>
          </w:p>
        </w:tc>
      </w:tr>
      <w:tr w:rsidR="00447288" w:rsidRPr="00D219BC" w:rsidTr="00B66E7F">
        <w:trPr>
          <w:jc w:val="center"/>
        </w:trPr>
        <w:tc>
          <w:tcPr>
            <w:tcW w:w="4876" w:type="dxa"/>
          </w:tcPr>
          <w:p w:rsidR="00B66E7F" w:rsidRPr="00D219BC" w:rsidRDefault="00B66E7F" w:rsidP="00B66E7F">
            <w:pPr>
              <w:pStyle w:val="Normal6"/>
            </w:pPr>
          </w:p>
        </w:tc>
        <w:tc>
          <w:tcPr>
            <w:tcW w:w="4876" w:type="dxa"/>
          </w:tcPr>
          <w:p w:rsidR="00B66E7F" w:rsidRPr="00D219BC" w:rsidRDefault="001D653E" w:rsidP="00D5351E">
            <w:pPr>
              <w:pStyle w:val="Normal6"/>
              <w:rPr>
                <w:szCs w:val="24"/>
              </w:rPr>
            </w:pPr>
            <w:r w:rsidRPr="00D219BC">
              <w:rPr>
                <w:b/>
                <w:i/>
              </w:rPr>
              <w:t>1k Nõukogu 27. novembri 2000. aasta direktiiv 2000/78/EÜ, millega kehtestatakse üldine raamistik võrdseks</w:t>
            </w:r>
            <w:r w:rsidRPr="00D219BC">
              <w:rPr>
                <w:b/>
                <w:i/>
              </w:rPr>
              <w:t xml:space="preserve"> kohtlemiseks töö saamisel ja kutsealale pääsemisel (EÜT L 303, 2.12.2000, lk 16).</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8</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4 b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(4b)</w:t>
            </w:r>
            <w:r w:rsidRPr="00D219BC">
              <w:rPr>
                <w:b/>
                <w:i/>
              </w:rPr>
              <w:tab/>
              <w:t>Puuetega inimeste õiguste strateegia aastateks 2021–2030 eesmärk on tagada puuetega inimeste täielik ja teistega võrdsetel alustel osalemine ühiskonnas liidus ja mujal. Komisjon kohustub kõnealuse s</w:t>
            </w:r>
            <w:r w:rsidRPr="00D219BC">
              <w:rPr>
                <w:b/>
                <w:i/>
              </w:rPr>
              <w:t>trateegia raames tagama, et puuetega inimesed saavad osaleda praktikal ja omandada uusi oskusi, mis on tööhõive ja sõltumatuse põhitingimus.</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lastRenderedPageBreak/>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9</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 xml:space="preserve">Ettepanek võtta </w:t>
      </w:r>
      <w:r w:rsidRPr="00D219BC">
        <w:t>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4 c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(4c)</w:t>
            </w:r>
            <w:r w:rsidRPr="00D219BC">
              <w:rPr>
                <w:b/>
                <w:i/>
              </w:rPr>
              <w:tab/>
              <w:t xml:space="preserve">2022. aasta Euroopa tuleviku konverentsil esitati ettepanek, kuidas tagada, et noorte praktika- ja töökohad vastaksid kvaliteedistandarditele, </w:t>
            </w:r>
            <w:r w:rsidRPr="00D219BC">
              <w:rPr>
                <w:b/>
                <w:i/>
              </w:rPr>
              <w:t>sealhulgas töötasu osas, ning et tasustamata praktika tööturul ja väljaspool formaalharidussüsteemi oleks keelatud.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10</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5</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(5)</w:t>
            </w:r>
            <w:r w:rsidRPr="00D219BC">
              <w:tab/>
              <w:t xml:space="preserve">Praktika </w:t>
            </w:r>
            <w:r w:rsidRPr="00D219BC">
              <w:rPr>
                <w:b/>
                <w:i/>
              </w:rPr>
              <w:t>võib</w:t>
            </w:r>
            <w:r w:rsidRPr="00D219BC">
              <w:t xml:space="preserve"> aidata noortel omandada praktilisi ja erialaseid kogemusi, </w:t>
            </w:r>
            <w:r w:rsidRPr="00D219BC">
              <w:rPr>
                <w:b/>
                <w:i/>
              </w:rPr>
              <w:t xml:space="preserve">suurendada nende tööalast konkurentsivõimet ja </w:t>
            </w:r>
            <w:r w:rsidRPr="00D219BC">
              <w:t xml:space="preserve">hõlbustada üleminekut stabiilsele töökohale. Seega </w:t>
            </w:r>
            <w:r w:rsidRPr="00D219BC">
              <w:rPr>
                <w:b/>
                <w:i/>
              </w:rPr>
              <w:t>on</w:t>
            </w:r>
            <w:r w:rsidRPr="00D219BC">
              <w:t xml:space="preserve"> prakti</w:t>
            </w:r>
            <w:r w:rsidRPr="00D219BC">
              <w:t xml:space="preserve">ka oluline viis tööturule sisenemiseks. </w:t>
            </w:r>
            <w:r w:rsidRPr="00D219BC">
              <w:rPr>
                <w:b/>
                <w:i/>
              </w:rPr>
              <w:t>Praktika pakub tööandjatele võimalust noori tööle meelitada, neid koolitada ja sellel töökohal hoida. Praktikantidele pärast praktikat tavapärast töökohta pakkudes on neil võimalik vähendada kvalifitseeritud töötajat</w:t>
            </w:r>
            <w:r w:rsidRPr="00D219BC">
              <w:rPr>
                <w:b/>
                <w:i/>
              </w:rPr>
              <w:t>e otsimise ja värbamisega seotud kulusid. Seda eesmärki on siiski võimalik saavutada üksnes juhul, kui praktika on kvaliteetne ja praktikantidele tagatakse inimväärsed töötingimused.</w:t>
            </w:r>
          </w:p>
        </w:tc>
        <w:tc>
          <w:tcPr>
            <w:tcW w:w="4876" w:type="dxa"/>
          </w:tcPr>
          <w:p w:rsidR="000A359B" w:rsidRPr="00D219BC" w:rsidRDefault="001D653E" w:rsidP="00032824">
            <w:pPr>
              <w:pStyle w:val="Normal6"/>
              <w:rPr>
                <w:szCs w:val="24"/>
              </w:rPr>
            </w:pPr>
            <w:r w:rsidRPr="00D219BC">
              <w:t>(5)</w:t>
            </w:r>
            <w:r w:rsidRPr="00D219BC">
              <w:tab/>
              <w:t xml:space="preserve">Praktika </w:t>
            </w:r>
            <w:r w:rsidRPr="00D219BC">
              <w:rPr>
                <w:b/>
                <w:i/>
              </w:rPr>
              <w:t>eesmärk on</w:t>
            </w:r>
            <w:r w:rsidRPr="00D219BC">
              <w:t xml:space="preserve"> aidata noortel omandada praktilisi ja erialaseid kogemusi, hõlbustada üleminekut </w:t>
            </w:r>
            <w:r w:rsidRPr="00D219BC">
              <w:rPr>
                <w:b/>
                <w:i/>
              </w:rPr>
              <w:t>hariduse omandamiselt</w:t>
            </w:r>
            <w:r w:rsidRPr="00D219BC">
              <w:t xml:space="preserve"> stabiilsele töökohale</w:t>
            </w:r>
            <w:r w:rsidRPr="00D219BC">
              <w:rPr>
                <w:b/>
                <w:i/>
              </w:rPr>
              <w:t xml:space="preserve"> ja juurdepääsu kutsealale. Praktika eesmärk on ühendada lühiajaline algtaseme töö ja oluline koolituskogemus</w:t>
            </w:r>
            <w:r w:rsidRPr="00D219BC">
              <w:t xml:space="preserve">. Seega </w:t>
            </w:r>
            <w:r w:rsidRPr="00D219BC">
              <w:rPr>
                <w:b/>
                <w:i/>
              </w:rPr>
              <w:t>võib</w:t>
            </w:r>
            <w:r w:rsidRPr="00D219BC">
              <w:t xml:space="preserve"> praktika </w:t>
            </w:r>
            <w:r w:rsidRPr="00D219BC">
              <w:rPr>
                <w:b/>
                <w:i/>
              </w:rPr>
              <w:t>olla</w:t>
            </w:r>
            <w:r w:rsidRPr="00D219BC">
              <w:t xml:space="preserve"> oluline viis tööturule sisenemiseks.</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Muudatusettepanek</w:t>
      </w:r>
      <w:r w:rsidRPr="00D219BC">
        <w:tab/>
      </w:r>
      <w:r w:rsidRPr="00D219BC">
        <w:tab/>
      </w:r>
      <w:r w:rsidRPr="00D219BC">
        <w:rPr>
          <w:rStyle w:val="HideTWBExt"/>
          <w:b w:val="0"/>
        </w:rPr>
        <w:t>&lt;NumAm&gt;</w:t>
      </w:r>
      <w:r w:rsidRPr="00D219BC">
        <w:t>11</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5 a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(5a)</w:t>
            </w:r>
            <w:r w:rsidRPr="00D219BC">
              <w:rPr>
                <w:b/>
                <w:i/>
              </w:rPr>
              <w:tab/>
              <w:t xml:space="preserve">Praktika pakub tööandjatele võimalust noori tööle meelitada, neid koolitada ja sellel töökohal hoida. Praktikantidele pärast praktikat stabiilset töökohta pakkudes on neil võimalik vähendada kvalifitseeritud töötajate otsimise ja </w:t>
            </w:r>
            <w:r w:rsidRPr="00D219BC">
              <w:rPr>
                <w:b/>
                <w:i/>
              </w:rPr>
              <w:t>värbamisega seotud kulusid. Selle eesmärgi saavutamiseks on vaja praktikat reguleerida.</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12</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6</w:t>
      </w:r>
      <w:r w:rsidRPr="00D219BC">
        <w:rPr>
          <w:rStyle w:val="HideTWBExt"/>
          <w:b w:val="0"/>
        </w:rPr>
        <w:t>&lt;/Article</w:t>
      </w:r>
      <w:r w:rsidRPr="00D219BC">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(6)</w:t>
            </w:r>
            <w:r w:rsidRPr="00D219BC">
              <w:rPr>
                <w:b/>
                <w:i/>
              </w:rPr>
              <w:tab/>
              <w:t xml:space="preserve">Endiselt tekitab küsimusi praktika probleemne kasutamine, sealhulgas olukorras, kus tavapäraseid ametikohti esitatakse praktikana, nii et töötajad ei saa täiel määral osa liidu õigusest, siseriiklikust </w:t>
            </w:r>
            <w:r w:rsidRPr="00D219BC">
              <w:rPr>
                <w:b/>
                <w:i/>
              </w:rPr>
              <w:t>õigusest ja kollektiivlepingutest tulenevatest õigustest ning võivadki jääda töötama tingimustes, mis on ebakindlad. Praktikana esitatud tavapärased töösuhted moonutavad ettevõtjatevahelist konkurentsi, seavad nõudeid järgivad tööandjad ebasoodsasse olukor</w:t>
            </w:r>
            <w:r w:rsidRPr="00D219BC">
              <w:rPr>
                <w:b/>
                <w:i/>
              </w:rPr>
              <w:t>da, põhjustavad maksu- ja sotsiaalkindlustuskohustustest kõrvalehoidmist tööandjate hulgas ning tingivad alaliste ametikohtade asendamise praktikaga. Mõnikord ei pruugi tööandjad ka tegelike praktikantide puhul täita kõiki liidu õigusest, liikmesriigis keh</w:t>
            </w:r>
            <w:r w:rsidRPr="00D219BC">
              <w:rPr>
                <w:b/>
                <w:i/>
              </w:rPr>
              <w:t>tivast õigusest, kollektiivlepingust või tavast tulenevaid nõudeid, nii et praktikandid ei saa kasutada kõiki oma õigusi.</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13</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 xml:space="preserve">Ettepanek võtta vastu </w:t>
      </w:r>
      <w:r w:rsidRPr="00D219BC">
        <w:t>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7</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(7)</w:t>
            </w:r>
            <w:r w:rsidRPr="00D219BC">
              <w:tab/>
            </w:r>
            <w:r w:rsidRPr="00D219BC">
              <w:rPr>
                <w:b/>
                <w:i/>
              </w:rPr>
              <w:t>Lisaks on vähe tõenäoline, et praktikandid oma õiguste kaitseks välja astuvad, kuna nende olukord tööturul on ebasoodne.</w:t>
            </w:r>
            <w:r w:rsidRPr="00D219BC">
              <w:t xml:space="preserve"> Praktika </w:t>
            </w:r>
            <w:r w:rsidRPr="00D219BC">
              <w:rPr>
                <w:b/>
                <w:i/>
              </w:rPr>
              <w:t xml:space="preserve">probleemne kasutamine on </w:t>
            </w:r>
            <w:r w:rsidRPr="00D219BC">
              <w:rPr>
                <w:b/>
                <w:i/>
              </w:rPr>
              <w:t>eelkõige</w:t>
            </w:r>
            <w:r w:rsidRPr="00D219BC">
              <w:t xml:space="preserve"> tingitud sellest, et liikmesriikide õigusraamistikud on keerukad, üksteisest erinevad või puuduvad hoopis, siseriiklike õigusaktide täitmine ei ole piisavalt hästi tagatud, kontrolli- ja inspekteerimissuutlikkus on nõrk, samuti ei ole selge, missu</w:t>
            </w:r>
            <w:r w:rsidRPr="00D219BC">
              <w:t>gune asutus vastutab kontrolli ja täitmise tagamise eest.</w:t>
            </w:r>
          </w:p>
        </w:tc>
        <w:tc>
          <w:tcPr>
            <w:tcW w:w="4876" w:type="dxa"/>
          </w:tcPr>
          <w:p w:rsidR="000A359B" w:rsidRPr="00D219BC" w:rsidRDefault="001D653E" w:rsidP="00F14438">
            <w:pPr>
              <w:pStyle w:val="Normal6"/>
              <w:rPr>
                <w:szCs w:val="24"/>
              </w:rPr>
            </w:pPr>
            <w:r w:rsidRPr="00D219BC">
              <w:t>(7)</w:t>
            </w:r>
            <w:r w:rsidRPr="00D219BC">
              <w:tab/>
              <w:t xml:space="preserve">Praktika </w:t>
            </w:r>
            <w:r w:rsidRPr="00D219BC">
              <w:rPr>
                <w:b/>
                <w:i/>
              </w:rPr>
              <w:t>kuritahtliku kasutamise tavad võivad olla</w:t>
            </w:r>
            <w:r w:rsidRPr="00D219BC">
              <w:t xml:space="preserve"> tingitud sellest, et liikmesriikide õigusraamistikud on keerukad, üksteisest erinevad või puuduvad hoopis, siseriiklike õigusaktide täitmine ei</w:t>
            </w:r>
            <w:r w:rsidRPr="00D219BC">
              <w:t xml:space="preserve"> ole piisavalt hästi tagatud, kontrolli- ja inspekteerimissuutlikkus on nõrk, samuti ei ole selge, missugune asutus vastutab kontrolli ja täitmise tagamise eest.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14</w:t>
      </w:r>
      <w:r w:rsidRPr="00D219BC">
        <w:rPr>
          <w:rStyle w:val="HideTWBExt"/>
          <w:b w:val="0"/>
        </w:rPr>
        <w:t>&lt;/NumAm&gt;</w:t>
      </w:r>
    </w:p>
    <w:p w:rsidR="000A359B" w:rsidRPr="00D219BC" w:rsidRDefault="001D653E" w:rsidP="000A359B">
      <w:pPr>
        <w:pStyle w:val="NormalBold12b"/>
        <w:keepNext/>
      </w:pPr>
      <w:r w:rsidRPr="00D219BC">
        <w:rPr>
          <w:rStyle w:val="HideTWBExt"/>
          <w:b w:val="0"/>
        </w:rPr>
        <w:t>&lt;DocAmen</w:t>
      </w:r>
      <w:r w:rsidRPr="00D219BC">
        <w:rPr>
          <w:rStyle w:val="HideTWBExt"/>
          <w:b w:val="0"/>
        </w:rPr>
        <w:t>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7 a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(7a)</w:t>
            </w:r>
            <w:r w:rsidRPr="00D219BC">
              <w:rPr>
                <w:b/>
                <w:i/>
              </w:rPr>
              <w:tab/>
              <w:t xml:space="preserve">Praktika ähmane ja mitteametlik liigitamine tekitab uusi probleeme. Praktika võib olla praktika, mis on osa formaalse </w:t>
            </w:r>
            <w:r w:rsidRPr="00D219BC">
              <w:rPr>
                <w:b/>
                <w:i/>
              </w:rPr>
              <w:t>hariduse õppekavast; siseriikliku õigusega reguleeritud praktika, mille läbimine on kohustuslik mõne konkreetse kutsealaga tegelemiseks; avatud turu tingimustes toimuv praktika; ja aktiivse tööturupoliitika raames toimuv praktika. Mõned praktikaliigid on l</w:t>
            </w:r>
            <w:r w:rsidRPr="00D219BC">
              <w:rPr>
                <w:b/>
                <w:i/>
              </w:rPr>
              <w:t>iikmesriikides täielikult või osaliselt reguleeritud, teised aga mitte.</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lastRenderedPageBreak/>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15</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7 b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(7b)</w:t>
            </w:r>
            <w:r w:rsidRPr="00D219BC">
              <w:rPr>
                <w:b/>
                <w:i/>
              </w:rPr>
              <w:tab/>
              <w:t>Kui tavapärased töökohad, eeskätt tavaliselt praktikantidele pakutavad algtaseme ametikohad, asendatakse praktikaga, eelkõige korduva praktikaga, toob see õigusraamistiku puudumise tõttu kaasa sotsiaal-majandusl</w:t>
            </w:r>
            <w:r w:rsidRPr="00D219BC">
              <w:rPr>
                <w:b/>
                <w:i/>
              </w:rPr>
              <w:t>ikud kulud.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16</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7 c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(7c)</w:t>
            </w:r>
            <w:r w:rsidRPr="00D219BC">
              <w:rPr>
                <w:b/>
                <w:i/>
              </w:rPr>
              <w:tab/>
              <w:t xml:space="preserve">Tasustamata või </w:t>
            </w:r>
            <w:r w:rsidRPr="00D219BC">
              <w:rPr>
                <w:b/>
                <w:i/>
              </w:rPr>
              <w:t>halvasti tasustatud praktika tõttu jäävad eelkõige kõrvale need noored, kellel pole sellise praktika läbimiseks endal piisavalt rahalisi vahendeid. Tasustamata või halvasti tasustatud praktikaga diskrimineeritakse otseselt või kaudselt muu hulgas vanuse, s</w:t>
            </w:r>
            <w:r w:rsidRPr="00D219BC">
              <w:rPr>
                <w:b/>
                <w:i/>
              </w:rPr>
              <w:t>oo, rassi, nahavärvuse, etnilise ja sotsiaalse päritolu ning puude alusel. Tasustamata ja tasustatud praktika eristamise ja sellega kaasneva ebavõrdse kohtlemise tõttu diskrimineeritakse osasid praktikante.</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17</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7 d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(7d)</w:t>
            </w:r>
            <w:r w:rsidRPr="00D219BC">
              <w:rPr>
                <w:b/>
                <w:i/>
              </w:rPr>
              <w:tab/>
              <w:t xml:space="preserve">Euroopa Parlament on korduvalt hukka mõistnud tasustamata praktika kui noorte </w:t>
            </w:r>
            <w:r w:rsidRPr="00D219BC">
              <w:rPr>
                <w:b/>
                <w:i/>
              </w:rPr>
              <w:t>töötajate ärakasutamise vormi ja nende õiguste rikkumise ning nõudnud ühist õigusraamistikku, et tagada praktika eest õiglase tasu maksmine ekspluateerivate tavade vältimiseks</w:t>
            </w:r>
            <w:r w:rsidRPr="00D219BC">
              <w:rPr>
                <w:b/>
                <w:i/>
                <w:vertAlign w:val="superscript"/>
              </w:rPr>
              <w:t>1m</w:t>
            </w:r>
            <w:r w:rsidRPr="00D219BC">
              <w:rPr>
                <w:b/>
                <w:i/>
              </w:rPr>
              <w:t>.</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__________________</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vertAlign w:val="superscript"/>
              </w:rPr>
              <w:t>1m</w:t>
            </w:r>
            <w:r w:rsidRPr="00D219BC">
              <w:t xml:space="preserve"> </w:t>
            </w:r>
            <w:r w:rsidRPr="00D219BC">
              <w:rPr>
                <w:b/>
                <w:i/>
              </w:rPr>
              <w:t xml:space="preserve">Euroopa Parlamendi 17. veebruari 2022. aasta </w:t>
            </w:r>
            <w:r w:rsidRPr="00D219BC">
              <w:rPr>
                <w:b/>
                <w:i/>
              </w:rPr>
              <w:t>resolutsioon Euroopa noorte võimestamise kohta: pandeemiajärgne tööhõive ja sotsiaalne taaste (ELT C 342, 6.9.2022, lk 265); Euroopa Parlamendi 14. juuni 2023. aasta resolutsioon soovitustega komisjonile kvaliteetse praktika kohta liidus (2020/2005(INL)).</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18</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8</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(8)</w:t>
            </w:r>
            <w:r w:rsidRPr="00D219BC">
              <w:rPr>
                <w:b/>
                <w:i/>
              </w:rPr>
              <w:tab/>
              <w:t xml:space="preserve">Tõenditest selgub, et märkimisväärne osa </w:t>
            </w:r>
            <w:r w:rsidRPr="00D219BC">
              <w:rPr>
                <w:b/>
                <w:i/>
              </w:rPr>
              <w:t>praktikantidest töötab tingimustes, mis on tavapärases töösuhtes olevate töötajatega võrreldes ebasoodsamad, sealhulgas tööaja, puhkuseõiguste, töövahenditele juurdepääsu ja töötasu osas.</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19</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9</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(9)</w:t>
            </w:r>
            <w:r w:rsidRPr="00D219BC">
              <w:rPr>
                <w:b/>
                <w:i/>
              </w:rPr>
              <w:tab/>
            </w:r>
            <w:r w:rsidRPr="00D219BC">
              <w:rPr>
                <w:b/>
                <w:bCs/>
              </w:rPr>
              <w:t>Liidu tasandil on töötajate kaitseks loodud kehtivatest õigusaktidest koosnev raamistik, s</w:t>
            </w:r>
            <w:r w:rsidRPr="00D219BC">
              <w:rPr>
                <w:b/>
                <w:bCs/>
              </w:rPr>
              <w:t>ealhulgas direktiivid, milles käsitletakse läbipaistvaid ja prognoositavaid töötingimusi,</w:t>
            </w:r>
            <w:r w:rsidRPr="00D219BC">
              <w:rPr>
                <w:b/>
                <w:bCs/>
                <w:vertAlign w:val="superscript"/>
              </w:rPr>
              <w:t>5</w:t>
            </w:r>
            <w:r w:rsidRPr="00D219BC">
              <w:rPr>
                <w:b/>
                <w:bCs/>
              </w:rPr>
              <w:t xml:space="preserve"> piisavat miinimumpalka,</w:t>
            </w:r>
            <w:r w:rsidRPr="00D219BC">
              <w:rPr>
                <w:b/>
                <w:bCs/>
                <w:vertAlign w:val="superscript"/>
              </w:rPr>
              <w:t>6</w:t>
            </w:r>
            <w:r w:rsidRPr="00D219BC">
              <w:rPr>
                <w:b/>
                <w:bCs/>
              </w:rPr>
              <w:t xml:space="preserve"> tööaja korraldust,</w:t>
            </w:r>
            <w:r w:rsidRPr="00D219BC">
              <w:rPr>
                <w:b/>
                <w:bCs/>
                <w:vertAlign w:val="superscript"/>
              </w:rPr>
              <w:t>7</w:t>
            </w:r>
            <w:r w:rsidRPr="00D219BC">
              <w:rPr>
                <w:b/>
                <w:bCs/>
              </w:rPr>
              <w:t xml:space="preserve"> töötervishoidu ja tööohutust,</w:t>
            </w:r>
            <w:r w:rsidRPr="00D219BC">
              <w:rPr>
                <w:b/>
                <w:bCs/>
                <w:vertAlign w:val="superscript"/>
              </w:rPr>
              <w:t>8</w:t>
            </w:r>
            <w:r w:rsidRPr="00D219BC">
              <w:rPr>
                <w:b/>
                <w:bCs/>
              </w:rPr>
              <w:t xml:space="preserve"> võrdset kohtlemist ja mittediskrimineerimist,</w:t>
            </w:r>
            <w:r w:rsidRPr="00D219BC">
              <w:rPr>
                <w:b/>
                <w:bCs/>
                <w:vertAlign w:val="superscript"/>
              </w:rPr>
              <w:t>9</w:t>
            </w:r>
            <w:r w:rsidRPr="00D219BC">
              <w:rPr>
                <w:b/>
                <w:bCs/>
              </w:rPr>
              <w:t xml:space="preserve"> lapsevanemate ja hooldajate töö- ja eraelu</w:t>
            </w:r>
            <w:r w:rsidRPr="00D219BC">
              <w:rPr>
                <w:b/>
                <w:bCs/>
              </w:rPr>
              <w:t xml:space="preserve"> tasakaalu,</w:t>
            </w:r>
            <w:r w:rsidRPr="00D219BC">
              <w:rPr>
                <w:b/>
                <w:bCs/>
                <w:vertAlign w:val="superscript"/>
              </w:rPr>
              <w:t>10</w:t>
            </w:r>
            <w:r w:rsidRPr="00D219BC">
              <w:rPr>
                <w:b/>
                <w:bCs/>
              </w:rPr>
              <w:t xml:space="preserve"> töötajate teavitamist ja nendega konsulteerimist,</w:t>
            </w:r>
            <w:r w:rsidRPr="00D219BC">
              <w:rPr>
                <w:b/>
                <w:bCs/>
                <w:vertAlign w:val="superscript"/>
              </w:rPr>
              <w:t>11</w:t>
            </w:r>
            <w:r w:rsidRPr="00D219BC">
              <w:rPr>
                <w:b/>
                <w:bCs/>
              </w:rPr>
              <w:t xml:space="preserve"> tähtajalist tööd,</w:t>
            </w:r>
            <w:r w:rsidRPr="00D219BC">
              <w:rPr>
                <w:b/>
                <w:bCs/>
                <w:vertAlign w:val="superscript"/>
              </w:rPr>
              <w:t>12</w:t>
            </w:r>
            <w:r w:rsidRPr="00D219BC">
              <w:rPr>
                <w:b/>
                <w:bCs/>
              </w:rPr>
              <w:t xml:space="preserve"> osaajatööd,</w:t>
            </w:r>
            <w:r w:rsidRPr="00D219BC">
              <w:rPr>
                <w:b/>
                <w:bCs/>
                <w:vertAlign w:val="superscript"/>
              </w:rPr>
              <w:t>13</w:t>
            </w:r>
            <w:r w:rsidRPr="00D219BC">
              <w:rPr>
                <w:b/>
                <w:bCs/>
              </w:rPr>
              <w:t xml:space="preserve"> töötajate lähetamist</w:t>
            </w:r>
            <w:r w:rsidRPr="00D219BC">
              <w:rPr>
                <w:b/>
                <w:bCs/>
                <w:vertAlign w:val="superscript"/>
              </w:rPr>
              <w:t>14</w:t>
            </w:r>
            <w:r w:rsidRPr="00D219BC">
              <w:rPr>
                <w:b/>
                <w:bCs/>
              </w:rPr>
              <w:t xml:space="preserve"> ning renditööd</w:t>
            </w:r>
            <w:r w:rsidRPr="00D219BC">
              <w:rPr>
                <w:b/>
                <w:bCs/>
                <w:vertAlign w:val="superscript"/>
              </w:rPr>
              <w:t>15</w:t>
            </w:r>
            <w:r w:rsidRPr="00D219BC">
              <w:rPr>
                <w:b/>
                <w:bCs/>
              </w:rPr>
              <w:t>.</w:t>
            </w:r>
            <w:r w:rsidRPr="00D219BC">
              <w:rPr>
                <w:b/>
                <w:i/>
              </w:rPr>
              <w:t xml:space="preserve"> Seda õigusraamistikku kohaldatakse täies mahus kõikide liidus tegutsevate praktikantide suhtes, kellel on liikmesri</w:t>
            </w:r>
            <w:r w:rsidRPr="00D219BC">
              <w:rPr>
                <w:b/>
                <w:i/>
              </w:rPr>
              <w:t xml:space="preserve">igis kehtiva õiguse, kollektiivlepingu või tava kohaselt määratletud tööleping või -suhe, võttes arvesse Euroopa Kohtu praktikat. </w:t>
            </w:r>
            <w:r w:rsidRPr="00D219BC">
              <w:t>Liidu õigusraamistik hõlmab ka soovitusi, milles käsitletakse praktika kvaliteeti,</w:t>
            </w:r>
            <w:r w:rsidRPr="00D219BC">
              <w:rPr>
                <w:vertAlign w:val="superscript"/>
              </w:rPr>
              <w:t>16</w:t>
            </w:r>
            <w:r w:rsidRPr="00D219BC">
              <w:t xml:space="preserve"> õpipoisiõppe kvaliteeti</w:t>
            </w:r>
            <w:r w:rsidRPr="00D219BC">
              <w:rPr>
                <w:vertAlign w:val="superscript"/>
              </w:rPr>
              <w:t>17</w:t>
            </w:r>
            <w:r w:rsidRPr="00D219BC">
              <w:t xml:space="preserve"> ning töötajate </w:t>
            </w:r>
            <w:r w:rsidRPr="00D219BC">
              <w:t>ja füüsilisest isikust ettevõtjate juurdepääsu sotsiaalkaitsele</w:t>
            </w:r>
            <w:r w:rsidRPr="00D219BC">
              <w:rPr>
                <w:vertAlign w:val="superscript"/>
              </w:rPr>
              <w:t>18</w:t>
            </w:r>
            <w:r w:rsidRPr="00D219BC">
              <w:t>.</w:t>
            </w:r>
          </w:p>
        </w:tc>
        <w:tc>
          <w:tcPr>
            <w:tcW w:w="4876" w:type="dxa"/>
          </w:tcPr>
          <w:p w:rsidR="000A359B" w:rsidRPr="00D219BC" w:rsidRDefault="001D653E" w:rsidP="00F14438">
            <w:pPr>
              <w:pStyle w:val="Normal6"/>
              <w:rPr>
                <w:szCs w:val="24"/>
              </w:rPr>
            </w:pPr>
            <w:r w:rsidRPr="00D219BC">
              <w:rPr>
                <w:b/>
                <w:i/>
              </w:rPr>
              <w:t>välja jäetud</w:t>
            </w:r>
          </w:p>
        </w:tc>
      </w:tr>
      <w:tr w:rsidR="00447288" w:rsidRPr="00D219BC" w:rsidTr="00F14438">
        <w:trPr>
          <w:jc w:val="center"/>
        </w:trPr>
        <w:tc>
          <w:tcPr>
            <w:tcW w:w="4876" w:type="dxa"/>
          </w:tcPr>
          <w:p w:rsidR="000A359B" w:rsidRPr="00D219BC" w:rsidRDefault="001D653E" w:rsidP="00F14438">
            <w:pPr>
              <w:pStyle w:val="Normal6"/>
            </w:pPr>
            <w:r w:rsidRPr="00D219BC">
              <w:rPr>
                <w:b/>
                <w:i/>
              </w:rPr>
              <w:t>__________________</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5</w:t>
            </w:r>
            <w:r w:rsidRPr="00D219BC">
              <w:t xml:space="preserve"> Euroopa Parlamendi ja nõukogu 20. juuni 2019. aasta direktiiv (EL) 2019/1152 läbipaistvate ja prognoositavate töötingimuste kohta Euroopa Liidus (ELT L 186, 11.7.2019, lk 105).</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6</w:t>
            </w:r>
            <w:r w:rsidRPr="00D219BC">
              <w:t xml:space="preserve"> Euroopa Parlamendi ja nõukogu 19. oktoobri 2022. aasta direktiiv (EL) 2022</w:t>
            </w:r>
            <w:r w:rsidRPr="00D219BC">
              <w:t>/2041, mis käsitleb piisavat miinimumpalka Euroopa Liidus (ELT L 275, 25.10.2022, lk 33).</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7</w:t>
            </w:r>
            <w:r w:rsidRPr="00D219BC">
              <w:t xml:space="preserve"> Euroopa Parlamendi ja nõukogu 4. novembri 2003. aasta direktiiv 2003/88/EÜ tööaja korralduse teatavate aspektide kohta (EÜT L 299, 18.11.2003, lk 9).</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8</w:t>
            </w:r>
            <w:r w:rsidRPr="00D219BC">
              <w:t xml:space="preserve"> Nõukogu </w:t>
            </w:r>
            <w:r w:rsidRPr="00D219BC">
              <w:t xml:space="preserve">12. juuni 1989. aasta direktiiv 89/391/EMÜ töötajate töötervishoiu ja tööohutuse parandamist soodustavate meetmete kehtestamise kohta (EÜT L 183, </w:t>
            </w:r>
            <w:r w:rsidRPr="00D219BC">
              <w:lastRenderedPageBreak/>
              <w:t>29.6.1989, lk 1).</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9</w:t>
            </w:r>
            <w:r w:rsidRPr="00D219BC">
              <w:t xml:space="preserve"> Muu hulgas nõukogu 27. novembri 2000. aasta direktiiv 2000/78/EÜ, millega kehtestatakse </w:t>
            </w:r>
            <w:r w:rsidRPr="00D219BC">
              <w:t>üldine raamistik võrdseks kohtlemiseks töö saamisel ja kutsealale pääsemisel (EÜT L 303, 2.12.2000, lk 16).</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10</w:t>
            </w:r>
            <w:r w:rsidRPr="00D219BC">
              <w:t xml:space="preserve"> Euroopa Parlamendi ja nõukogu 20. juuni 2019. aasta direktiiv (EL) 2019/1158 töö- ja eraelu tasakaalu kohta (ELT L 188, 12.7.2019, lk 79).</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11</w:t>
            </w:r>
            <w:r w:rsidRPr="00D219BC">
              <w:t xml:space="preserve"> Euroopa Parlamendi ja nõukogu 11. märtsi 2002. aasta direktiiv 2002/14/EÜ, millega kehtestatakse töötajate teavitamise ja nõustamise üldraamistik Euroopa Ühenduses – Euroopa Parlamendi, nõukogu ja komisjoni ühisdeklaratsioon töötajate esindamise kohta (EÜ</w:t>
            </w:r>
            <w:r w:rsidRPr="00D219BC">
              <w:t>T L 80, 23.3.2002, lk 29).</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12</w:t>
            </w:r>
            <w:r w:rsidRPr="00D219BC">
              <w:t xml:space="preserve"> Nõukogu 28. juuni 1999. aasta direktiiv 1999/70/EÜ, milles käsitletakse Euroopa Ametiühingute Konföderatsiooni (ETUC), Euroopa Tööandjate Föderatsiooni (UNICE) ja Euroopa Riigiosalusega Ettevõtete Keskuse (CEEP) sõlmitud raa</w:t>
            </w:r>
            <w:r w:rsidRPr="00D219BC">
              <w:t>mkokkulepet tähtajalise töö kohta (EÜT L 175, 10.7.1999, lk 43).</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13</w:t>
            </w:r>
            <w:r w:rsidRPr="00D219BC">
              <w:t xml:space="preserve"> Nõukogu 15. detsembri 1997. aasta direktiiv 97/81/EÜ Euroopa Tööandjate Föderatsiooni, Euroopa Riigiosalusega Ettevõtete Keskuse ja Euroopa Ametiühingute Konföderatsiooni poolt sõlmitud </w:t>
            </w:r>
            <w:r w:rsidRPr="00D219BC">
              <w:t>osalist tööaega käsitleva raamkokkuleppe kohta – Lisa:</w:t>
            </w:r>
            <w:r w:rsidRPr="00D219BC">
              <w:rPr>
                <w:b/>
                <w:i/>
              </w:rPr>
              <w:t xml:space="preserve"> Osalist tööaega käsitlev raamkokkulepe (EÜT L 14, 20.1.1998, lk 9).</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14</w:t>
            </w:r>
            <w:r w:rsidRPr="00D219BC">
              <w:t xml:space="preserve"> Euroopa Parlamendi ja nõukogu 28. juuni 2018. aasta direktiiv (EL) 2018/957, millega muudetakse direktiivi 96/71/EÜ töötajate lä</w:t>
            </w:r>
            <w:r w:rsidRPr="00D219BC">
              <w:t>hetamise kohta seoses teenuste osutamisega (ELT L 173, 9.7.2018, lk 16).</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15</w:t>
            </w:r>
            <w:r w:rsidRPr="00D219BC">
              <w:t xml:space="preserve"> Euroopa Parlamendi ja nõukogu 19. novembri 2008. aasta direktiiv 2008/104/EÜ renditöö kohta (ELT L 327, 5.12.2008, lk 9).</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lastRenderedPageBreak/>
              <w:t>16</w:t>
            </w:r>
            <w:r w:rsidRPr="00D219BC">
              <w:t xml:space="preserve"> Nõukogu 10. märtsi 2014. aasta soovitus praktika kv</w:t>
            </w:r>
            <w:r w:rsidRPr="00D219BC">
              <w:t>aliteediraamistiku kohta (ELT C 88, 27.3.2014, lk 1).</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17</w:t>
            </w:r>
            <w:r w:rsidRPr="00D219BC">
              <w:t xml:space="preserve"> Nõukogu 15. märtsi 2018. aasta soovitus kvaliteetse ja tõhusa õpipoisiõppe Euroopa raamistiku kohta (ELT C 153, 2.5.2018, lk 1).</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18</w:t>
            </w:r>
            <w:r w:rsidRPr="00D219BC">
              <w:t xml:space="preserve"> Nõukogu 8. novembri 2019. aasta soovitus, milles käsitletakse t</w:t>
            </w:r>
            <w:r w:rsidRPr="00D219BC">
              <w:t>öötajate ja füüsilisest isikust ettevõtjate juurdepääsu sotsiaalkaitsele (ELT C 387, 15.11.2019, lk 1).</w:t>
            </w:r>
          </w:p>
        </w:tc>
        <w:tc>
          <w:tcPr>
            <w:tcW w:w="4876" w:type="dxa"/>
          </w:tcPr>
          <w:p w:rsidR="000A359B" w:rsidRPr="00D219BC" w:rsidRDefault="000A359B" w:rsidP="00F14438">
            <w:pPr>
              <w:pStyle w:val="Normal6"/>
              <w:rPr>
                <w:szCs w:val="24"/>
              </w:rPr>
            </w:pP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20</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10</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(10)</w:t>
            </w:r>
            <w:r w:rsidRPr="00D219BC">
              <w:rPr>
                <w:b/>
                <w:i/>
              </w:rPr>
              <w:tab/>
            </w:r>
            <w:r w:rsidRPr="00D219BC">
              <w:t>Euroopa tuleviku konverentsil esitati ettepanek, kuidas tagada, et noorte praktika- ja töökohad vastaksid kvaliteedistandarditele, sealhulgas töötasu osas, ning et tasustamata praktika tö</w:t>
            </w:r>
            <w:r w:rsidRPr="00D219BC">
              <w:t>öturul ja väljaspool formaalharidussüsteemi oleks keelatud.</w:t>
            </w:r>
          </w:p>
        </w:tc>
        <w:tc>
          <w:tcPr>
            <w:tcW w:w="4876" w:type="dxa"/>
          </w:tcPr>
          <w:p w:rsidR="000A359B" w:rsidRPr="00D219BC" w:rsidRDefault="001D653E" w:rsidP="00F14438">
            <w:pPr>
              <w:pStyle w:val="Normal6"/>
              <w:rPr>
                <w:szCs w:val="24"/>
              </w:rPr>
            </w:pPr>
            <w:r w:rsidRPr="00D219BC">
              <w:rPr>
                <w:b/>
                <w:i/>
              </w:rPr>
              <w:t>välja jäetud</w:t>
            </w:r>
          </w:p>
        </w:tc>
      </w:tr>
      <w:tr w:rsidR="00447288" w:rsidRPr="00D219BC" w:rsidTr="00F14438">
        <w:trPr>
          <w:jc w:val="center"/>
        </w:trPr>
        <w:tc>
          <w:tcPr>
            <w:tcW w:w="4876" w:type="dxa"/>
          </w:tcPr>
          <w:p w:rsidR="000A359B" w:rsidRPr="00D219BC" w:rsidRDefault="001D653E" w:rsidP="00F14438">
            <w:pPr>
              <w:pStyle w:val="Normal6"/>
            </w:pPr>
            <w:r w:rsidRPr="00D219BC">
              <w:rPr>
                <w:b/>
                <w:i/>
              </w:rPr>
              <w:t>__________________</w:t>
            </w:r>
          </w:p>
        </w:tc>
        <w:tc>
          <w:tcPr>
            <w:tcW w:w="4876" w:type="dxa"/>
          </w:tcPr>
          <w:p w:rsidR="000A359B" w:rsidRPr="00D219BC" w:rsidRDefault="000A359B" w:rsidP="00F14438">
            <w:pPr>
              <w:pStyle w:val="Normal6"/>
              <w:rPr>
                <w:szCs w:val="24"/>
              </w:rPr>
            </w:pP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19</w:t>
            </w:r>
            <w:r w:rsidRPr="00D219BC">
              <w:t xml:space="preserve"> Lõpptulemust käsitlev aruanne – mai 2022).</w:t>
            </w:r>
          </w:p>
        </w:tc>
        <w:tc>
          <w:tcPr>
            <w:tcW w:w="4876" w:type="dxa"/>
          </w:tcPr>
          <w:p w:rsidR="000A359B" w:rsidRPr="00D219BC" w:rsidRDefault="000A359B" w:rsidP="00F14438">
            <w:pPr>
              <w:pStyle w:val="Normal6"/>
              <w:rPr>
                <w:szCs w:val="24"/>
              </w:rPr>
            </w:pP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21</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 xml:space="preserve">Ettepanek võtta </w:t>
      </w:r>
      <w:r w:rsidRPr="00D219BC">
        <w:t>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11</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(11)</w:t>
            </w:r>
            <w:r w:rsidRPr="00D219BC">
              <w:tab/>
              <w:t xml:space="preserve">Euroopa Parlament võttis 2023. aasta juunis ELi toimimise lepingu artikli </w:t>
            </w:r>
            <w:r w:rsidRPr="00D219BC">
              <w:lastRenderedPageBreak/>
              <w:t xml:space="preserve">225 alusel vastu resolutsiooni, milles komisjonile esitati soovitused </w:t>
            </w:r>
            <w:r w:rsidRPr="00D219BC">
              <w:t>kvaliteetse praktika kohta</w:t>
            </w:r>
            <w:r w:rsidRPr="00D219BC">
              <w:rPr>
                <w:b/>
                <w:i/>
                <w:vertAlign w:val="superscript"/>
              </w:rPr>
              <w:t>20</w:t>
            </w:r>
            <w:r w:rsidRPr="00D219BC">
              <w:t xml:space="preserve">. Parlament kutsus oma resolutsioonis komisjoni üles ajakohastama ja tugevdama 2014. aasta soovitust ning muutma selle tugevamaks õigusaktiks. </w:t>
            </w:r>
            <w:r w:rsidRPr="00D219BC">
              <w:rPr>
                <w:b/>
                <w:i/>
              </w:rPr>
              <w:t>Lisaks kutsus parlament komisjoni üles lisama praktika ajakohastatud kvaliteediraamis</w:t>
            </w:r>
            <w:r w:rsidRPr="00D219BC">
              <w:rPr>
                <w:b/>
                <w:i/>
              </w:rPr>
              <w:t>tikku uusi põhimõtteid. Eelkõige nõudis Euroopa Parlament, et komisjon esitaks ettepaneku võtta vastu direktiiv, milles käsitletakse avatud turu tingimustes toimuvat praktikat, aktiivse tööturupoliitika raames toimuvat praktikat ja kutsealase koolituse koh</w:t>
            </w:r>
            <w:r w:rsidRPr="00D219BC">
              <w:rPr>
                <w:b/>
                <w:i/>
              </w:rPr>
              <w:t>ustusliku osana toimuvat praktikat, et tagada minimaalsed kvaliteedistandardid, sealhulgas eeskirjad praktika kestuse kohta, juurdepääs sotsiaalkaitsele kooskõlas siseriikliku õiguse ja tavaga ning inimväärsele elatustasemele vastav töötasu, et vältida eks</w:t>
            </w:r>
            <w:r w:rsidRPr="00D219BC">
              <w:rPr>
                <w:b/>
                <w:i/>
              </w:rPr>
              <w:t>pluateerivaid tavasid.</w:t>
            </w:r>
          </w:p>
        </w:tc>
        <w:tc>
          <w:tcPr>
            <w:tcW w:w="4876" w:type="dxa"/>
          </w:tcPr>
          <w:p w:rsidR="000A359B" w:rsidRPr="00D219BC" w:rsidRDefault="001D653E" w:rsidP="00B16594">
            <w:pPr>
              <w:pStyle w:val="Normal6"/>
              <w:rPr>
                <w:szCs w:val="24"/>
              </w:rPr>
            </w:pPr>
            <w:r w:rsidRPr="00D219BC">
              <w:lastRenderedPageBreak/>
              <w:t>(11)</w:t>
            </w:r>
            <w:r w:rsidRPr="00D219BC">
              <w:tab/>
              <w:t xml:space="preserve">Euroopa Parlament võttis 2023. aasta juunis ELi toimimise lepingu </w:t>
            </w:r>
            <w:r w:rsidRPr="00D219BC">
              <w:lastRenderedPageBreak/>
              <w:t>artikli 225 alusel vastu resolutsiooni, milles komisjonile esitati soovitused kvaliteetse praktika kohta</w:t>
            </w:r>
            <w:r w:rsidRPr="00D219BC">
              <w:rPr>
                <w:b/>
                <w:i/>
                <w:vertAlign w:val="superscript"/>
              </w:rPr>
              <w:t>20</w:t>
            </w:r>
            <w:r w:rsidRPr="00D219BC">
              <w:t>. Parlament kutsus oma resolutsioonis komisjoni üles aja</w:t>
            </w:r>
            <w:r w:rsidRPr="00D219BC">
              <w:t>kohastama ja tugevdama 2014. aasta soovitust ning muutma selle tugevamaks õigusaktiks.</w:t>
            </w:r>
          </w:p>
        </w:tc>
      </w:tr>
      <w:tr w:rsidR="00447288" w:rsidRPr="00D219BC" w:rsidTr="00F14438">
        <w:trPr>
          <w:jc w:val="center"/>
        </w:trPr>
        <w:tc>
          <w:tcPr>
            <w:tcW w:w="4876" w:type="dxa"/>
          </w:tcPr>
          <w:p w:rsidR="000A359B" w:rsidRPr="00D219BC" w:rsidRDefault="001D653E" w:rsidP="00F14438">
            <w:pPr>
              <w:pStyle w:val="Normal6"/>
            </w:pPr>
            <w:r w:rsidRPr="00D219BC">
              <w:lastRenderedPageBreak/>
              <w:t>__________________</w:t>
            </w:r>
          </w:p>
        </w:tc>
        <w:tc>
          <w:tcPr>
            <w:tcW w:w="4876" w:type="dxa"/>
          </w:tcPr>
          <w:p w:rsidR="000A359B" w:rsidRPr="00D219BC" w:rsidRDefault="001D653E" w:rsidP="00F14438">
            <w:pPr>
              <w:pStyle w:val="Normal6"/>
              <w:rPr>
                <w:szCs w:val="24"/>
              </w:rPr>
            </w:pPr>
            <w:r w:rsidRPr="00D219BC">
              <w:t>__________________</w:t>
            </w: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20</w:t>
            </w:r>
            <w:r w:rsidRPr="00D219BC">
              <w:t xml:space="preserve"> Euroopa Parlamendi 14. juuni 2023. aasta resolutsioon soovitustega komisjonile kvaliteetse praktika kohta liidus (2020/2005(IN</w:t>
            </w:r>
            <w:r w:rsidRPr="00D219BC">
              <w:t>L)).</w:t>
            </w:r>
          </w:p>
        </w:tc>
        <w:tc>
          <w:tcPr>
            <w:tcW w:w="4876" w:type="dxa"/>
          </w:tcPr>
          <w:p w:rsidR="000A359B" w:rsidRPr="00D219BC" w:rsidRDefault="001D653E" w:rsidP="00F14438">
            <w:pPr>
              <w:pStyle w:val="Normal6"/>
              <w:rPr>
                <w:szCs w:val="24"/>
              </w:rPr>
            </w:pPr>
            <w:r w:rsidRPr="00D219BC">
              <w:rPr>
                <w:vertAlign w:val="superscript"/>
              </w:rPr>
              <w:t>20</w:t>
            </w:r>
            <w:r w:rsidRPr="00D219BC">
              <w:t xml:space="preserve"> Euroopa Parlamendi 14. juuni 2023. aasta resolutsioon soovitustega komisjonile kvaliteetse praktika kohta liidus (2020/2005(INL)).</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22</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w:t>
      </w:r>
      <w:r w:rsidRPr="00D219BC">
        <w:t xml:space="preserve">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14 a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(14a)</w:t>
            </w:r>
            <w:r w:rsidRPr="00D219BC">
              <w:rPr>
                <w:b/>
                <w:i/>
              </w:rPr>
              <w:tab/>
              <w:t>Euroopa Kohus on oma praktikas kehtestanud töötaja staatuse kindlaksmääramise kriteeriumid. Käesoleva direktiivi rakendamisel tuleks võtta arvesse</w:t>
            </w:r>
            <w:r w:rsidRPr="00D219BC">
              <w:rPr>
                <w:b/>
                <w:i/>
              </w:rPr>
              <w:t xml:space="preserve"> kõnealuste kriteeriumide tõlgendamist Euroopa Kohtu poolt</w:t>
            </w:r>
            <w:r w:rsidRPr="00D219BC">
              <w:rPr>
                <w:b/>
                <w:i/>
                <w:vertAlign w:val="superscript"/>
              </w:rPr>
              <w:t>1n</w:t>
            </w:r>
            <w:r w:rsidRPr="00D219BC">
              <w:rPr>
                <w:b/>
                <w:i/>
              </w:rPr>
              <w:t>.</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__________________</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vertAlign w:val="superscript"/>
              </w:rPr>
              <w:t>1n</w:t>
            </w:r>
            <w:r w:rsidRPr="00D219BC">
              <w:t xml:space="preserve"> </w:t>
            </w:r>
            <w:r w:rsidRPr="00D219BC">
              <w:rPr>
                <w:b/>
                <w:i/>
              </w:rPr>
              <w:t xml:space="preserve">Euroopa Kohtu otsused: 3. juuli 1986, </w:t>
            </w:r>
            <w:r w:rsidRPr="00D219BC">
              <w:rPr>
                <w:b/>
                <w:i/>
              </w:rPr>
              <w:lastRenderedPageBreak/>
              <w:t xml:space="preserve">Deborah Lawrie-Blum vs. Land Baden-Württemberg, C-66/85, ECLI:EU:C:1986:284; 14. oktoober 2010, Union Syndicale Solidaires Isère </w:t>
            </w:r>
            <w:r w:rsidRPr="00D219BC">
              <w:rPr>
                <w:b/>
                <w:i/>
              </w:rPr>
              <w:t>vs. Premier ministre jt, C-428/09, ECLI:EU:C:2010:612; 9. juuli 2015, Ender Balkandya vs. Kiesel Abbruch- und Recycling Technik GmbH, C-229/14, ECLI:EU:C:2015:455; 4. detsember 2014, FNV Kunsten Informatie en Media vs. Staat der Nederlanden, C-413/13, ECLI</w:t>
            </w:r>
            <w:r w:rsidRPr="00D219BC">
              <w:rPr>
                <w:b/>
                <w:i/>
              </w:rPr>
              <w:t>:EU:C:2014:2411; ning 17. november 2016, Betriebsrat der Ruhrlandklinik gGmbH vs. Ruhrlandklinik gGmbH, C-216/15, ECLI:EU:C:2016:883.</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23</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w:t>
      </w:r>
      <w:r w:rsidRPr="00D219BC">
        <w:t>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14 b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(14b)</w:t>
            </w:r>
            <w:r w:rsidRPr="00D219BC">
              <w:rPr>
                <w:b/>
                <w:i/>
              </w:rPr>
              <w:tab/>
              <w:t xml:space="preserve">Juhendamine, isikliku teenuse osutamine ning tegelik ja tulemuslik töö, välja arvatud niivõrd väikesemahuline töö, et seda saab pidada üksnes kõrval- </w:t>
            </w:r>
            <w:r w:rsidRPr="00D219BC">
              <w:rPr>
                <w:b/>
                <w:i/>
              </w:rPr>
              <w:t>või lisategevuseks, on Euroopa Kohtu praktikas töösuhte määratluse olulised elemendid</w:t>
            </w:r>
            <w:r w:rsidRPr="00D219BC">
              <w:rPr>
                <w:b/>
                <w:i/>
                <w:vertAlign w:val="superscript"/>
              </w:rPr>
              <w:t>1o</w:t>
            </w:r>
            <w:r w:rsidRPr="00D219BC">
              <w:rPr>
                <w:b/>
                <w:i/>
              </w:rPr>
              <w:t>.</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__________________</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vertAlign w:val="superscript"/>
              </w:rPr>
              <w:t>1o</w:t>
            </w:r>
            <w:r w:rsidRPr="00D219BC">
              <w:t xml:space="preserve"> </w:t>
            </w:r>
            <w:r w:rsidRPr="00D219BC">
              <w:rPr>
                <w:b/>
                <w:i/>
              </w:rPr>
              <w:t xml:space="preserve">Euroopa Kohtu otsused: 3. juuli 1986, Deborah Lawrie-Blum vs. Land Baden-Württemberg; Otsus kohtuasjas C-228/07: Jörn Petersen vs. </w:t>
            </w:r>
            <w:r w:rsidRPr="00D219BC">
              <w:rPr>
                <w:b/>
                <w:i/>
              </w:rPr>
              <w:t>Landesgeschäftsstelle des Arbeitsmarktservice Niederösterreich (ECR I-06989, punkt 45).</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Muudatusettepanek</w:t>
      </w:r>
      <w:r w:rsidRPr="00D219BC">
        <w:tab/>
      </w:r>
      <w:r w:rsidRPr="00D219BC">
        <w:tab/>
      </w:r>
      <w:r w:rsidRPr="00D219BC">
        <w:rPr>
          <w:rStyle w:val="HideTWBExt"/>
          <w:b w:val="0"/>
        </w:rPr>
        <w:t>&lt;NumAm&gt;</w:t>
      </w:r>
      <w:r w:rsidRPr="00D219BC">
        <w:t>24</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14 c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(14c)</w:t>
            </w:r>
            <w:r w:rsidRPr="00D219BC">
              <w:rPr>
                <w:b/>
                <w:i/>
              </w:rPr>
              <w:tab/>
              <w:t>Euroopa Kohus on korduvalt väljendanud seisukohta, et mõiste „töötaja“ ELTL artikli 45 tähenduses hõlmab isikut, kes läbib praktikat</w:t>
            </w:r>
            <w:r w:rsidRPr="00D219BC">
              <w:rPr>
                <w:b/>
                <w:i/>
                <w:vertAlign w:val="superscript"/>
              </w:rPr>
              <w:t>1a</w:t>
            </w:r>
            <w:r w:rsidRPr="00D219BC">
              <w:rPr>
                <w:b/>
                <w:i/>
              </w:rPr>
              <w:t xml:space="preserve">. Euroopa Kohtu praktikas on kohaldatud tööhõivealast seost </w:t>
            </w:r>
            <w:r w:rsidRPr="00D219BC">
              <w:rPr>
                <w:b/>
                <w:i/>
              </w:rPr>
              <w:t>neljale peamisele praktikaliigile: avatud turu tingimustes toimuvale praktikale</w:t>
            </w:r>
            <w:r w:rsidRPr="00D219BC">
              <w:rPr>
                <w:b/>
                <w:i/>
                <w:vertAlign w:val="superscript"/>
              </w:rPr>
              <w:t>1b</w:t>
            </w:r>
            <w:r w:rsidRPr="00D219BC">
              <w:rPr>
                <w:b/>
                <w:i/>
              </w:rPr>
              <w:t>, kutsealase koolituse kohustusliku osana toimuvale praktikale</w:t>
            </w:r>
            <w:r w:rsidRPr="00D219BC">
              <w:rPr>
                <w:b/>
                <w:i/>
                <w:vertAlign w:val="superscript"/>
              </w:rPr>
              <w:t>1c</w:t>
            </w:r>
            <w:r w:rsidRPr="00D219BC">
              <w:rPr>
                <w:b/>
                <w:i/>
              </w:rPr>
              <w:t>, aktiivse tööturupoliitika raames toimuvale praktikale</w:t>
            </w:r>
            <w:r w:rsidRPr="00D219BC">
              <w:rPr>
                <w:b/>
                <w:i/>
                <w:vertAlign w:val="superscript"/>
              </w:rPr>
              <w:t>1d</w:t>
            </w:r>
            <w:r w:rsidRPr="00D219BC">
              <w:t xml:space="preserve"> </w:t>
            </w:r>
            <w:r w:rsidRPr="00D219BC">
              <w:rPr>
                <w:b/>
                <w:i/>
              </w:rPr>
              <w:t>ja erialaõpingute raames toimuvale praktikale</w:t>
            </w:r>
            <w:r w:rsidRPr="00D219BC">
              <w:rPr>
                <w:b/>
                <w:i/>
                <w:vertAlign w:val="superscript"/>
              </w:rPr>
              <w:t>1e</w:t>
            </w:r>
            <w:r w:rsidRPr="00D219BC">
              <w:rPr>
                <w:b/>
                <w:i/>
              </w:rPr>
              <w:t>.</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__________________</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vertAlign w:val="superscript"/>
              </w:rPr>
              <w:t>1a</w:t>
            </w:r>
            <w:r w:rsidRPr="00D219BC">
              <w:t xml:space="preserve"> </w:t>
            </w:r>
            <w:r w:rsidRPr="00D219BC">
              <w:rPr>
                <w:b/>
                <w:i/>
              </w:rPr>
              <w:t>Kohtuasi C-485/20 XXXX vs. HR Rail SA [2022] ECLI:EU:C:2022:85, punkt 31.</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B16594">
            <w:pPr>
              <w:pStyle w:val="Normal6"/>
              <w:rPr>
                <w:szCs w:val="24"/>
              </w:rPr>
            </w:pPr>
            <w:r w:rsidRPr="00D219BC">
              <w:rPr>
                <w:b/>
                <w:i/>
                <w:vertAlign w:val="superscript"/>
              </w:rPr>
              <w:t>1b</w:t>
            </w:r>
            <w:r w:rsidRPr="00D219BC">
              <w:t xml:space="preserve"> </w:t>
            </w:r>
            <w:r w:rsidRPr="00D219BC">
              <w:rPr>
                <w:b/>
                <w:i/>
              </w:rPr>
              <w:t>Kohtuasi C-485/20 XXXX vs. HR Rail SA [2022] ECLI:EU:C:2022:85.</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B16594">
            <w:pPr>
              <w:pStyle w:val="Normal6"/>
              <w:rPr>
                <w:szCs w:val="24"/>
              </w:rPr>
            </w:pPr>
            <w:r w:rsidRPr="00D219BC">
              <w:rPr>
                <w:b/>
                <w:i/>
                <w:vertAlign w:val="superscript"/>
              </w:rPr>
              <w:t>1c</w:t>
            </w:r>
            <w:r w:rsidRPr="00D219BC">
              <w:t xml:space="preserve"> </w:t>
            </w:r>
            <w:r w:rsidRPr="00D219BC">
              <w:rPr>
                <w:b/>
                <w:i/>
              </w:rPr>
              <w:t xml:space="preserve">Kohtuasi C-66/85: Deborah Lawrie-Blum vs. Baden-Württembergi liidumaa, [1986] ECR </w:t>
            </w:r>
            <w:r w:rsidRPr="00D219BC">
              <w:rPr>
                <w:b/>
                <w:i/>
              </w:rPr>
              <w:t>I-02121; kohtuasi C-109/04: Karl Robert Kranemann vs. Nordrhein-Westfaleni liidumaa, [2005] ECR I-02421.</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B16594">
            <w:pPr>
              <w:pStyle w:val="Normal6"/>
              <w:rPr>
                <w:szCs w:val="24"/>
              </w:rPr>
            </w:pPr>
            <w:r w:rsidRPr="00D219BC">
              <w:rPr>
                <w:b/>
                <w:i/>
                <w:vertAlign w:val="superscript"/>
              </w:rPr>
              <w:t>1d</w:t>
            </w:r>
            <w:r w:rsidRPr="00D219BC">
              <w:t xml:space="preserve"> </w:t>
            </w:r>
            <w:r w:rsidRPr="00D219BC">
              <w:rPr>
                <w:b/>
                <w:i/>
              </w:rPr>
              <w:t>Kohtuasi C-229/14: Ender Balkaya vs. Kiesel Abbruch- und Recycling Technik GmbH, [2015] ECLI:EU:C:2015:455.</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B16594">
            <w:pPr>
              <w:pStyle w:val="Normal6"/>
              <w:rPr>
                <w:szCs w:val="24"/>
              </w:rPr>
            </w:pPr>
            <w:r w:rsidRPr="00D219BC">
              <w:rPr>
                <w:b/>
                <w:i/>
                <w:vertAlign w:val="superscript"/>
              </w:rPr>
              <w:t>1e</w:t>
            </w:r>
            <w:r w:rsidRPr="00D219BC">
              <w:t xml:space="preserve"> </w:t>
            </w:r>
            <w:r w:rsidRPr="00D219BC">
              <w:rPr>
                <w:b/>
                <w:i/>
              </w:rPr>
              <w:t>Kohtuasi C-344/20: LF vs. SCRL [2</w:t>
            </w:r>
            <w:r w:rsidRPr="00D219BC">
              <w:rPr>
                <w:b/>
                <w:i/>
              </w:rPr>
              <w:t>022] ECLI:EU:C:2022:77.</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25</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15</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(15)</w:t>
            </w:r>
            <w:r w:rsidRPr="00D219BC">
              <w:tab/>
              <w:t xml:space="preserve">Kuna praktika </w:t>
            </w:r>
            <w:r w:rsidRPr="00D219BC">
              <w:rPr>
                <w:b/>
                <w:i/>
              </w:rPr>
              <w:t>probleemsele kasutamisele</w:t>
            </w:r>
            <w:r w:rsidRPr="00D219BC">
              <w:t xml:space="preserve"> liidus ei ole praeguseks veel lahendust leitud, on vaja võtta täiendavaid meetmeid</w:t>
            </w:r>
            <w:r w:rsidRPr="00D219BC">
              <w:rPr>
                <w:b/>
                <w:i/>
              </w:rPr>
              <w:t>, et võidelda olukorraga, kus tavapäraseid töösuhteid esitatakse praktikana, ning tagada</w:t>
            </w:r>
            <w:r w:rsidRPr="00D219BC">
              <w:t xml:space="preserve">, et </w:t>
            </w:r>
            <w:r w:rsidRPr="00D219BC">
              <w:rPr>
                <w:b/>
                <w:i/>
              </w:rPr>
              <w:t>töötajate</w:t>
            </w:r>
            <w:r w:rsidRPr="00D219BC">
              <w:t xml:space="preserve"> suhtes kohaldatavad asjakohased liidu ja sise</w:t>
            </w:r>
            <w:r w:rsidRPr="00D219BC">
              <w:t xml:space="preserve">riiklikud õigusaktid oleksid </w:t>
            </w:r>
            <w:r w:rsidRPr="00D219BC">
              <w:rPr>
                <w:b/>
                <w:i/>
              </w:rPr>
              <w:t xml:space="preserve">praktikantide puhul </w:t>
            </w:r>
            <w:r w:rsidRPr="00D219BC">
              <w:t xml:space="preserve">täielikult rakendatud ning nende täitmine tagatud. </w:t>
            </w:r>
            <w:r w:rsidRPr="00D219BC">
              <w:rPr>
                <w:b/>
                <w:i/>
              </w:rPr>
              <w:t>Käesolevas direktiivis käsitletakse eespool nimetatud probleeme, sätestades miinimumnõuded, et parandada praktikantide töötingimusi ja tagada nende täitmine</w:t>
            </w:r>
            <w:r w:rsidRPr="00D219BC">
              <w:rPr>
                <w:b/>
                <w:i/>
              </w:rPr>
              <w:t xml:space="preserve"> liidus ning võidelda olukorraga, kus töösuhteid esitatakse praktikana, kehtestades ühtse raamistiku põhimõtetest ja meetmetest, mille eesmärk on tagada võrdne kohtlemine ning muuta töötajate suhtes kohaldatavate liidu ja siseriiklike õigusaktide rakendami</w:t>
            </w:r>
            <w:r w:rsidRPr="00D219BC">
              <w:rPr>
                <w:b/>
                <w:i/>
              </w:rPr>
              <w:t>ne ja nende täitmise tagamine tõhusamaks.</w:t>
            </w:r>
          </w:p>
        </w:tc>
        <w:tc>
          <w:tcPr>
            <w:tcW w:w="4876" w:type="dxa"/>
          </w:tcPr>
          <w:p w:rsidR="000A359B" w:rsidRPr="00D219BC" w:rsidRDefault="001D653E" w:rsidP="00032824">
            <w:pPr>
              <w:pStyle w:val="Normal6"/>
              <w:rPr>
                <w:szCs w:val="24"/>
              </w:rPr>
            </w:pPr>
            <w:r w:rsidRPr="00D219BC">
              <w:t>(15)</w:t>
            </w:r>
            <w:r w:rsidRPr="00D219BC">
              <w:tab/>
              <w:t xml:space="preserve">Kuna praktika </w:t>
            </w:r>
            <w:r w:rsidRPr="00D219BC">
              <w:rPr>
                <w:b/>
                <w:i/>
              </w:rPr>
              <w:t>kuritahtliku kasutamise tavadele</w:t>
            </w:r>
            <w:r w:rsidRPr="00D219BC">
              <w:t xml:space="preserve"> liidus ei ole praeguseks veel lahendust leitud, on vaja võtta täiendavaid meetmeid</w:t>
            </w:r>
            <w:r w:rsidRPr="00D219BC">
              <w:rPr>
                <w:b/>
                <w:i/>
              </w:rPr>
              <w:t xml:space="preserve"> tagamaks</w:t>
            </w:r>
            <w:r w:rsidRPr="00D219BC">
              <w:t xml:space="preserve">, et </w:t>
            </w:r>
            <w:r w:rsidRPr="00D219BC">
              <w:rPr>
                <w:b/>
                <w:i/>
              </w:rPr>
              <w:t>praktikantide</w:t>
            </w:r>
            <w:r w:rsidRPr="00D219BC">
              <w:t xml:space="preserve"> suhtes kohaldatavad asjakohased liidu ja siseriiklik</w:t>
            </w:r>
            <w:r w:rsidRPr="00D219BC">
              <w:t>ud õigusaktid oleksid täielikult rakendatud ning nende täitmine tagatud.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26</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16</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 xml:space="preserve">Komisjoni </w:t>
            </w:r>
            <w:r w:rsidRPr="00D219BC">
              <w:t>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(16)</w:t>
            </w:r>
            <w:r w:rsidRPr="00D219BC">
              <w:tab/>
            </w:r>
            <w:r w:rsidRPr="00D219BC">
              <w:rPr>
                <w:b/>
                <w:i/>
              </w:rPr>
              <w:t>Käesolevat direktiivi tuleks kohaldada kõikide liidu praktikantide suhtes, kellel on liikmesriigis kehtiva õiguse, kollektiivlepingu või tava kohaselt määratletud tööleping või -suhe, võttes arvesse Euroopa Kohtu praktikat</w:t>
            </w:r>
            <w:r w:rsidRPr="00D219BC">
              <w:rPr>
                <w:b/>
                <w:i/>
              </w:rPr>
              <w:t>. Euroopa Kohus on oma praktikas kehtestanud kriteeriumid töötaja staatuse kindlaksmääramiseks, mille suhtes tuleks kohaldada juhtumipõhist analüüsi.</w:t>
            </w:r>
          </w:p>
        </w:tc>
        <w:tc>
          <w:tcPr>
            <w:tcW w:w="4876" w:type="dxa"/>
          </w:tcPr>
          <w:p w:rsidR="000A359B" w:rsidRPr="00D219BC" w:rsidRDefault="001D653E" w:rsidP="00032824">
            <w:pPr>
              <w:pStyle w:val="Normal6"/>
              <w:rPr>
                <w:szCs w:val="24"/>
              </w:rPr>
            </w:pPr>
            <w:r w:rsidRPr="00D219BC">
              <w:t>(16)</w:t>
            </w:r>
            <w:r w:rsidRPr="00D219BC">
              <w:tab/>
            </w:r>
            <w:r w:rsidRPr="00D219BC">
              <w:rPr>
                <w:b/>
                <w:i/>
              </w:rPr>
              <w:t>Käesoleva direktiiviga kehtestatakse praktika ühine määratlus ja ühine raamistik, et vältida praktika</w:t>
            </w:r>
            <w:r w:rsidRPr="00D219BC">
              <w:rPr>
                <w:b/>
                <w:i/>
              </w:rPr>
              <w:t xml:space="preserve"> kuritahtliku kasutamise tavasid, kus praktikat kasutatakse muul eesmärgil kui selleks, et hõlbustada üleminekut hariduse omandamiselt stabiilsele töökohale või tegevuse alustamist konkreetsel kutsealal. Kokkuvõttes reguleeritakse direktiiviga praktika aja</w:t>
            </w:r>
            <w:r w:rsidRPr="00D219BC">
              <w:rPr>
                <w:b/>
                <w:i/>
              </w:rPr>
              <w:t xml:space="preserve">l praktikantide tehtava algtaseme töö tingimusi. </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27</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16 a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(16a)</w:t>
            </w:r>
            <w:r w:rsidRPr="00D219BC">
              <w:rPr>
                <w:b/>
                <w:i/>
              </w:rPr>
              <w:tab/>
              <w:t>Käesoleva direktiivi kohaselt on praktika ajaliselt piiratud algtaseme töö, mille käigus omandatakse praktilisi ja erialaseid oskusi, et hõlbustada üleminekut stabiilsele tööle või tegevuse alustamist konkreetsel kutsealal, tugine</w:t>
            </w:r>
            <w:r w:rsidRPr="00D219BC">
              <w:rPr>
                <w:b/>
                <w:i/>
              </w:rPr>
              <w:t>des praktikandi ja praktika pakkuja vahel sõlmitud kirjalikule lepingule, ning mille eest makstakse tasu kooskõlas direktiiviga (EL) 2022/2041.</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28</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 xml:space="preserve">Ettepanek võtta </w:t>
      </w:r>
      <w:r w:rsidRPr="00D219BC">
        <w:t>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16 b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(16b)</w:t>
            </w:r>
            <w:r w:rsidRPr="00D219BC">
              <w:rPr>
                <w:b/>
                <w:i/>
              </w:rPr>
              <w:tab/>
              <w:t xml:space="preserve">Üks praktika reguleerimise probleeme on asjaolu, et liidu õiguses pole selgelt sätestatud praktika määratlust ja eesmärki. Käesolevas </w:t>
            </w:r>
            <w:r w:rsidRPr="00D219BC">
              <w:rPr>
                <w:b/>
                <w:i/>
              </w:rPr>
              <w:t>direktiivis käsitletakse seda probleemi ning esitatakse ühine praktika määratlus ja eesmärk.</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29</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 xml:space="preserve">Põhjendus 16 c </w:t>
      </w:r>
      <w:r w:rsidRPr="00D219BC">
        <w:t>(uus)</w:t>
      </w:r>
      <w:r w:rsidRPr="00D219B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D12CE4">
        <w:trPr>
          <w:jc w:val="center"/>
        </w:trPr>
        <w:tc>
          <w:tcPr>
            <w:tcW w:w="9752" w:type="dxa"/>
            <w:gridSpan w:val="2"/>
          </w:tcPr>
          <w:p w:rsidR="000A359B" w:rsidRPr="00D219BC" w:rsidRDefault="000A359B" w:rsidP="00F14438">
            <w:pPr>
              <w:keepNext/>
            </w:pPr>
          </w:p>
        </w:tc>
      </w:tr>
      <w:tr w:rsidR="00447288" w:rsidRPr="00D219BC" w:rsidTr="00D12CE4">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D5351E">
        <w:trPr>
          <w:jc w:val="center"/>
        </w:trPr>
        <w:tc>
          <w:tcPr>
            <w:tcW w:w="4876" w:type="dxa"/>
          </w:tcPr>
          <w:p w:rsidR="000A359B" w:rsidRPr="00D219BC" w:rsidRDefault="000A359B" w:rsidP="00F14438">
            <w:pPr>
              <w:pStyle w:val="Normal6"/>
            </w:pPr>
          </w:p>
        </w:tc>
        <w:tc>
          <w:tcPr>
            <w:tcW w:w="4876" w:type="dxa"/>
          </w:tcPr>
          <w:p w:rsidR="000A359B" w:rsidRPr="00D219BC" w:rsidRDefault="001D653E" w:rsidP="00D5351E">
            <w:pPr>
              <w:pStyle w:val="Normal6"/>
              <w:rPr>
                <w:szCs w:val="24"/>
              </w:rPr>
            </w:pPr>
            <w:r w:rsidRPr="00D219BC">
              <w:rPr>
                <w:b/>
                <w:i/>
              </w:rPr>
              <w:t>(16c)</w:t>
            </w:r>
            <w:r w:rsidRPr="00D219BC">
              <w:rPr>
                <w:b/>
                <w:i/>
              </w:rPr>
              <w:tab/>
              <w:t>Käesoleva direktiiviga tagatakse, et harta artiklis 21 ning Euroopa Parlamendi ja nõukogu direktiivis 2006/54/EÜ</w:t>
            </w:r>
            <w:r w:rsidRPr="00D219BC">
              <w:rPr>
                <w:b/>
                <w:i/>
                <w:vertAlign w:val="superscript"/>
              </w:rPr>
              <w:t>1a</w:t>
            </w:r>
            <w:r w:rsidRPr="00D219BC">
              <w:rPr>
                <w:b/>
                <w:i/>
              </w:rPr>
              <w:t>, nõukogu direktiivis 2000/43/EÜ</w:t>
            </w:r>
            <w:r w:rsidRPr="00D219BC">
              <w:rPr>
                <w:b/>
                <w:i/>
                <w:vertAlign w:val="superscript"/>
              </w:rPr>
              <w:t>1b</w:t>
            </w:r>
            <w:r w:rsidRPr="00D219BC">
              <w:rPr>
                <w:b/>
                <w:i/>
              </w:rPr>
              <w:t xml:space="preserve"> ja direktiivis 2000/78/EÜ sätestatud mittediskrimineerimise põhimõtet kohaldatakse praktikale juurdepääsu ja töötingimuste, sealhulgas töötasu suhtes. Direktiiviga lahendatakse probleemid, mis käsitlevad praktika diskrimineerivat mõju, ja edendatakse prak</w:t>
            </w:r>
            <w:r w:rsidRPr="00D219BC">
              <w:rPr>
                <w:b/>
                <w:i/>
              </w:rPr>
              <w:t>tika kaasavust.</w:t>
            </w:r>
          </w:p>
        </w:tc>
      </w:tr>
      <w:tr w:rsidR="00447288" w:rsidRPr="00D219BC" w:rsidTr="00D12CE4">
        <w:trPr>
          <w:jc w:val="center"/>
        </w:trPr>
        <w:tc>
          <w:tcPr>
            <w:tcW w:w="4876" w:type="dxa"/>
          </w:tcPr>
          <w:p w:rsidR="00D5351E" w:rsidRPr="00D219BC" w:rsidRDefault="00D5351E" w:rsidP="00F14438">
            <w:pPr>
              <w:pStyle w:val="Normal6"/>
            </w:pPr>
          </w:p>
        </w:tc>
        <w:tc>
          <w:tcPr>
            <w:tcW w:w="4876" w:type="dxa"/>
          </w:tcPr>
          <w:p w:rsidR="00D5351E" w:rsidRPr="00D219BC" w:rsidRDefault="001D653E" w:rsidP="00D5351E">
            <w:pPr>
              <w:pStyle w:val="Normal6"/>
              <w:rPr>
                <w:b/>
                <w:i/>
              </w:rPr>
            </w:pPr>
            <w:r w:rsidRPr="00D219BC">
              <w:rPr>
                <w:b/>
                <w:i/>
              </w:rPr>
              <w:t>______________________</w:t>
            </w:r>
          </w:p>
        </w:tc>
      </w:tr>
      <w:tr w:rsidR="00447288" w:rsidRPr="00D219BC" w:rsidTr="00D12CE4">
        <w:trPr>
          <w:jc w:val="center"/>
        </w:trPr>
        <w:tc>
          <w:tcPr>
            <w:tcW w:w="4876" w:type="dxa"/>
          </w:tcPr>
          <w:p w:rsidR="00D5351E" w:rsidRPr="00D219BC" w:rsidRDefault="00D5351E" w:rsidP="00F14438">
            <w:pPr>
              <w:pStyle w:val="Normal6"/>
            </w:pPr>
          </w:p>
        </w:tc>
        <w:tc>
          <w:tcPr>
            <w:tcW w:w="4876" w:type="dxa"/>
          </w:tcPr>
          <w:p w:rsidR="00D5351E" w:rsidRPr="00D219BC" w:rsidRDefault="001D653E" w:rsidP="00D5351E">
            <w:pPr>
              <w:pStyle w:val="Normal6"/>
              <w:rPr>
                <w:b/>
                <w:i/>
              </w:rPr>
            </w:pPr>
            <w:r w:rsidRPr="00D219BC">
              <w:rPr>
                <w:b/>
                <w:i/>
                <w:vertAlign w:val="superscript"/>
              </w:rPr>
              <w:t>1a</w:t>
            </w:r>
            <w:r w:rsidRPr="00D219BC">
              <w:rPr>
                <w:b/>
                <w:i/>
              </w:rPr>
              <w:t xml:space="preserve"> Euroopa Parlamendi ja nõukogu 5. juuli 2006. aasta direktiiv 2006/54/EÜ meeste ja naiste võrdsete võimaluste ja võrdse kohtlemise põhimõtte rakendamise kohta tööhõive ja elukutse küsimustes (ELT L 204, 26.7.2006, lk 23).</w:t>
            </w:r>
          </w:p>
        </w:tc>
      </w:tr>
      <w:tr w:rsidR="00447288" w:rsidRPr="00D219BC" w:rsidTr="00D5351E">
        <w:trPr>
          <w:jc w:val="center"/>
        </w:trPr>
        <w:tc>
          <w:tcPr>
            <w:tcW w:w="4876" w:type="dxa"/>
          </w:tcPr>
          <w:p w:rsidR="00D5351E" w:rsidRPr="00D219BC" w:rsidRDefault="00D5351E" w:rsidP="00F14438">
            <w:pPr>
              <w:pStyle w:val="Normal6"/>
            </w:pPr>
          </w:p>
        </w:tc>
        <w:tc>
          <w:tcPr>
            <w:tcW w:w="4876" w:type="dxa"/>
          </w:tcPr>
          <w:p w:rsidR="00D5351E" w:rsidRPr="00D219BC" w:rsidRDefault="001D653E" w:rsidP="00D5351E">
            <w:pPr>
              <w:pStyle w:val="Normal6"/>
              <w:rPr>
                <w:b/>
                <w:i/>
                <w:vertAlign w:val="superscript"/>
              </w:rPr>
            </w:pPr>
            <w:r w:rsidRPr="00D219BC">
              <w:rPr>
                <w:b/>
                <w:i/>
                <w:vertAlign w:val="superscript"/>
              </w:rPr>
              <w:t xml:space="preserve">1b </w:t>
            </w:r>
            <w:r w:rsidRPr="00D219BC">
              <w:rPr>
                <w:b/>
                <w:i/>
              </w:rPr>
              <w:t>Nõukogu 29. juuni 2000. aasta</w:t>
            </w:r>
            <w:r w:rsidRPr="00D219BC">
              <w:rPr>
                <w:b/>
                <w:i/>
              </w:rPr>
              <w:t xml:space="preserve"> direktiiv 2000/43/EÜ, millega rakendatakse võrdse kohtlemise põhimõte sõltumata isikute rassilisest või etnilisest päritolust (EÜT L 180, 19.7.2000, lk 22).</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30</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16 d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(16d)</w:t>
            </w:r>
            <w:r w:rsidRPr="00D219BC">
              <w:rPr>
                <w:b/>
                <w:i/>
              </w:rPr>
              <w:tab/>
              <w:t xml:space="preserve">Ühtlasi peaksid liikmesriigid edendama haavatavas olukorras praktikantide, sealhulgas puuetega praktikantide juurdepääsu </w:t>
            </w:r>
            <w:r w:rsidRPr="00D219BC">
              <w:rPr>
                <w:b/>
                <w:i/>
              </w:rPr>
              <w:t>praktikale, tagades, et töökohad kohandatakse puuetega praktikantidele juurdepääsetavaks.</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lastRenderedPageBreak/>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31</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17</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(17)</w:t>
            </w:r>
            <w:r w:rsidRPr="00D219BC">
              <w:rPr>
                <w:b/>
                <w:i/>
              </w:rPr>
              <w:tab/>
              <w:t>Praktika määratluse alla kuuluvad töölõppimise programmid on liikmesriigiti väga erinevad. Seega võib töökohapõhine õpe kuuluda käesoleva direktiivi kohaldamisalasse, kui töökohapõhised õppijad kuulu</w:t>
            </w:r>
            <w:r w:rsidRPr="00D219BC">
              <w:rPr>
                <w:b/>
                <w:i/>
              </w:rPr>
              <w:t>vad mõiste „töötaja“ alla, nagu see on määratletud liikmesriikides kehtivates õigusaktides, kollektiivlepingutes või tavades, võttes arvesse Euroopa Kohtu praktikat.</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32</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18</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(18)</w:t>
            </w:r>
            <w:r w:rsidRPr="00D219BC">
              <w:tab/>
              <w:t xml:space="preserve">Direktiivi </w:t>
            </w:r>
            <w:r w:rsidRPr="00D219BC">
              <w:rPr>
                <w:b/>
                <w:i/>
              </w:rPr>
              <w:t>III peatükki kohaldatakse selliste tavapärases töösuhtes olevate töötajate suhtes, keda ekslikult käsitatakse praktikantidena, st kui tööandjad käsitavad tavapärast töösuhet kas praktikana, mis ei ole töösuhe, või praktikana, mis on töösuhe, kuid</w:t>
            </w:r>
            <w:r w:rsidRPr="00D219BC">
              <w:t xml:space="preserve"> mille </w:t>
            </w:r>
            <w:r w:rsidRPr="00D219BC">
              <w:rPr>
                <w:b/>
                <w:i/>
              </w:rPr>
              <w:t>ees</w:t>
            </w:r>
            <w:r w:rsidRPr="00D219BC">
              <w:rPr>
                <w:b/>
                <w:i/>
              </w:rPr>
              <w:t>t makstakse vähem, või muud töötingimused on halvemad kui need</w:t>
            </w:r>
            <w:r w:rsidRPr="00D219BC">
              <w:t xml:space="preserve">, millele </w:t>
            </w:r>
            <w:r w:rsidRPr="00D219BC">
              <w:rPr>
                <w:b/>
                <w:i/>
              </w:rPr>
              <w:t>tavapärases töösuhtes olevatel töötajatel</w:t>
            </w:r>
            <w:r w:rsidRPr="00D219BC">
              <w:t xml:space="preserve"> oleks liidu või siseriiklike õigusaktide, kollektiivlepingute või tavade kohaselt õigus.</w:t>
            </w:r>
          </w:p>
        </w:tc>
        <w:tc>
          <w:tcPr>
            <w:tcW w:w="4876" w:type="dxa"/>
          </w:tcPr>
          <w:p w:rsidR="000A359B" w:rsidRPr="00D219BC" w:rsidRDefault="001D653E" w:rsidP="006B32E7">
            <w:pPr>
              <w:pStyle w:val="Normal6"/>
              <w:rPr>
                <w:szCs w:val="24"/>
              </w:rPr>
            </w:pPr>
            <w:r w:rsidRPr="00D219BC">
              <w:t>(18)</w:t>
            </w:r>
            <w:r w:rsidRPr="00D219BC">
              <w:tab/>
              <w:t xml:space="preserve">Direktiivi </w:t>
            </w:r>
            <w:r w:rsidRPr="00D219BC">
              <w:rPr>
                <w:b/>
                <w:i/>
              </w:rPr>
              <w:t>kohaselt peavad liikmesriigid kehtest</w:t>
            </w:r>
            <w:r w:rsidRPr="00D219BC">
              <w:rPr>
                <w:b/>
                <w:i/>
              </w:rPr>
              <w:t>ama tõhusad meetmed, et võidelda praktika kuritahtliku kasutamise tavade vastu, kus praktikat kasutatakse muul eesmärgil kui selleks, et hõlbustada üleminekut hariduse omandamiselt stabiilsele töökohale, ning</w:t>
            </w:r>
            <w:r w:rsidRPr="00D219BC">
              <w:t xml:space="preserve"> mille </w:t>
            </w:r>
            <w:r w:rsidRPr="00D219BC">
              <w:rPr>
                <w:b/>
                <w:i/>
              </w:rPr>
              <w:t>puhul on kaitsetase madalam, töötingimuse</w:t>
            </w:r>
            <w:r w:rsidRPr="00D219BC">
              <w:rPr>
                <w:b/>
                <w:i/>
              </w:rPr>
              <w:t>d halvemad ja töötasu väiksem sellest</w:t>
            </w:r>
            <w:r w:rsidRPr="00D219BC">
              <w:t xml:space="preserve">, millele </w:t>
            </w:r>
            <w:r w:rsidRPr="00D219BC">
              <w:rPr>
                <w:b/>
                <w:i/>
              </w:rPr>
              <w:t>asjaomasel praktikandil</w:t>
            </w:r>
            <w:r w:rsidRPr="00D219BC">
              <w:t xml:space="preserve"> oleks liidu või siseriiklike õigusaktide, kollektiivlepingute või tavade kohaselt õigus.</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Muudatusettepanek</w:t>
      </w:r>
      <w:r w:rsidRPr="00D219BC">
        <w:tab/>
      </w:r>
      <w:r w:rsidRPr="00D219BC">
        <w:tab/>
      </w:r>
      <w:r w:rsidRPr="00D219BC">
        <w:rPr>
          <w:rStyle w:val="HideTWBExt"/>
          <w:b w:val="0"/>
        </w:rPr>
        <w:t>&lt;NumAm&gt;</w:t>
      </w:r>
      <w:r w:rsidRPr="00D219BC">
        <w:t>33</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19</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(19)</w:t>
            </w:r>
            <w:r w:rsidRPr="00D219BC">
              <w:rPr>
                <w:b/>
                <w:i/>
              </w:rPr>
              <w:tab/>
              <w:t xml:space="preserve">Töösuhtena käsitatav praktika erineb tavapärasest töösuhtest selle poolest, et praktika on ajaliselt piiratud, hõlmab olulist õppe- ja </w:t>
            </w:r>
            <w:r w:rsidRPr="00D219BC">
              <w:rPr>
                <w:b/>
                <w:i/>
              </w:rPr>
              <w:t>koolituskomponenti ning seda tehakse praktiliste ja erialaste kogemuste omandamiseks, et parandada oma tööalast konkurentsivõimet ning hõlbustada üleminekut tööellu või tegevuse alustamist konkreetsel kutsealal.</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34</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20</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(20)</w:t>
            </w:r>
            <w:r w:rsidRPr="00D219BC">
              <w:rPr>
                <w:b/>
                <w:i/>
              </w:rPr>
              <w:tab/>
              <w:t xml:space="preserve">Mittediskrimineerimise põhimõtet kasutatakse võitluseks </w:t>
            </w:r>
            <w:r w:rsidRPr="00D219BC">
              <w:rPr>
                <w:b/>
                <w:i/>
              </w:rPr>
              <w:t>praktika kuritarvitamise ilmingutega (näiteks praktikandile pakutakse tavapärases töösuhtes olevate töötajatega võrreldes vähem soodsaid töötingimusi või madalamat töötasu, esitamata asjakohast põhjendust) ning selleks, et tagada praktika jätkusuutlikkus s</w:t>
            </w:r>
            <w:r w:rsidRPr="00D219BC">
              <w:rPr>
                <w:b/>
                <w:i/>
              </w:rPr>
              <w:t>tabiilsete töövõimaluste loomisel. Ühtlasi võib see muuta praktikavõimalused haavatavas olukorras olevate töötajate rühmadele kättesaadavamaks.</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Muudatusettepanek</w:t>
      </w:r>
      <w:r w:rsidRPr="00D219BC">
        <w:tab/>
      </w:r>
      <w:r w:rsidRPr="00D219BC">
        <w:tab/>
      </w:r>
      <w:r w:rsidRPr="00D219BC">
        <w:rPr>
          <w:rStyle w:val="HideTWBExt"/>
          <w:b w:val="0"/>
        </w:rPr>
        <w:t>&lt;NumAm&gt;</w:t>
      </w:r>
      <w:r w:rsidRPr="00D219BC">
        <w:t>35</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w:t>
      </w:r>
      <w:r w:rsidRPr="00D219BC">
        <w: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21</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(21)</w:t>
            </w:r>
            <w:r w:rsidRPr="00D219BC">
              <w:rPr>
                <w:b/>
                <w:i/>
              </w:rPr>
              <w:tab/>
              <w:t xml:space="preserve">Seetõttu on vaja kehtestada praktikantide mittediskrimineerimise põhimõte, mida tuleks kohaldada lisaks nõukogu 28. juuni 1999. aasta </w:t>
            </w:r>
            <w:r w:rsidRPr="00D219BC">
              <w:rPr>
                <w:b/>
                <w:i/>
              </w:rPr>
              <w:t>direktiivi 1999/70/EÜ (milles käsitletakse Euroopa Ametiühingute Konföderatsiooni (ETUC), Euroopa Tööandjate Föderatsiooni (UNICE) ja Euroopa Riigiosalusega Ettevõtete Keskuse (CEEP) sõlmitud raamkokkulepet tähtajalise töö kohta) lisa klauslile 4, milles o</w:t>
            </w:r>
            <w:r w:rsidRPr="00D219BC">
              <w:rPr>
                <w:b/>
                <w:i/>
              </w:rPr>
              <w:t xml:space="preserve">n sätestatud, et töötingimuste osas ei kohelda tähtajalise lepinguga töötajaid vähem soodsalt kui võrreldavaid alalisi töötajaid üksnes seetõttu, et neil on tähtajaline tööleping või töösuhe, välja arvatud juhul, kui erinevaks kohtlemiseks on objektiivsed </w:t>
            </w:r>
            <w:r w:rsidRPr="00D219BC">
              <w:rPr>
                <w:b/>
                <w:i/>
              </w:rPr>
              <w:t>põhjused. Kõnealuse direktiivi tähenduses on praktikandid, kellel on töösuhe, määratletud tähtajalise lepinguga töötajatena. Samas ei nähta direktiivi mittediskrimineerimise põhimõtet sisaldavas klauslis ette võrdlust teiste tähtajaliste töötajatega. Lisak</w:t>
            </w:r>
            <w:r w:rsidRPr="00D219BC">
              <w:rPr>
                <w:b/>
                <w:i/>
              </w:rPr>
              <w:t>s võimaldab kõnealuse direktiivi lisa klausli 2 lõige 2 liikmesriikidel jätta direktiivi kohaldamisalast välja teatavat liiki töötajad, sealhulgas need, kes osalevad esialgse kutseõppega seotud tööpraktikas ja töö käigus toimuvas väljaõppes, ja need, kelle</w:t>
            </w:r>
            <w:r w:rsidRPr="00D219BC">
              <w:rPr>
                <w:b/>
                <w:i/>
              </w:rPr>
              <w:t>l on töölepingud ja -suhted, mis on sõlmitud erilise riikliku või riigi toetatava kutseõppe-, integreerumis- ja ümberõppeprogrammi raames. Ühtlasi ei ole välja toodud asjaolu, et praktikandid on eriti haavatavas olukorras. Seega on vaja tagada, et tavapära</w:t>
            </w:r>
            <w:r w:rsidRPr="00D219BC">
              <w:rPr>
                <w:b/>
                <w:i/>
              </w:rPr>
              <w:t>ses töösuhtes olevate töötajatega võrdse kohtlemise põhimõtet kohaldatakse kõikide praktikantide suhtes, kellel on töösuhe.</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lastRenderedPageBreak/>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36</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 xml:space="preserve">Ettepanek võtta vastu </w:t>
      </w:r>
      <w:r w:rsidRPr="00D219BC">
        <w:t>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22</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(22)</w:t>
            </w:r>
            <w:r w:rsidRPr="00D219BC">
              <w:rPr>
                <w:b/>
                <w:i/>
              </w:rPr>
              <w:tab/>
              <w:t xml:space="preserve">Seepärast peaksid liikmesriigid tagama, et töötingimuste, sealhulgas töötasu osas ei kohelda praktikante vähem soodsalt kui sama asutuse võrreldavaid </w:t>
            </w:r>
            <w:r w:rsidRPr="00D219BC">
              <w:rPr>
                <w:b/>
                <w:i/>
              </w:rPr>
              <w:t>töötajaid, kes on tavapärases töösuhtes, välja arvatud juhul, kui erinevaks kohtlemiseks on objektiivsed põhjused. Asjaolu, et tegemist on praktikandiga, ei ole piisav põhjus kohelda kedagi vähem soodsalt kui sama asutuse võrreldavaid töötajaid, kes on tav</w:t>
            </w:r>
            <w:r w:rsidRPr="00D219BC">
              <w:rPr>
                <w:b/>
                <w:i/>
              </w:rPr>
              <w:t>apärases töösuhtes. Samas võib erinev kohtlemine olla õigustatud objektiivsetel põhjustel, kui see on teatavate töötingimuste puhul asjakohane, näiteks kui praktikandi tööülesanded erinevad selliste võrreldavate töötajate omadest, kes on tavapärases töösuh</w:t>
            </w:r>
            <w:r w:rsidRPr="00D219BC">
              <w:rPr>
                <w:b/>
                <w:i/>
              </w:rPr>
              <w:t>tes, tema kohustused on väiksemad või töö vähem intensiivne. Erinevat kohtlemist tuleks siiski rakendada eespool nimetatud põhjustega proportsionaalselt.</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37</w:t>
      </w:r>
      <w:r w:rsidRPr="00D219BC">
        <w:rPr>
          <w:rStyle w:val="HideTWBExt"/>
          <w:b w:val="0"/>
        </w:rPr>
        <w:t>&lt;/NumAm&gt;</w:t>
      </w:r>
    </w:p>
    <w:p w:rsidR="000A359B" w:rsidRPr="00D219BC" w:rsidRDefault="001D653E" w:rsidP="000A359B">
      <w:pPr>
        <w:pStyle w:val="NormalBold12b"/>
        <w:keepNext/>
      </w:pPr>
      <w:r w:rsidRPr="00D219BC">
        <w:rPr>
          <w:rStyle w:val="HideTWBExt"/>
          <w:b w:val="0"/>
        </w:rPr>
        <w:t>&lt;Do</w:t>
      </w:r>
      <w:r w:rsidRPr="00D219BC">
        <w:rPr>
          <w:rStyle w:val="HideTWBExt"/>
          <w:b w:val="0"/>
        </w:rPr>
        <w:t>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23</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(23)</w:t>
            </w:r>
            <w:r w:rsidRPr="00D219BC">
              <w:rPr>
                <w:b/>
                <w:i/>
              </w:rPr>
              <w:tab/>
              <w:t xml:space="preserve">Mittediskrimineerimise põhimõtte kohaldamiseks on vaja kindlaks määrata, missugune on võrreldav töötaja, kes on tavapärases </w:t>
            </w:r>
            <w:r w:rsidRPr="00D219BC">
              <w:rPr>
                <w:b/>
                <w:i/>
              </w:rPr>
              <w:t>töösuhtes ja kes teeb praktikandiga sama või sarnast liiki tööd, võttes nõuetekohaselt arvesse asjaomase töötaja kvalifikatsiooni ja oskusi.</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38</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24</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(24)</w:t>
            </w:r>
            <w:r w:rsidRPr="00D219BC">
              <w:rPr>
                <w:b/>
                <w:i/>
              </w:rPr>
              <w:tab/>
              <w:t xml:space="preserve">Liikmesriigid peaksid kehtestama asjakohased meetmed, et võidelda olukorraga, kus praktikat esitatakse tavapäraste töösuhetena, mille </w:t>
            </w:r>
            <w:r w:rsidRPr="00D219BC">
              <w:rPr>
                <w:b/>
                <w:i/>
              </w:rPr>
              <w:t>kaitsetase on madalam, töötingimused halvemad ja töötasu väiksem kui need, millele asjaomasel töötajal oleks liidu või siseriikliku õigusaktide, kollektiivlepingute või tavade kohaselt õigus.</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w:t>
      </w:r>
      <w:r w:rsidRPr="00D219BC">
        <w:t>udatusettepanek</w:t>
      </w:r>
      <w:r w:rsidRPr="00D219BC">
        <w:tab/>
      </w:r>
      <w:r w:rsidRPr="00D219BC">
        <w:tab/>
      </w:r>
      <w:r w:rsidRPr="00D219BC">
        <w:rPr>
          <w:rStyle w:val="HideTWBExt"/>
          <w:b w:val="0"/>
        </w:rPr>
        <w:t>&lt;NumAm&gt;</w:t>
      </w:r>
      <w:r w:rsidRPr="00D219BC">
        <w:t>39</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25</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(25)</w:t>
            </w:r>
            <w:r w:rsidRPr="00D219BC">
              <w:tab/>
            </w:r>
            <w:r w:rsidRPr="00D219BC">
              <w:t xml:space="preserve">On vaja tagada, et pädevad asutused teeksid tõhusaid kontrolle ja inspekteerimisi, kuna need on olulised praktikantide õiguste kaitsmiseks ja selleks, et võidelda </w:t>
            </w:r>
            <w:r w:rsidRPr="00D219BC">
              <w:rPr>
                <w:b/>
                <w:i/>
              </w:rPr>
              <w:t>olukorraga, kus tavapäraseid töösuhteid esitatakse praktikana</w:t>
            </w:r>
            <w:r w:rsidRPr="00D219BC">
              <w:t>. Kontrollid ja inspekteerimised</w:t>
            </w:r>
            <w:r w:rsidRPr="00D219BC">
              <w:t xml:space="preserve"> peaksid olema sihipärased, et vältida olukorda, kus </w:t>
            </w:r>
            <w:r w:rsidRPr="00D219BC">
              <w:rPr>
                <w:b/>
                <w:i/>
              </w:rPr>
              <w:t>tavapäraseid töökohti esitatakse praktikana</w:t>
            </w:r>
            <w:r w:rsidRPr="00D219BC">
              <w:t xml:space="preserve">, ja kaitsta </w:t>
            </w:r>
            <w:r w:rsidRPr="00D219BC">
              <w:rPr>
                <w:b/>
                <w:i/>
              </w:rPr>
              <w:t>töötajate</w:t>
            </w:r>
            <w:r w:rsidRPr="00D219BC">
              <w:t xml:space="preserve"> õigusi.</w:t>
            </w:r>
          </w:p>
        </w:tc>
        <w:tc>
          <w:tcPr>
            <w:tcW w:w="4876" w:type="dxa"/>
          </w:tcPr>
          <w:p w:rsidR="000A359B" w:rsidRPr="00D219BC" w:rsidRDefault="001D653E" w:rsidP="00F14438">
            <w:pPr>
              <w:pStyle w:val="Normal6"/>
              <w:rPr>
                <w:szCs w:val="24"/>
              </w:rPr>
            </w:pPr>
            <w:r w:rsidRPr="00D219BC">
              <w:t>(25)</w:t>
            </w:r>
            <w:r w:rsidRPr="00D219BC">
              <w:tab/>
              <w:t>On vaja tagada, et pädevad asutused teeksid tõhusaid kontrolle ja inspekteerimisi, kuna need on olulised praktikantide õigus</w:t>
            </w:r>
            <w:r w:rsidRPr="00D219BC">
              <w:t xml:space="preserve">te kaitsmiseks ja selleks, et võidelda </w:t>
            </w:r>
            <w:r w:rsidRPr="00D219BC">
              <w:rPr>
                <w:b/>
                <w:i/>
              </w:rPr>
              <w:t>praktika kuritahtliku kasutamise tavadega</w:t>
            </w:r>
            <w:r w:rsidRPr="00D219BC">
              <w:t xml:space="preserve">. Kontrollid ja inspekteerimised peaksid olema sihipärased, et vältida olukorda, kus </w:t>
            </w:r>
            <w:r w:rsidRPr="00D219BC">
              <w:rPr>
                <w:b/>
                <w:i/>
              </w:rPr>
              <w:t>stabiilsed töökohad asendatakse korduva praktikaga</w:t>
            </w:r>
            <w:r w:rsidRPr="00D219BC">
              <w:t xml:space="preserve">, ja kaitsta </w:t>
            </w:r>
            <w:r w:rsidRPr="00D219BC">
              <w:rPr>
                <w:b/>
                <w:i/>
              </w:rPr>
              <w:t>praktikantide</w:t>
            </w:r>
            <w:r w:rsidRPr="00D219BC">
              <w:t xml:space="preserve"> õigusi.</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Muudatusettepanek</w:t>
      </w:r>
      <w:r w:rsidRPr="00D219BC">
        <w:tab/>
      </w:r>
      <w:r w:rsidRPr="00D219BC">
        <w:tab/>
      </w:r>
      <w:r w:rsidRPr="00D219BC">
        <w:rPr>
          <w:rStyle w:val="HideTWBExt"/>
          <w:b w:val="0"/>
        </w:rPr>
        <w:t>&lt;NumAm&gt;</w:t>
      </w:r>
      <w:r w:rsidRPr="00D219BC">
        <w:t>40</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26</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(26)</w:t>
            </w:r>
            <w:r w:rsidRPr="00D219BC">
              <w:tab/>
            </w:r>
            <w:r w:rsidRPr="00D219BC">
              <w:rPr>
                <w:b/>
                <w:i/>
              </w:rPr>
              <w:t xml:space="preserve">Selle hindamisel, kas tavapärast töösuhet </w:t>
            </w:r>
            <w:r w:rsidRPr="00D219BC">
              <w:rPr>
                <w:b/>
                <w:i/>
              </w:rPr>
              <w:t>esitatakse praktikana, tuleks lähtuda faktilistest asjaoludest, mitte lepingulise suhte formaalsest määratlusest.</w:t>
            </w:r>
            <w:r w:rsidRPr="00D219BC">
              <w:t xml:space="preserve"> Selleks et teha kindlaks</w:t>
            </w:r>
            <w:r w:rsidRPr="00D219BC">
              <w:rPr>
                <w:b/>
                <w:i/>
              </w:rPr>
              <w:t>, kas tavapärast töösuhet esitatakse praktikana</w:t>
            </w:r>
            <w:r w:rsidRPr="00D219BC">
              <w:t>, peaksid pädevad asutused andma üldise hinnangu kõikidele asjakohastel</w:t>
            </w:r>
            <w:r w:rsidRPr="00D219BC">
              <w:t xml:space="preserve">e faktidele. Selleks et pädevatel asutustel oleks seda hõlpsam teha, </w:t>
            </w:r>
            <w:r w:rsidRPr="00D219BC">
              <w:rPr>
                <w:b/>
                <w:i/>
              </w:rPr>
              <w:t>tuleks sätestada põhielemendid</w:t>
            </w:r>
            <w:r w:rsidRPr="00D219BC">
              <w:t xml:space="preserve">, mis </w:t>
            </w:r>
            <w:r w:rsidRPr="00D219BC">
              <w:rPr>
                <w:b/>
                <w:i/>
              </w:rPr>
              <w:t>võimaldaksid eristada tavapärast töösuhet ja praktikana esitatavat tavapärast töösuhet</w:t>
            </w:r>
            <w:r w:rsidRPr="00D219BC">
              <w:t>. Neid asjaolusid tuleks hinnata igal üksikjuhul eraldi, võttes n</w:t>
            </w:r>
            <w:r w:rsidRPr="00D219BC">
              <w:t xml:space="preserve">õuetekohaselt arvesse iga konkreetse juhtumi asjaolusid. </w:t>
            </w:r>
            <w:r w:rsidRPr="00D219BC">
              <w:rPr>
                <w:b/>
                <w:i/>
              </w:rPr>
              <w:t>Seetõttu on osutatud elementide loetelu soovituslik ja mittetäielik ning nende suhtes ei ole vaja kohaldada konkreetset künnist.</w:t>
            </w:r>
          </w:p>
        </w:tc>
        <w:tc>
          <w:tcPr>
            <w:tcW w:w="4876" w:type="dxa"/>
          </w:tcPr>
          <w:p w:rsidR="000A359B" w:rsidRPr="00D219BC" w:rsidRDefault="001D653E" w:rsidP="006B32E7">
            <w:pPr>
              <w:pStyle w:val="Normal6"/>
              <w:rPr>
                <w:szCs w:val="24"/>
              </w:rPr>
            </w:pPr>
            <w:r w:rsidRPr="00D219BC">
              <w:t>(26)</w:t>
            </w:r>
            <w:r w:rsidRPr="00D219BC">
              <w:tab/>
              <w:t>Selleks et teha kindlaks</w:t>
            </w:r>
            <w:r w:rsidRPr="00D219BC">
              <w:rPr>
                <w:b/>
                <w:i/>
              </w:rPr>
              <w:t xml:space="preserve"> praktika kuritahtliku kasutamise tavad</w:t>
            </w:r>
            <w:r w:rsidRPr="00D219BC">
              <w:t xml:space="preserve">, </w:t>
            </w:r>
            <w:r w:rsidRPr="00D219BC">
              <w:t xml:space="preserve">peaksid pädevad asutused andma üldise hinnangu kõikidele asjakohastele faktidele. Selleks et pädevatel asutustel oleks seda hõlpsam teha, </w:t>
            </w:r>
            <w:r w:rsidRPr="00D219BC">
              <w:rPr>
                <w:b/>
                <w:i/>
              </w:rPr>
              <w:t>sätestatakse käesolevas direktiivis mitmesugused faktilised ja kaudsed elemendid</w:t>
            </w:r>
            <w:r w:rsidRPr="00D219BC">
              <w:t xml:space="preserve">, mis </w:t>
            </w:r>
            <w:r w:rsidRPr="00D219BC">
              <w:rPr>
                <w:b/>
                <w:i/>
              </w:rPr>
              <w:t>peaksid olema asjakohased prakti</w:t>
            </w:r>
            <w:r w:rsidRPr="00D219BC">
              <w:rPr>
                <w:b/>
                <w:i/>
              </w:rPr>
              <w:t>ka kuritahtliku kasutamise tavade kindlakstegemiseks</w:t>
            </w:r>
            <w:r w:rsidRPr="00D219BC">
              <w:t>. Neid asjaolusid tuleks hinnata igal üksikjuhul eraldi, võttes nõuetekohaselt arvesse iga konkreetse juhtumi asjaolusid.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41</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27</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(27)</w:t>
            </w:r>
            <w:r w:rsidRPr="00D219BC">
              <w:rPr>
                <w:b/>
                <w:i/>
              </w:rPr>
              <w:tab/>
              <w:t xml:space="preserve">Asjaolu, et praktikakoha puhul nõutakse asjaomases või sellega samaväärses tegevusvaldkonnas varasemat töökogemust, </w:t>
            </w:r>
            <w:r w:rsidRPr="00D219BC">
              <w:rPr>
                <w:b/>
                <w:i/>
              </w:rPr>
              <w:t>ei pruugi tähendada, et tegemist on praktikana esitatud tavapärasele töösuhtega, kui tööandja esitab asjakohase põhjenduse, näiteks varasem töökogemus on alternatiiv teatavas valdkonnas omandatud oskusi või kvalifikatsiooni tõendavale dokumendile.</w:t>
            </w:r>
          </w:p>
        </w:tc>
        <w:tc>
          <w:tcPr>
            <w:tcW w:w="4876" w:type="dxa"/>
          </w:tcPr>
          <w:p w:rsidR="000A359B" w:rsidRPr="00D219BC" w:rsidRDefault="001D653E" w:rsidP="00F14438">
            <w:pPr>
              <w:pStyle w:val="Normal6"/>
              <w:rPr>
                <w:szCs w:val="24"/>
              </w:rPr>
            </w:pPr>
            <w:r w:rsidRPr="00D219BC">
              <w:rPr>
                <w:b/>
                <w:i/>
              </w:rPr>
              <w:t>välja jä</w:t>
            </w:r>
            <w:r w:rsidRPr="00D219BC">
              <w:rPr>
                <w:b/>
                <w:i/>
              </w:rPr>
              <w:t>etud</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42</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28</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(28)</w:t>
            </w:r>
            <w:r w:rsidRPr="00D219BC">
              <w:tab/>
            </w:r>
            <w:r w:rsidRPr="00D219BC">
              <w:t xml:space="preserve">Kui pädevad asutused analüüsivad asjakohaseid fakte, et teha kindlaks </w:t>
            </w:r>
            <w:r w:rsidRPr="00D219BC">
              <w:rPr>
                <w:b/>
                <w:i/>
              </w:rPr>
              <w:t>praktikana esitatud tavapärase töösuhte</w:t>
            </w:r>
            <w:r w:rsidRPr="00D219BC">
              <w:t xml:space="preserve"> olemasolu, ei pruugi selle analüüsi tegemiseks vajalik teave olla neile alati kergesti kättesaadav. Selleks et pädevad asutused saaksid oma ülesan</w:t>
            </w:r>
            <w:r w:rsidRPr="00D219BC">
              <w:t>deid täita, peaksid tööandjad olema kohustatud andma nende käsutuses olevat vajalikku teavet</w:t>
            </w:r>
            <w:r w:rsidRPr="00D219BC">
              <w:rPr>
                <w:b/>
                <w:i/>
              </w:rPr>
              <w:t>, kui pädev asutus seda nõuab</w:t>
            </w:r>
            <w:r w:rsidRPr="00D219BC">
              <w:t>.</w:t>
            </w:r>
          </w:p>
        </w:tc>
        <w:tc>
          <w:tcPr>
            <w:tcW w:w="4876" w:type="dxa"/>
          </w:tcPr>
          <w:p w:rsidR="000A359B" w:rsidRPr="00D219BC" w:rsidRDefault="001D653E" w:rsidP="00F14438">
            <w:pPr>
              <w:pStyle w:val="Normal6"/>
              <w:rPr>
                <w:szCs w:val="24"/>
              </w:rPr>
            </w:pPr>
            <w:r w:rsidRPr="00D219BC">
              <w:t>(28)</w:t>
            </w:r>
            <w:r w:rsidRPr="00D219BC">
              <w:tab/>
              <w:t xml:space="preserve">Kui pädevad asutused analüüsivad asjakohaseid fakte, et teha kindlaks </w:t>
            </w:r>
            <w:r w:rsidRPr="00D219BC">
              <w:rPr>
                <w:b/>
                <w:i/>
              </w:rPr>
              <w:t>praktika kuritahtliku kasutamise tavade</w:t>
            </w:r>
            <w:r w:rsidRPr="00D219BC">
              <w:t xml:space="preserve"> olemasolu, ei pruu</w:t>
            </w:r>
            <w:r w:rsidRPr="00D219BC">
              <w:t>gi selle analüüsi tegemiseks vajalik teave olla neile alati kergesti kättesaadav. Selleks et pädevad asutused saaksid oma ülesandeid täita, peaksid tööandjad olema kohustatud andma nende käsutuses olevat vajalikku teavet</w:t>
            </w:r>
            <w:r w:rsidRPr="00D219BC">
              <w:rPr>
                <w:b/>
                <w:i/>
              </w:rPr>
              <w:t xml:space="preserve"> pädevatele asutustele</w:t>
            </w:r>
            <w:r w:rsidRPr="00D219BC">
              <w: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43</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29</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(29)</w:t>
            </w:r>
            <w:r w:rsidRPr="00D219BC">
              <w:tab/>
            </w:r>
            <w:r w:rsidRPr="00D219BC">
              <w:t xml:space="preserve">Liikmesriigid peaksid kehtestama asjakohased meetmed, et hõlbustada </w:t>
            </w:r>
            <w:r w:rsidRPr="00D219BC">
              <w:rPr>
                <w:b/>
                <w:i/>
              </w:rPr>
              <w:t xml:space="preserve">selle hindamist, kas väidetav </w:t>
            </w:r>
            <w:r w:rsidRPr="00D219BC">
              <w:t xml:space="preserve">praktika </w:t>
            </w:r>
            <w:r w:rsidRPr="00D219BC">
              <w:rPr>
                <w:b/>
                <w:i/>
              </w:rPr>
              <w:t>kujutab endast ka tegelikult praktikat</w:t>
            </w:r>
            <w:r w:rsidRPr="00D219BC">
              <w:t>. Nende hulka peaks kuuluma ajaline piirang, mille ületamine näitab, et tegemist on ülemäära pika ja korduva pr</w:t>
            </w:r>
            <w:r w:rsidRPr="00D219BC">
              <w:t xml:space="preserve">aktikaga, sealhulgas mitme järjestikuse praktikaga sama tööandja juures. Praktika mõistlik maksimaalne kestus ei tohiks põhimõtteliselt ületada kuut kuud, nagu on sätestatud 2014. aasta soovituses. Liikmesriigid võivad siiski ette näha pikema kestuse, kui </w:t>
            </w:r>
            <w:r w:rsidRPr="00D219BC">
              <w:t xml:space="preserve">selleks on objektiivsed põhjused. Selliste erandite hulka võib kuuluda näiteks praktika, mille läbimine on mõne konkreetse kutsealaga tegelemiseks </w:t>
            </w:r>
            <w:r w:rsidRPr="00D219BC">
              <w:lastRenderedPageBreak/>
              <w:t>kohustuslik, kuna vajalike teadmiste, pädevuste ja kogemuste omandamine nõuab pikemat praktikaaega. Pikaajali</w:t>
            </w:r>
            <w:r w:rsidRPr="00D219BC">
              <w:t>ne praktika võib olla põhjendatud ka juhul, kui see moodustab osa aktiivsest tööturupoliitikast, mille eesmärk on haavatavas olukorras olevate isikute integreerimine. Mõnel juhul võib pikema kestusega olla ka formaalhariduse või kutsehariduse ja -koolituse</w:t>
            </w:r>
            <w:r w:rsidRPr="00D219BC">
              <w:t xml:space="preserve"> õppekavadesse kuuluv praktika, kui õppekava seda nõuab.</w:t>
            </w:r>
          </w:p>
        </w:tc>
        <w:tc>
          <w:tcPr>
            <w:tcW w:w="4876" w:type="dxa"/>
          </w:tcPr>
          <w:p w:rsidR="000A359B" w:rsidRPr="00D219BC" w:rsidRDefault="001D653E" w:rsidP="00F14438">
            <w:pPr>
              <w:pStyle w:val="Normal6"/>
              <w:rPr>
                <w:szCs w:val="24"/>
              </w:rPr>
            </w:pPr>
            <w:r w:rsidRPr="00D219BC">
              <w:lastRenderedPageBreak/>
              <w:t>(29)</w:t>
            </w:r>
            <w:r w:rsidRPr="00D219BC">
              <w:tab/>
              <w:t xml:space="preserve">Liikmesriigid peaksid kehtestama asjakohased meetmed, et hõlbustada praktika </w:t>
            </w:r>
            <w:r w:rsidRPr="00D219BC">
              <w:rPr>
                <w:b/>
                <w:i/>
              </w:rPr>
              <w:t>kuritahtliku kasutamise tavade väljaselgitamist</w:t>
            </w:r>
            <w:r w:rsidRPr="00D219BC">
              <w:t>. Nende hulka peaks kuuluma ajaline piirang, mille ületamine näitab, e</w:t>
            </w:r>
            <w:r w:rsidRPr="00D219BC">
              <w:t>t tegemist on ülemäära pika ja korduva praktikaga, sealhulgas mitme järjestikuse praktikaga sama tööandja juures. Praktika mõistlik maksimaalne kestus ei tohiks põhimõtteliselt ületada kuut kuud, nagu on sätestatud 2014. aasta soovituses. Liikmesriigid või</w:t>
            </w:r>
            <w:r w:rsidRPr="00D219BC">
              <w:t>vad siiski ette näha pikema kestuse, kui selleks on objektiivsed põhjused</w:t>
            </w:r>
            <w:r w:rsidRPr="00D219BC">
              <w:rPr>
                <w:b/>
                <w:i/>
              </w:rPr>
              <w:t>, mis toetavad praktika eesmärki</w:t>
            </w:r>
            <w:r w:rsidRPr="00D219BC">
              <w:t xml:space="preserve">. Selliste erandite hulka võib kuuluda näiteks praktika, mille läbimine on mõne konkreetse kutsealaga </w:t>
            </w:r>
            <w:r w:rsidRPr="00D219BC">
              <w:lastRenderedPageBreak/>
              <w:t>tegelemiseks kohustuslik, kuna vajalike teadmiste</w:t>
            </w:r>
            <w:r w:rsidRPr="00D219BC">
              <w:t>, pädevuste ja kogemuste omandamine nõuab pikemat praktikaaega. Pikaajaline praktika võib olla põhjendatud ka juhul, kui see moodustab osa aktiivsest tööturupoliitikast, mille eesmärk on haavatavas olukorras olevate isikute integreerimine. Mõnel juhul võib</w:t>
            </w:r>
            <w:r w:rsidRPr="00D219BC">
              <w:t xml:space="preserve"> pikema kestusega olla ka formaalhariduse või kutsehariduse ja -koolituse õppekavadesse kuuluv praktika, kui õppekava seda nõuab.</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44</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 xml:space="preserve">Ettepanek võtta vastu </w:t>
      </w:r>
      <w:r w:rsidRPr="00D219BC">
        <w:t>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30</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(30)</w:t>
            </w:r>
            <w:r w:rsidRPr="00D219BC">
              <w:tab/>
              <w:t xml:space="preserve">Selleks et täita oma kohustust lisada </w:t>
            </w:r>
            <w:r w:rsidRPr="00D219BC">
              <w:rPr>
                <w:b/>
                <w:i/>
              </w:rPr>
              <w:t xml:space="preserve">praktikakoha </w:t>
            </w:r>
            <w:r w:rsidRPr="00D219BC">
              <w:t xml:space="preserve">kuulutustele ja reklaamidele teave eeldatavate ülesannete, töötingimuste, sealhulgas töötasu, sotsiaalkaitse ning </w:t>
            </w:r>
            <w:r w:rsidRPr="00D219BC">
              <w:rPr>
                <w:b/>
                <w:i/>
              </w:rPr>
              <w:t>õppe- ja koolituselementide kohta</w:t>
            </w:r>
            <w:r w:rsidRPr="00D219BC">
              <w:t>, võiksid tööandjad lisada lingi asjaomast teavet sisaldavale veebisaidile.</w:t>
            </w:r>
          </w:p>
        </w:tc>
        <w:tc>
          <w:tcPr>
            <w:tcW w:w="4876" w:type="dxa"/>
          </w:tcPr>
          <w:p w:rsidR="000A359B" w:rsidRPr="00D219BC" w:rsidRDefault="001D653E" w:rsidP="00F14438">
            <w:pPr>
              <w:pStyle w:val="Normal6"/>
              <w:rPr>
                <w:szCs w:val="24"/>
              </w:rPr>
            </w:pPr>
            <w:r w:rsidRPr="00D219BC">
              <w:t>(30)</w:t>
            </w:r>
            <w:r w:rsidRPr="00D219BC">
              <w:tab/>
              <w:t xml:space="preserve">Selleks et täita oma </w:t>
            </w:r>
            <w:r w:rsidRPr="00D219BC">
              <w:t>kohustust lisada kuulutustele ja reklaamidele teave eeldatavate ülesannete, töötingimuste, sealhulgas töötasu, sotsiaalkaitse</w:t>
            </w:r>
            <w:r w:rsidRPr="00D219BC">
              <w:rPr>
                <w:b/>
                <w:i/>
              </w:rPr>
              <w:t>, koolituselementide</w:t>
            </w:r>
            <w:r w:rsidRPr="00D219BC">
              <w:t xml:space="preserve"> ning </w:t>
            </w:r>
            <w:r w:rsidRPr="00D219BC">
              <w:rPr>
                <w:b/>
                <w:i/>
              </w:rPr>
              <w:t>selle kohta, millised on tööle saamise võimalused pärast praktika lõppu</w:t>
            </w:r>
            <w:r w:rsidRPr="00D219BC">
              <w:t>, võiksid tööandjad lisada lingi a</w:t>
            </w:r>
            <w:r w:rsidRPr="00D219BC">
              <w:t>sjaomast teavet sisaldavale veebisaidile.</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45</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31</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(31)</w:t>
            </w:r>
            <w:r w:rsidRPr="00D219BC">
              <w:rPr>
                <w:b/>
                <w:i/>
              </w:rPr>
              <w:tab/>
              <w:t>Liikmesriigid peaksid täielikult rakendama nii käesoleva direktiivi sätted kui ka liidu õigustikus sätestatud õigused, mida kohaldatakse töösuhte sõlminud praktikantide suhtes, ja tagama nende täitmise.</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w:t>
      </w:r>
      <w:r w:rsidRPr="00D219BC">
        <w:rPr>
          <w:rStyle w:val="HideTWBExt"/>
        </w:rPr>
        <w: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46</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32</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(32)</w:t>
            </w:r>
            <w:r w:rsidRPr="00D219BC">
              <w:tab/>
              <w:t xml:space="preserve">Hiljutistes õigusaktides, näiteks direktiivis (EL) 2019/1152 ja </w:t>
            </w:r>
            <w:r w:rsidRPr="00D219BC">
              <w:t>direktiivis (EL) 2023/970,</w:t>
            </w:r>
            <w:r w:rsidRPr="00D219BC">
              <w:rPr>
                <w:b/>
                <w:i/>
                <w:vertAlign w:val="superscript"/>
              </w:rPr>
              <w:t>21</w:t>
            </w:r>
            <w:r w:rsidRPr="00D219BC">
              <w:t xml:space="preserve"> on välja töötatud ulatuslik liidu sotsiaalse õigustiku täitmise tagamise sätete süsteem. Need sätted tuleks lisada käesolevasse direktiivi, aidates nii tagada praktikantidele käesoleva direktiivi ja </w:t>
            </w:r>
            <w:r w:rsidRPr="00D219BC">
              <w:rPr>
                <w:b/>
                <w:i/>
              </w:rPr>
              <w:t>töötajate suhtes kohaldatava</w:t>
            </w:r>
            <w:r w:rsidRPr="00D219BC">
              <w:rPr>
                <w:b/>
                <w:i/>
              </w:rPr>
              <w:t xml:space="preserve">te </w:t>
            </w:r>
            <w:r w:rsidRPr="00D219BC">
              <w:t>muude liidu õigusaktide alusel antud õiguste tõhusa täitmise ja kaitse.</w:t>
            </w:r>
          </w:p>
        </w:tc>
        <w:tc>
          <w:tcPr>
            <w:tcW w:w="4876" w:type="dxa"/>
          </w:tcPr>
          <w:p w:rsidR="000A359B" w:rsidRPr="00D219BC" w:rsidRDefault="001D653E" w:rsidP="00F14438">
            <w:pPr>
              <w:pStyle w:val="Normal6"/>
              <w:rPr>
                <w:szCs w:val="24"/>
              </w:rPr>
            </w:pPr>
            <w:r w:rsidRPr="00D219BC">
              <w:t>(32)</w:t>
            </w:r>
            <w:r w:rsidRPr="00D219BC">
              <w:tab/>
              <w:t>Hiljutistes õigusaktides, näiteks direktiivis (EL) 2019/1152 ja direktiivis (EL) 2023/970, on välja töötatud ulatuslik liidu sotsiaalse õigustiku täitmise tagamise sätete süste</w:t>
            </w:r>
            <w:r w:rsidRPr="00D219BC">
              <w:t>em. Need sätted tuleks lisada käesolevasse direktiivi, aidates nii tagada praktikantidele käesoleva direktiivi ja muude liidu õigusaktide alusel antud õiguste tõhusa täitmise ja kaitse.</w:t>
            </w:r>
            <w:r w:rsidRPr="00D219BC">
              <w:rPr>
                <w:b/>
                <w:i/>
              </w:rPr>
              <w:t xml:space="preserve"> </w:t>
            </w:r>
          </w:p>
        </w:tc>
      </w:tr>
      <w:tr w:rsidR="00447288" w:rsidRPr="00D219BC" w:rsidTr="00F14438">
        <w:trPr>
          <w:jc w:val="center"/>
        </w:trPr>
        <w:tc>
          <w:tcPr>
            <w:tcW w:w="4876" w:type="dxa"/>
          </w:tcPr>
          <w:p w:rsidR="000A359B" w:rsidRPr="00D219BC" w:rsidRDefault="001D653E" w:rsidP="00F14438">
            <w:pPr>
              <w:pStyle w:val="Normal6"/>
            </w:pPr>
            <w:r w:rsidRPr="00D219BC">
              <w:t>__________________</w:t>
            </w:r>
          </w:p>
        </w:tc>
        <w:tc>
          <w:tcPr>
            <w:tcW w:w="4876" w:type="dxa"/>
          </w:tcPr>
          <w:p w:rsidR="000A359B" w:rsidRPr="00D219BC" w:rsidRDefault="001D653E" w:rsidP="00F14438">
            <w:pPr>
              <w:pStyle w:val="Normal6"/>
              <w:rPr>
                <w:szCs w:val="24"/>
              </w:rPr>
            </w:pPr>
            <w:r w:rsidRPr="00D219BC">
              <w:t>__________________</w:t>
            </w:r>
          </w:p>
        </w:tc>
      </w:tr>
      <w:tr w:rsidR="00447288" w:rsidRPr="00D219BC" w:rsidTr="00F14438">
        <w:trPr>
          <w:jc w:val="center"/>
        </w:trPr>
        <w:tc>
          <w:tcPr>
            <w:tcW w:w="4876" w:type="dxa"/>
          </w:tcPr>
          <w:p w:rsidR="000A359B" w:rsidRPr="00D219BC" w:rsidRDefault="001D653E" w:rsidP="00F14438">
            <w:pPr>
              <w:pStyle w:val="Normal6"/>
            </w:pPr>
            <w:r w:rsidRPr="00D219BC">
              <w:rPr>
                <w:vertAlign w:val="superscript"/>
              </w:rPr>
              <w:t>21</w:t>
            </w:r>
            <w:r w:rsidRPr="00D219BC">
              <w:t xml:space="preserve"> Euroopa Parlamendi ja nõuk</w:t>
            </w:r>
            <w:r w:rsidRPr="00D219BC">
              <w:t>ogu 10. mai 2023. aasta direktiiv (EL) 2023/970, millega tasustamise läbipaistvuse ja õiguskaitsemehhanismide kaudu tugevdatakse meeste ja naiste võrdse või võrdväärse töö eest võrdse tasu maksmise põhimõtte kohaldamist (ELT L 132, 17.5.2023, lk 21).</w:t>
            </w:r>
          </w:p>
        </w:tc>
        <w:tc>
          <w:tcPr>
            <w:tcW w:w="4876" w:type="dxa"/>
          </w:tcPr>
          <w:p w:rsidR="000A359B" w:rsidRPr="00D219BC" w:rsidRDefault="001D653E" w:rsidP="00C511EF">
            <w:pPr>
              <w:pStyle w:val="Normal6"/>
              <w:rPr>
                <w:szCs w:val="24"/>
              </w:rPr>
            </w:pPr>
            <w:r w:rsidRPr="00D219BC">
              <w:rPr>
                <w:vertAlign w:val="superscript"/>
              </w:rPr>
              <w:t>21</w:t>
            </w:r>
            <w:r w:rsidRPr="00D219BC">
              <w:t xml:space="preserve"> Eu</w:t>
            </w:r>
            <w:r w:rsidRPr="00D219BC">
              <w:t xml:space="preserve">roopa Parlamendi ja nõukogu 10. mai 2023. aasta direktiiv (EL) 2023/970, millega tasustamise läbipaistvuse ja õiguskaitsemehhanismide kaudu tugevdatakse meeste ja naiste võrdse või võrdväärse töö eest võrdse tasu maksmise põhimõtte kohaldamist (ELT L 132, </w:t>
            </w:r>
            <w:r w:rsidRPr="00D219BC">
              <w:t>17.5.2023, lk 21).</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47</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33</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(33)</w:t>
            </w:r>
            <w:r w:rsidRPr="00D219BC">
              <w:tab/>
              <w:t>Praktikantidel peaks</w:t>
            </w:r>
            <w:r w:rsidRPr="00D219BC">
              <w:t xml:space="preserve"> olema juurdepääs tõhusale ja erapooletule vaidluste lahendamisele ning õigus õiguskaitsele, sealhulgas piisavale hüvitisele. Praktikante tuleks õiguskaitsemehhanismidest teavitada, et nad saaksid kasutada oma õigust õiguskaitsele. Arvestades, kui oluline </w:t>
            </w:r>
            <w:r w:rsidRPr="00D219BC">
              <w:t xml:space="preserve">on </w:t>
            </w:r>
            <w:r w:rsidRPr="00D219BC">
              <w:lastRenderedPageBreak/>
              <w:t>õigus tõhusale õiguskaitsele, peaksid praktikandid saama sellist kaitset ka pärast seda, kui praktika, mille ajal on väidetavalt rikutud käesolevast direktiivist tulenevaid õigusi ja muid asjakohaseid liidu õigusakte, on lõppenud.</w:t>
            </w:r>
          </w:p>
        </w:tc>
        <w:tc>
          <w:tcPr>
            <w:tcW w:w="4876" w:type="dxa"/>
          </w:tcPr>
          <w:p w:rsidR="000A359B" w:rsidRPr="00D219BC" w:rsidRDefault="001D653E" w:rsidP="00F14438">
            <w:pPr>
              <w:pStyle w:val="Normal6"/>
              <w:rPr>
                <w:szCs w:val="24"/>
              </w:rPr>
            </w:pPr>
            <w:r w:rsidRPr="00D219BC">
              <w:lastRenderedPageBreak/>
              <w:t>(33)</w:t>
            </w:r>
            <w:r w:rsidRPr="00D219BC">
              <w:tab/>
              <w:t>Praktikantidel pe</w:t>
            </w:r>
            <w:r w:rsidRPr="00D219BC">
              <w:t>aks olema juurdepääs tõhusale ja erapooletule vaidluste lahendamisele ning õigus õiguskaitsele, sealhulgas piisavale hüvitisele. Praktikante tuleks õiguskaitsemehhanismidest teavitada, et nad saaksid kasutada oma õigust õiguskaitsele. Arvestades, kui oluli</w:t>
            </w:r>
            <w:r w:rsidRPr="00D219BC">
              <w:t xml:space="preserve">ne on </w:t>
            </w:r>
            <w:r w:rsidRPr="00D219BC">
              <w:lastRenderedPageBreak/>
              <w:t>õigus tõhusale õiguskaitsele, peaksid praktikandid saama sellist kaitset ka pärast seda, kui praktika, mille ajal on väidetavalt rikutud käesolevast direktiivist tulenevaid õigusi ja muid asjakohaseid liidu õigusakte, on lõppenud.</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48</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34</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(34)</w:t>
            </w:r>
            <w:r w:rsidRPr="00D219BC">
              <w:tab/>
            </w:r>
            <w:r w:rsidRPr="00D219BC">
              <w:t xml:space="preserve">Praktikantide tõhusamaks kaitsmiseks peaks töötajate esindajatel olema võimalik osaleda kas ühe või mitme praktikandi nimel või tema/nende toetuseks menetlustes, et tagada kõikide käesolevast direktiivist või </w:t>
            </w:r>
            <w:r w:rsidRPr="00D219BC">
              <w:rPr>
                <w:b/>
                <w:i/>
              </w:rPr>
              <w:t xml:space="preserve">töötajate suhtes kohaldatavatest </w:t>
            </w:r>
            <w:r w:rsidRPr="00D219BC">
              <w:t xml:space="preserve">muudest liidu </w:t>
            </w:r>
            <w:r w:rsidRPr="00D219BC">
              <w:t>õigusaktidest tulenevate õiguste ja kohustuste täitmine.</w:t>
            </w:r>
          </w:p>
        </w:tc>
        <w:tc>
          <w:tcPr>
            <w:tcW w:w="4876" w:type="dxa"/>
          </w:tcPr>
          <w:p w:rsidR="000A359B" w:rsidRPr="00D219BC" w:rsidRDefault="001D653E" w:rsidP="00F14438">
            <w:pPr>
              <w:pStyle w:val="Normal6"/>
              <w:rPr>
                <w:szCs w:val="24"/>
              </w:rPr>
            </w:pPr>
            <w:r w:rsidRPr="00D219BC">
              <w:t>(34)</w:t>
            </w:r>
            <w:r w:rsidRPr="00D219BC">
              <w:tab/>
              <w:t>Praktikantide tõhusamaks kaitsmiseks peaks töötajate esindajatel olema võimalik osaleda kas ühe või mitme praktikandi nimel või tema/nende toetuseks menetlustes, et tagada kõikide käesolevast di</w:t>
            </w:r>
            <w:r w:rsidRPr="00D219BC">
              <w:t>rektiivist või muudest liidu õigusaktidest tulenevate õiguste ja kohustuste täitmine.</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49</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35</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(35)</w:t>
            </w:r>
            <w:r w:rsidRPr="00D219BC">
              <w:tab/>
              <w:t xml:space="preserve">Praktikantidele tuleks tagada piisav kohtu- ja halduskaitse halva kohtlemise </w:t>
            </w:r>
            <w:r w:rsidRPr="00D219BC">
              <w:rPr>
                <w:b/>
                <w:i/>
              </w:rPr>
              <w:t>ja</w:t>
            </w:r>
            <w:r w:rsidRPr="00D219BC">
              <w:t xml:space="preserve"> ebasoodsate tagajärgede eest, mis tulenevad </w:t>
            </w:r>
            <w:r w:rsidRPr="00D219BC">
              <w:rPr>
                <w:b/>
                <w:i/>
              </w:rPr>
              <w:t>tööandjale</w:t>
            </w:r>
            <w:r w:rsidRPr="00D219BC">
              <w:t xml:space="preserve"> esitatud kaebusest või tema suhtes algatatud menetlusest, mille eesmärk on</w:t>
            </w:r>
            <w:r w:rsidRPr="00D219BC">
              <w:t xml:space="preserve"> tagada käesolevas direktiivis või </w:t>
            </w:r>
            <w:r w:rsidRPr="00D219BC">
              <w:rPr>
                <w:b/>
                <w:i/>
              </w:rPr>
              <w:t xml:space="preserve">töötajate suhtes kohaldatavates </w:t>
            </w:r>
            <w:r w:rsidRPr="00D219BC">
              <w:t xml:space="preserve">muudes liidu õigusaktides sätestatud õiguste täitmine. Eelkõige tuleks praktikante kaitsta vallandamise või sellega samaväärse meetme eest ning vallandamise </w:t>
            </w:r>
            <w:r w:rsidRPr="00D219BC">
              <w:lastRenderedPageBreak/>
              <w:t>või sellega samaväärsete meetmet</w:t>
            </w:r>
            <w:r w:rsidRPr="00D219BC">
              <w:t>e kohaldamise ettevalmistamise eest põhjusel, et praktikant on kasutanud käesoleva direktiiviga või töötajate suhtes kohaldatavate muude liidu õigusaktidega ette nähtud õigusi.</w:t>
            </w:r>
          </w:p>
        </w:tc>
        <w:tc>
          <w:tcPr>
            <w:tcW w:w="4876" w:type="dxa"/>
          </w:tcPr>
          <w:p w:rsidR="000A359B" w:rsidRPr="00D219BC" w:rsidRDefault="001D653E" w:rsidP="00F14438">
            <w:pPr>
              <w:pStyle w:val="Normal6"/>
              <w:rPr>
                <w:szCs w:val="24"/>
              </w:rPr>
            </w:pPr>
            <w:r w:rsidRPr="00D219BC">
              <w:lastRenderedPageBreak/>
              <w:t>(35)</w:t>
            </w:r>
            <w:r w:rsidRPr="00D219BC">
              <w:tab/>
              <w:t>Praktikantidele tuleks tagada piisav kohtu- ja halduskaitse halva kohtlemi</w:t>
            </w:r>
            <w:r w:rsidRPr="00D219BC">
              <w:t xml:space="preserve">se </w:t>
            </w:r>
            <w:r w:rsidRPr="00D219BC">
              <w:rPr>
                <w:b/>
                <w:i/>
              </w:rPr>
              <w:t>või</w:t>
            </w:r>
            <w:r w:rsidRPr="00D219BC">
              <w:t xml:space="preserve"> ebasoodsate tagajärgede eest, mis tulenevad </w:t>
            </w:r>
            <w:r w:rsidRPr="00D219BC">
              <w:rPr>
                <w:b/>
                <w:i/>
              </w:rPr>
              <w:t>praktika pakkujale</w:t>
            </w:r>
            <w:r w:rsidRPr="00D219BC">
              <w:t xml:space="preserve"> esitatud kaebusest või tema suhtes algatatud menetlusest, mille eesmärk on tagada käesolevas direktiivis või muudes liidu õigusaktides sätestatud õiguste täitmine. Eelkõige tuleks prakti</w:t>
            </w:r>
            <w:r w:rsidRPr="00D219BC">
              <w:t>kante kaitsta vallandamise või sellega samaväärse meetme</w:t>
            </w:r>
            <w:r w:rsidRPr="00D219BC">
              <w:rPr>
                <w:b/>
                <w:i/>
              </w:rPr>
              <w:t xml:space="preserve">, näiteks töökoha pakkumisest </w:t>
            </w:r>
            <w:r w:rsidRPr="00D219BC">
              <w:rPr>
                <w:b/>
                <w:i/>
              </w:rPr>
              <w:lastRenderedPageBreak/>
              <w:t>keeldumise</w:t>
            </w:r>
            <w:r w:rsidRPr="00D219BC">
              <w:t xml:space="preserve"> eest</w:t>
            </w:r>
            <w:r w:rsidRPr="00D219BC">
              <w:rPr>
                <w:b/>
                <w:i/>
              </w:rPr>
              <w:t xml:space="preserve"> praktika pakkuja juures,</w:t>
            </w:r>
            <w:r w:rsidRPr="00D219BC">
              <w:t xml:space="preserve"> ning vallandamise või sellega samaväärsete meetmete kohaldamise ettevalmistamise eest põhjusel, et praktikant on kasutanud käesol</w:t>
            </w:r>
            <w:r w:rsidRPr="00D219BC">
              <w:t>eva direktiiviga või töötajate suhtes kohaldatavate muude liidu õigusaktidega ette nähtud õigusi.</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50</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 xml:space="preserve">Põhjendus </w:t>
      </w:r>
      <w:r w:rsidRPr="00D219BC">
        <w:t>38</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(38)</w:t>
            </w:r>
            <w:r w:rsidRPr="00D219BC">
              <w:tab/>
              <w:t xml:space="preserve">Kuna käesoleva direktiivi eesmärki, nimelt tagada praktikantide töötingimuste täitmine ning võidelda </w:t>
            </w:r>
            <w:r w:rsidRPr="00D219BC">
              <w:rPr>
                <w:b/>
                <w:i/>
              </w:rPr>
              <w:t>olukorraga, kus tavapäraseid töösuhteid esitatakse praktikana</w:t>
            </w:r>
            <w:r w:rsidRPr="00D219BC">
              <w:t xml:space="preserve">, ei suuda liikmesriigid piisavalt </w:t>
            </w:r>
            <w:r w:rsidRPr="00D219BC">
              <w:t>saavutada, küll aga saab seda ulatuse ja toime tõttu paremini saavutada liidu tasandil, võib liit võtta meetmeid kooskõlas ELi lepingu artiklis 5 sätestatud subsidiaarsuse põhimõttega. Kõnealuses artiklis sätestatud proportsionaalsuse põhimõtte kohaselt ei</w:t>
            </w:r>
            <w:r w:rsidRPr="00D219BC">
              <w:t xml:space="preserve"> lähe käesolev direktiiv nimetatud eesmärkide saavutamiseks vajalikust kaugemale.</w:t>
            </w:r>
          </w:p>
        </w:tc>
        <w:tc>
          <w:tcPr>
            <w:tcW w:w="4876" w:type="dxa"/>
          </w:tcPr>
          <w:p w:rsidR="000A359B" w:rsidRPr="00D219BC" w:rsidRDefault="001D653E" w:rsidP="00F14438">
            <w:pPr>
              <w:pStyle w:val="Normal6"/>
              <w:rPr>
                <w:szCs w:val="24"/>
              </w:rPr>
            </w:pPr>
            <w:r w:rsidRPr="00D219BC">
              <w:t>(38)</w:t>
            </w:r>
            <w:r w:rsidRPr="00D219BC">
              <w:tab/>
              <w:t xml:space="preserve">Kuna käesoleva direktiivi eesmärki, nimelt </w:t>
            </w:r>
            <w:r w:rsidRPr="00D219BC">
              <w:rPr>
                <w:b/>
                <w:i/>
              </w:rPr>
              <w:t xml:space="preserve">kehtestada praktika ühine määratlus, </w:t>
            </w:r>
            <w:r w:rsidRPr="00D219BC">
              <w:t xml:space="preserve">tagada praktikantide töötingimuste täitmine ning võidelda </w:t>
            </w:r>
            <w:r w:rsidRPr="00D219BC">
              <w:rPr>
                <w:b/>
                <w:i/>
              </w:rPr>
              <w:t>praktika kuritahtliku kasutamis</w:t>
            </w:r>
            <w:r w:rsidRPr="00D219BC">
              <w:rPr>
                <w:b/>
                <w:i/>
              </w:rPr>
              <w:t>e tavadega</w:t>
            </w:r>
            <w:r w:rsidRPr="00D219BC">
              <w:t>, ei suuda liikmesriigid piisavalt saavutada, küll aga saab seda ulatuse ja toime tõttu paremini saavutada liidu tasandil, võib liit võtta meetmeid kooskõlas ELi lepingu artiklis 5 sätestatud subsidiaarsuse põhimõttega. Kõnealuses artiklis sätest</w:t>
            </w:r>
            <w:r w:rsidRPr="00D219BC">
              <w:t>atud proportsionaalsuse põhimõtte kohaselt ei lähe käesolev direktiiv nimetatud eesmärkide saavutamiseks vajalikust kaugemale.</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51</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Põhjendus 39 a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3F32FB">
            <w:pPr>
              <w:pStyle w:val="Normal6"/>
              <w:rPr>
                <w:szCs w:val="24"/>
              </w:rPr>
            </w:pPr>
            <w:r w:rsidRPr="00D219BC">
              <w:rPr>
                <w:b/>
                <w:i/>
              </w:rPr>
              <w:t>(39a)</w:t>
            </w:r>
            <w:r w:rsidRPr="00D219BC">
              <w:rPr>
                <w:b/>
                <w:i/>
              </w:rPr>
              <w:tab/>
              <w:t xml:space="preserve">Olulisem kui kunagi varem on püüelda võrdsete tingimustega siseturu poole, vältides sotsiaalset dumpingut ning austades sotsiaalseid ja tööalaseid õigusi. </w:t>
            </w:r>
            <w:r w:rsidRPr="00D219BC">
              <w:rPr>
                <w:b/>
                <w:i/>
              </w:rPr>
              <w:lastRenderedPageBreak/>
              <w:t>L</w:t>
            </w:r>
            <w:r w:rsidRPr="00D219BC">
              <w:rPr>
                <w:b/>
                <w:i/>
              </w:rPr>
              <w:t>iit toetab liikmesriike nende püüdlustes pidada kollektiivläbirääkimisi ning vabadust säilitada, sõlmida ja jõustada kollektiivlepinguid, kui need on parem vahend liidu seadusandlike algatuste rakendamiseks ja täiendamiseks, võttes arvesse liikmesriigi tav</w:t>
            </w:r>
            <w:r w:rsidRPr="00D219BC">
              <w:rPr>
                <w:b/>
                <w:i/>
              </w:rPr>
              <w:t>asid ja raamistikke. Sellest tingituna on äärmiselt oluline tunnistada sotsiaalpartnerite tähtsust ning nende õigust pidada kollektiivläbirääkimisi.</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52</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 xml:space="preserve">Ettepanek </w:t>
      </w:r>
      <w:r w:rsidRPr="00D219BC">
        <w:t>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1 – lõik 1</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 xml:space="preserve">Käesoleva direktiiviga </w:t>
            </w:r>
            <w:r w:rsidRPr="00D219BC">
              <w:rPr>
                <w:b/>
                <w:i/>
              </w:rPr>
              <w:t>kehtestatakse</w:t>
            </w:r>
            <w:r w:rsidRPr="00D219BC">
              <w:t xml:space="preserve"> ühine põhimõtete ja meetmete raamistik, et parandada praktikantide töötingimusi, tagada nende täitmine ning võidelda </w:t>
            </w:r>
            <w:r w:rsidRPr="00D219BC">
              <w:rPr>
                <w:b/>
                <w:i/>
              </w:rPr>
              <w:t>olukorraga, kus tavapäraseid töösuhteid esitatakse praktikana</w:t>
            </w:r>
            <w:r w:rsidRPr="00D219BC">
              <w:t>.</w:t>
            </w:r>
          </w:p>
        </w:tc>
        <w:tc>
          <w:tcPr>
            <w:tcW w:w="4876" w:type="dxa"/>
          </w:tcPr>
          <w:p w:rsidR="000A359B" w:rsidRPr="00D219BC" w:rsidRDefault="001D653E" w:rsidP="00F14438">
            <w:pPr>
              <w:pStyle w:val="Normal6"/>
              <w:rPr>
                <w:szCs w:val="24"/>
              </w:rPr>
            </w:pPr>
            <w:r w:rsidRPr="00D219BC">
              <w:t xml:space="preserve">Käesoleva direktiiviga </w:t>
            </w:r>
            <w:r w:rsidRPr="00D219BC">
              <w:rPr>
                <w:b/>
                <w:i/>
              </w:rPr>
              <w:t>sätestatakse praktika</w:t>
            </w:r>
            <w:r w:rsidRPr="00D219BC">
              <w:t xml:space="preserve"> ühine</w:t>
            </w:r>
            <w:r w:rsidRPr="00D219BC">
              <w:rPr>
                <w:b/>
                <w:i/>
              </w:rPr>
              <w:t xml:space="preserve"> määratlus ning kehtestat</w:t>
            </w:r>
            <w:r w:rsidRPr="00D219BC">
              <w:rPr>
                <w:b/>
                <w:i/>
              </w:rPr>
              <w:t>akse</w:t>
            </w:r>
            <w:r w:rsidRPr="00D219BC">
              <w:t xml:space="preserve"> põhimõtete ja meetmete raamistik, et parandada praktikantide töötingimusi, tagada nende täitmine ning võidelda </w:t>
            </w:r>
            <w:r w:rsidRPr="00D219BC">
              <w:rPr>
                <w:b/>
                <w:i/>
              </w:rPr>
              <w:t>praktika kuritahtliku kasutamise tavadega</w:t>
            </w:r>
            <w:r w:rsidRPr="00D219BC">
              <w: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53</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2 – lõik 1 – punkt a</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a)</w:t>
            </w:r>
            <w:r w:rsidRPr="00D219BC">
              <w:tab/>
              <w:t xml:space="preserve">„praktika“ – ajaliselt piiratud </w:t>
            </w:r>
            <w:r w:rsidRPr="00D219BC">
              <w:rPr>
                <w:b/>
                <w:i/>
              </w:rPr>
              <w:t>tasustatud või tasustamata tööpraktika</w:t>
            </w:r>
            <w:r w:rsidRPr="00D219BC">
              <w:t xml:space="preserve">, mis hõlmab </w:t>
            </w:r>
            <w:r w:rsidRPr="00D219BC">
              <w:rPr>
                <w:b/>
                <w:bCs/>
                <w:i/>
                <w:iCs/>
              </w:rPr>
              <w:t>olulist õppe- ja koolituskomponenti n</w:t>
            </w:r>
            <w:r w:rsidRPr="00D219BC">
              <w:rPr>
                <w:b/>
                <w:bCs/>
                <w:i/>
                <w:iCs/>
              </w:rPr>
              <w:t>ing mida rakendatakse</w:t>
            </w:r>
            <w:r w:rsidRPr="00D219BC">
              <w:t xml:space="preserve"> eesmärgiga omandada </w:t>
            </w:r>
            <w:r w:rsidRPr="00D219BC">
              <w:rPr>
                <w:b/>
                <w:bCs/>
                <w:i/>
                <w:iCs/>
              </w:rPr>
              <w:t>tööalase konkurentsivõime suurendamiseks praktilisi ja tööalaseid kogemusi</w:t>
            </w:r>
            <w:r w:rsidRPr="00D219BC">
              <w:t xml:space="preserve">, et lihtsustada üleminekut </w:t>
            </w:r>
            <w:r w:rsidRPr="00D219BC">
              <w:rPr>
                <w:b/>
                <w:bCs/>
                <w:i/>
                <w:iCs/>
              </w:rPr>
              <w:lastRenderedPageBreak/>
              <w:t>tavapärasesse töösuhtesse</w:t>
            </w:r>
            <w:r w:rsidRPr="00D219BC">
              <w:t xml:space="preserve"> või alustada tegevust konkreetsel kutsealal;</w:t>
            </w:r>
          </w:p>
        </w:tc>
        <w:tc>
          <w:tcPr>
            <w:tcW w:w="4876" w:type="dxa"/>
          </w:tcPr>
          <w:p w:rsidR="000A359B" w:rsidRPr="00D219BC" w:rsidRDefault="001D653E" w:rsidP="00F14438">
            <w:pPr>
              <w:pStyle w:val="Normal6"/>
              <w:rPr>
                <w:szCs w:val="24"/>
              </w:rPr>
            </w:pPr>
            <w:r w:rsidRPr="00D219BC">
              <w:lastRenderedPageBreak/>
              <w:t>a)</w:t>
            </w:r>
            <w:r w:rsidRPr="00D219BC">
              <w:tab/>
              <w:t>„praktika“ –</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i)</w:t>
            </w:r>
            <w:r w:rsidRPr="00D219BC">
              <w:t xml:space="preserve"> </w:t>
            </w:r>
            <w:r w:rsidRPr="00D219BC">
              <w:tab/>
              <w:t xml:space="preserve">ajaliselt piiratud </w:t>
            </w:r>
            <w:r w:rsidRPr="00D219BC">
              <w:rPr>
                <w:b/>
                <w:i/>
              </w:rPr>
              <w:t>algtaseme töö</w:t>
            </w:r>
            <w:r w:rsidRPr="00D219BC">
              <w:t xml:space="preserve">, mis hõlmab </w:t>
            </w:r>
            <w:r w:rsidRPr="00D219BC">
              <w:rPr>
                <w:b/>
                <w:bCs/>
                <w:i/>
                <w:iCs/>
              </w:rPr>
              <w:t>olulist koolitust</w:t>
            </w:r>
            <w:r w:rsidRPr="00D219BC">
              <w:t xml:space="preserve"> eesmärgiga omandada </w:t>
            </w:r>
            <w:r w:rsidRPr="00D219BC">
              <w:rPr>
                <w:b/>
                <w:bCs/>
                <w:i/>
                <w:iCs/>
              </w:rPr>
              <w:t>praktilisi ja erialaseid oskusi</w:t>
            </w:r>
            <w:r w:rsidRPr="00D219BC">
              <w:t xml:space="preserve">, et lihtsustada üleminekut </w:t>
            </w:r>
            <w:r w:rsidRPr="00D219BC">
              <w:rPr>
                <w:b/>
                <w:bCs/>
                <w:i/>
                <w:iCs/>
              </w:rPr>
              <w:t>hariduse omandamiselt stabiilsele töökohale</w:t>
            </w:r>
            <w:r w:rsidRPr="00D219BC">
              <w:t xml:space="preserve"> või alustada tegevust konkreetsel kutsealal, </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tuginedes praktikandi ja praktika pakkuja</w:t>
            </w:r>
            <w:r w:rsidRPr="00D219BC">
              <w:rPr>
                <w:b/>
                <w:i/>
              </w:rPr>
              <w:t xml:space="preserve"> vahel sõlmitud kirjalikule lepingule, </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ning mille eest makstakse tasu kooskõlas direktiiviga (EL) 2022/2041.</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54</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w:t>
      </w:r>
      <w:r w:rsidRPr="00D219BC">
        <w:rPr>
          <w:rStyle w:val="HideTWBExt"/>
          <w:b w:val="0"/>
        </w:rPr>
        <w:t>cle&gt;</w:t>
      </w:r>
      <w:r w:rsidRPr="00D219BC">
        <w:t>Artikkel 2 – lõik 1 – punkt b</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b)</w:t>
            </w:r>
            <w:r w:rsidRPr="00D219BC">
              <w:tab/>
              <w:t>„praktikant“ – praktikat tegev isik</w:t>
            </w:r>
            <w:r w:rsidRPr="00D219BC">
              <w:rPr>
                <w:b/>
                <w:i/>
              </w:rPr>
              <w:t xml:space="preserve">, kellel on tööleping või töösuhe liikmesriigis kehtivate õigusaktide, kollektiivlepingute või tavade tähenduses, võttes arvesse </w:t>
            </w:r>
            <w:r w:rsidRPr="00D219BC">
              <w:rPr>
                <w:b/>
                <w:i/>
              </w:rPr>
              <w:t>Euroopa Kohtu praktikat</w:t>
            </w:r>
            <w:r w:rsidRPr="00D219BC">
              <w:t>;</w:t>
            </w:r>
          </w:p>
        </w:tc>
        <w:tc>
          <w:tcPr>
            <w:tcW w:w="4876" w:type="dxa"/>
          </w:tcPr>
          <w:p w:rsidR="000A359B" w:rsidRPr="00D219BC" w:rsidRDefault="001D653E" w:rsidP="00032824">
            <w:pPr>
              <w:pStyle w:val="Normal6"/>
              <w:rPr>
                <w:szCs w:val="24"/>
              </w:rPr>
            </w:pPr>
            <w:r w:rsidRPr="00D219BC">
              <w:t>b)</w:t>
            </w:r>
            <w:r w:rsidRPr="00D219BC">
              <w:tab/>
              <w:t>„praktikant“ – praktikat tegev isik;</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55</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2 – lõik 1 – punkt b a (uus)</w:t>
      </w:r>
      <w:r w:rsidRPr="00D219BC">
        <w:rPr>
          <w:rStyle w:val="HideTWBExt"/>
          <w:b w:val="0"/>
        </w:rPr>
        <w:t>&lt;/Arti</w:t>
      </w:r>
      <w:r w:rsidRPr="00D219BC">
        <w:rPr>
          <w:rStyle w:val="HideTWBExt"/>
          <w:b w:val="0"/>
        </w:rPr>
        <w:t>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ba)</w:t>
            </w:r>
            <w:r w:rsidRPr="00D219BC">
              <w:rPr>
                <w:b/>
                <w:i/>
              </w:rPr>
              <w:tab/>
              <w:t>„praktika pakkuja“ – eraõiguslik või avalik-õiguslik ettevõtja või mõlemad, kes pakub praktikakohta.</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Muudatusettepanek</w:t>
      </w:r>
      <w:r w:rsidRPr="00D219BC">
        <w:tab/>
      </w:r>
      <w:r w:rsidRPr="00D219BC">
        <w:tab/>
      </w:r>
      <w:r w:rsidRPr="00D219BC">
        <w:rPr>
          <w:rStyle w:val="HideTWBExt"/>
          <w:b w:val="0"/>
        </w:rPr>
        <w:t>&lt;NumAm&gt;</w:t>
      </w:r>
      <w:r w:rsidRPr="00D219BC">
        <w:t>56</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2 – lõik 1 – punkt c</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c)</w:t>
            </w:r>
            <w:r w:rsidRPr="00D219BC">
              <w:rPr>
                <w:b/>
                <w:i/>
              </w:rPr>
              <w:tab/>
              <w:t>„tavapärane töösuhe“ – töösuhe, mis ei ole praktika;</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57</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2– lõik 1 – punkt d</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d)</w:t>
            </w:r>
            <w:r w:rsidRPr="00D219BC">
              <w:rPr>
                <w:b/>
                <w:i/>
              </w:rPr>
              <w:tab/>
              <w:t>„tavapärases töösuhtes olev töötaja“ – isik, kellel on tavapärane töösuhe.</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58</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3 – lõik 1</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 xml:space="preserve">Liikmesriigid tagavad, </w:t>
            </w:r>
            <w:r w:rsidRPr="00D219BC">
              <w:rPr>
                <w:b/>
                <w:i/>
              </w:rPr>
              <w:t>et töötingimuste, sealhulgas töötasu osas ei kohelda praktikante vähem soodsalt kui sama asutuse võrreldavaid töötajaid, kes on tavapärases töösuhtes, välja arvatud juhul, kui erinevaks kohtlemiseks on objektiivsed põhjused, nagu erinevad ülesanded, väikse</w:t>
            </w:r>
            <w:r w:rsidRPr="00D219BC">
              <w:rPr>
                <w:b/>
                <w:i/>
              </w:rPr>
              <w:t>mad kohustused ja töö intensiivsus või õppe- ja koolituskomponendi osakaal.</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Muudatusettepanek</w:t>
      </w:r>
      <w:r w:rsidRPr="00D219BC">
        <w:tab/>
      </w:r>
      <w:r w:rsidRPr="00D219BC">
        <w:tab/>
      </w:r>
      <w:r w:rsidRPr="00D219BC">
        <w:rPr>
          <w:rStyle w:val="HideTWBExt"/>
          <w:b w:val="0"/>
        </w:rPr>
        <w:t>&lt;NumAm&gt;</w:t>
      </w:r>
      <w:r w:rsidRPr="00D219BC">
        <w:t>59</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3 – lõik 1</w:t>
      </w:r>
      <w:r w:rsidRPr="00D219BC">
        <w:t xml:space="preserve"> a (uus)</w:t>
      </w:r>
      <w:r w:rsidRPr="00D219B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3F32FB">
        <w:trPr>
          <w:jc w:val="center"/>
        </w:trPr>
        <w:tc>
          <w:tcPr>
            <w:tcW w:w="9752" w:type="dxa"/>
            <w:gridSpan w:val="2"/>
          </w:tcPr>
          <w:p w:rsidR="000A359B" w:rsidRPr="00D219BC" w:rsidRDefault="000A359B" w:rsidP="00F14438">
            <w:pPr>
              <w:keepNext/>
            </w:pPr>
          </w:p>
        </w:tc>
      </w:tr>
      <w:tr w:rsidR="00447288" w:rsidRPr="00D219BC" w:rsidTr="003F32FB">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3F32FB">
        <w:trPr>
          <w:jc w:val="center"/>
        </w:trPr>
        <w:tc>
          <w:tcPr>
            <w:tcW w:w="4876" w:type="dxa"/>
          </w:tcPr>
          <w:p w:rsidR="000A359B" w:rsidRPr="00D219BC" w:rsidRDefault="000A359B" w:rsidP="00F14438">
            <w:pPr>
              <w:pStyle w:val="Normal6"/>
            </w:pPr>
          </w:p>
        </w:tc>
        <w:tc>
          <w:tcPr>
            <w:tcW w:w="4876" w:type="dxa"/>
            <w:shd w:val="clear" w:color="auto" w:fill="auto"/>
          </w:tcPr>
          <w:p w:rsidR="000A359B" w:rsidRPr="00D219BC" w:rsidRDefault="001D653E" w:rsidP="00D5351E">
            <w:pPr>
              <w:pStyle w:val="Normal6"/>
              <w:rPr>
                <w:szCs w:val="24"/>
              </w:rPr>
            </w:pPr>
            <w:r w:rsidRPr="00D219BC">
              <w:rPr>
                <w:b/>
                <w:i/>
              </w:rPr>
              <w:t xml:space="preserve">Liikmesriigid tagavad, et praktikale juurdepääsu ja töötingimuste, sealhulgas töötasu suhtes, kohaldatakse direktiivides 2000/43/EÜ, 2000/78/EÜ ja 2006/54/EÜ sätestatud mittediskrimineerimise </w:t>
            </w:r>
            <w:r w:rsidRPr="00D219BC">
              <w:rPr>
                <w:b/>
                <w:i/>
              </w:rPr>
              <w:t>põhimõtet.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60</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3 – lõik 1 a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Liikmesriigid </w:t>
            </w:r>
            <w:r w:rsidRPr="00D219BC">
              <w:rPr>
                <w:b/>
                <w:i/>
              </w:rPr>
              <w:t>edendavad haavatava taustaga praktikantide, sealhulgas puuetega praktikantide paremat juurdepääsu praktikale.</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61</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w:t>
      </w:r>
      <w:r w:rsidRPr="00D219BC">
        <w:rPr>
          <w:rStyle w:val="HideTWBExt"/>
          <w:b w:val="0"/>
        </w:rPr>
        <w:t>e&gt;</w:t>
      </w:r>
      <w:r w:rsidRPr="00D219BC">
        <w:t>Artikkel 3 – lõik 1 c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Liikmesriigid tagavad, et töökohad kohandatakse puuetega praktikantidele juurdepääsetavaks.</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Muudatusettepanek</w:t>
      </w:r>
      <w:r w:rsidRPr="00D219BC">
        <w:tab/>
      </w:r>
      <w:r w:rsidRPr="00D219BC">
        <w:tab/>
      </w:r>
      <w:r w:rsidRPr="00D219BC">
        <w:rPr>
          <w:rStyle w:val="HideTWBExt"/>
          <w:b w:val="0"/>
        </w:rPr>
        <w:t>&lt;NumAm&gt;</w:t>
      </w:r>
      <w:r w:rsidRPr="00D219BC">
        <w:t>62</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3 – lõik 2</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 xml:space="preserve">Kui samas asutuses ei ole võrreldavaid töötajaid, kes on tavapärases töösuhtes, tehakse võrdlus kehtiva </w:t>
            </w:r>
            <w:r w:rsidRPr="00D219BC">
              <w:rPr>
                <w:b/>
                <w:i/>
              </w:rPr>
              <w:t>kollektiivlepingu alusel või kollektiivlepingu puudumise korral kooskõlas siseriikliku õiguse või tavaga.</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63</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III peatükk – pealkiri</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III</w:t>
            </w:r>
            <w:r w:rsidRPr="00D219BC">
              <w:tab/>
            </w:r>
            <w:r w:rsidRPr="00D219BC">
              <w:rPr>
                <w:b/>
                <w:i/>
              </w:rPr>
              <w:t>Praktikana esitatud tavapärased töösuhted</w:t>
            </w:r>
          </w:p>
        </w:tc>
        <w:tc>
          <w:tcPr>
            <w:tcW w:w="4876" w:type="dxa"/>
          </w:tcPr>
          <w:p w:rsidR="000A359B" w:rsidRPr="00D219BC" w:rsidRDefault="001D653E" w:rsidP="00F14438">
            <w:pPr>
              <w:pStyle w:val="Normal6"/>
              <w:rPr>
                <w:szCs w:val="24"/>
              </w:rPr>
            </w:pPr>
            <w:r w:rsidRPr="00D219BC">
              <w:t>III</w:t>
            </w:r>
            <w:r w:rsidRPr="00D219BC">
              <w:tab/>
            </w:r>
            <w:r w:rsidRPr="00D219BC">
              <w:rPr>
                <w:b/>
                <w:i/>
              </w:rPr>
              <w:t>Meetmed praktika kuritahtliku kasutamise tavade vastu võitlemiseks</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64</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4 – pealkiri</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 xml:space="preserve">Meetmed </w:t>
            </w:r>
            <w:r w:rsidRPr="00D219BC">
              <w:rPr>
                <w:b/>
                <w:i/>
              </w:rPr>
              <w:t>praktikana esitatud tavapäraste töösuhete</w:t>
            </w:r>
            <w:r w:rsidRPr="00D219BC">
              <w:t xml:space="preserve"> vastu võitlemiseks</w:t>
            </w:r>
          </w:p>
        </w:tc>
        <w:tc>
          <w:tcPr>
            <w:tcW w:w="4876" w:type="dxa"/>
          </w:tcPr>
          <w:p w:rsidR="000A359B" w:rsidRPr="00D219BC" w:rsidRDefault="001D653E" w:rsidP="00674CB9">
            <w:pPr>
              <w:pStyle w:val="Normal6"/>
              <w:rPr>
                <w:szCs w:val="24"/>
              </w:rPr>
            </w:pPr>
            <w:r w:rsidRPr="00D219BC">
              <w:t xml:space="preserve">Meetmed </w:t>
            </w:r>
            <w:r w:rsidRPr="00D219BC">
              <w:rPr>
                <w:b/>
                <w:i/>
              </w:rPr>
              <w:t>kuritahtlike tavade</w:t>
            </w:r>
            <w:r w:rsidRPr="00D219BC">
              <w:t xml:space="preserve"> vastu võitlemiseks</w:t>
            </w:r>
            <w:r w:rsidRPr="00D219BC">
              <w:rPr>
                <w:b/>
                <w:i/>
              </w:rPr>
              <w:t xml:space="preserve"> </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65</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4 – lõik 1</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 xml:space="preserve">Liikmesriigid kehtestavad tõhusad kontrollid ja inspekteerimised, mida pädevad asutused teevad selleks, et välja selgitada </w:t>
            </w:r>
            <w:r w:rsidRPr="00D219BC">
              <w:rPr>
                <w:b/>
                <w:i/>
              </w:rPr>
              <w:t>juhtumid</w:t>
            </w:r>
            <w:r w:rsidRPr="00D219BC">
              <w:t xml:space="preserve">, kus </w:t>
            </w:r>
            <w:r w:rsidRPr="00D219BC">
              <w:rPr>
                <w:b/>
                <w:i/>
              </w:rPr>
              <w:t>praktikana esitatud tavapärased töösuhted vähendavad töötajate kaitsetaset</w:t>
            </w:r>
            <w:r w:rsidRPr="00D219BC">
              <w:t xml:space="preserve">, </w:t>
            </w:r>
            <w:r w:rsidRPr="00D219BC">
              <w:rPr>
                <w:b/>
                <w:i/>
              </w:rPr>
              <w:t>nii et nende töötingimus</w:t>
            </w:r>
            <w:r w:rsidRPr="00D219BC">
              <w:rPr>
                <w:b/>
                <w:i/>
              </w:rPr>
              <w:t>ed</w:t>
            </w:r>
            <w:r w:rsidRPr="00D219BC">
              <w:t xml:space="preserve"> on halvemad ja neile makstav tasu madalam </w:t>
            </w:r>
            <w:r w:rsidRPr="00D219BC">
              <w:rPr>
                <w:b/>
                <w:i/>
              </w:rPr>
              <w:t>kui need</w:t>
            </w:r>
            <w:r w:rsidRPr="00D219BC">
              <w:t xml:space="preserve">, millele </w:t>
            </w:r>
            <w:r w:rsidRPr="00D219BC">
              <w:rPr>
                <w:b/>
                <w:i/>
              </w:rPr>
              <w:t>asjaomasele töötajal</w:t>
            </w:r>
            <w:r w:rsidRPr="00D219BC">
              <w:t xml:space="preserve"> oleks liidu või siseriiklike õigusaktide, kollektiivlepingute või tavade kohaselt õigus.</w:t>
            </w:r>
          </w:p>
        </w:tc>
        <w:tc>
          <w:tcPr>
            <w:tcW w:w="4876" w:type="dxa"/>
          </w:tcPr>
          <w:p w:rsidR="000A359B" w:rsidRPr="00D219BC" w:rsidRDefault="001D653E" w:rsidP="00F14438">
            <w:pPr>
              <w:pStyle w:val="Normal6"/>
              <w:rPr>
                <w:szCs w:val="24"/>
              </w:rPr>
            </w:pPr>
            <w:r w:rsidRPr="00D219BC">
              <w:t>Liikmesriigid kehtestavad tõhusad kontrollid ja inspekteerimised, mida pädevad asut</w:t>
            </w:r>
            <w:r w:rsidRPr="00D219BC">
              <w:t xml:space="preserve">used teevad selleks, et välja selgitada </w:t>
            </w:r>
            <w:r w:rsidRPr="00D219BC">
              <w:rPr>
                <w:b/>
                <w:i/>
              </w:rPr>
              <w:t>ja võtta täitemeetmeid praktika kuritahtliku kasutamise tavade vastu</w:t>
            </w:r>
            <w:r w:rsidRPr="00D219BC">
              <w:t xml:space="preserve">, kus </w:t>
            </w:r>
            <w:r w:rsidRPr="00D219BC">
              <w:rPr>
                <w:b/>
                <w:i/>
              </w:rPr>
              <w:t>praktikat kasutatakse muul eesmärgil kui selleks</w:t>
            </w:r>
            <w:r w:rsidRPr="00D219BC">
              <w:t xml:space="preserve">, </w:t>
            </w:r>
            <w:r w:rsidRPr="00D219BC">
              <w:rPr>
                <w:b/>
                <w:i/>
              </w:rPr>
              <w:t>et hõlbustada üleminekut hariduse omandamiselt stabiilsele töökohale või tegevuse alustamist</w:t>
            </w:r>
            <w:r w:rsidRPr="00D219BC">
              <w:rPr>
                <w:b/>
                <w:i/>
              </w:rPr>
              <w:t xml:space="preserve"> konkreetsel kutsealal, ning mille puhul</w:t>
            </w:r>
            <w:r w:rsidRPr="00D219BC">
              <w:t xml:space="preserve"> on </w:t>
            </w:r>
            <w:r w:rsidRPr="00D219BC">
              <w:rPr>
                <w:b/>
                <w:i/>
              </w:rPr>
              <w:t xml:space="preserve">töötaja kaitsetase madalam, töötingimused </w:t>
            </w:r>
            <w:r w:rsidRPr="00D219BC">
              <w:t xml:space="preserve">halvemad ja neile makstav tasu madalam </w:t>
            </w:r>
            <w:r w:rsidRPr="00D219BC">
              <w:rPr>
                <w:b/>
                <w:i/>
              </w:rPr>
              <w:t>sellest</w:t>
            </w:r>
            <w:r w:rsidRPr="00D219BC">
              <w:t xml:space="preserve">, millele </w:t>
            </w:r>
            <w:r w:rsidRPr="00D219BC">
              <w:rPr>
                <w:b/>
                <w:i/>
              </w:rPr>
              <w:t>asjaomasel praktikandil</w:t>
            </w:r>
            <w:r w:rsidRPr="00D219BC">
              <w:t xml:space="preserve"> oleks liidu või siseriiklike õigusaktide, kollektiivlepingute või tavade kohaselt õigus.</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66</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pealkiri</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 xml:space="preserve">Praktikana esitatud tavapäraste </w:t>
            </w:r>
            <w:r w:rsidRPr="00D219BC">
              <w:rPr>
                <w:b/>
                <w:i/>
              </w:rPr>
              <w:t>töösuhete</w:t>
            </w:r>
            <w:r w:rsidRPr="00D219BC">
              <w:t xml:space="preserve"> hindamine</w:t>
            </w:r>
          </w:p>
        </w:tc>
        <w:tc>
          <w:tcPr>
            <w:tcW w:w="4876" w:type="dxa"/>
          </w:tcPr>
          <w:p w:rsidR="000A359B" w:rsidRPr="00D219BC" w:rsidRDefault="001D653E" w:rsidP="00674CB9">
            <w:pPr>
              <w:pStyle w:val="Normal6"/>
              <w:rPr>
                <w:szCs w:val="24"/>
              </w:rPr>
            </w:pPr>
            <w:r w:rsidRPr="00D219BC">
              <w:rPr>
                <w:b/>
                <w:i/>
              </w:rPr>
              <w:t>Kuritahtlike tavade</w:t>
            </w:r>
            <w:r w:rsidRPr="00D219BC">
              <w:t xml:space="preserve"> hindamine</w:t>
            </w:r>
            <w:r w:rsidRPr="00D219BC">
              <w:rPr>
                <w:b/>
                <w:i/>
              </w:rPr>
              <w:t xml:space="preserve"> </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67</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1 – sissejuhatav osa</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1.</w:t>
            </w:r>
            <w:r w:rsidRPr="00D219BC">
              <w:tab/>
              <w:t>Selleks et teha kindlaks</w:t>
            </w:r>
            <w:r w:rsidRPr="00D219BC">
              <w:rPr>
                <w:b/>
                <w:i/>
              </w:rPr>
              <w:t>, kas väidetav</w:t>
            </w:r>
            <w:r w:rsidRPr="00D219BC">
              <w:t xml:space="preserve"> praktika </w:t>
            </w:r>
            <w:r w:rsidRPr="00D219BC">
              <w:rPr>
                <w:b/>
                <w:i/>
              </w:rPr>
              <w:t>kujutab endast tavapärast töösuhet</w:t>
            </w:r>
            <w:r w:rsidRPr="00D219BC">
              <w:t xml:space="preserve">, annavad pädevad asutused üldise hinnangu kõikidele asjakohastele faktilistele asjaoludele. </w:t>
            </w:r>
            <w:r w:rsidRPr="00D219BC">
              <w:rPr>
                <w:b/>
                <w:i/>
              </w:rPr>
              <w:lastRenderedPageBreak/>
              <w:t xml:space="preserve">Hindamisel võetakse muu hulgas arvesse </w:t>
            </w:r>
            <w:r w:rsidRPr="00D219BC">
              <w:rPr>
                <w:b/>
                <w:i/>
              </w:rPr>
              <w:t>järgmisi soovituslikke elemente</w:t>
            </w:r>
            <w:r w:rsidRPr="00D219BC">
              <w:t>:</w:t>
            </w:r>
          </w:p>
        </w:tc>
        <w:tc>
          <w:tcPr>
            <w:tcW w:w="4876" w:type="dxa"/>
          </w:tcPr>
          <w:p w:rsidR="000A359B" w:rsidRPr="00D219BC" w:rsidRDefault="001D653E" w:rsidP="00F14438">
            <w:pPr>
              <w:pStyle w:val="Normal6"/>
              <w:rPr>
                <w:szCs w:val="24"/>
              </w:rPr>
            </w:pPr>
            <w:r w:rsidRPr="00D219BC">
              <w:lastRenderedPageBreak/>
              <w:t>1.</w:t>
            </w:r>
            <w:r w:rsidRPr="00D219BC">
              <w:tab/>
              <w:t xml:space="preserve">Selleks et teha kindlaks praktika </w:t>
            </w:r>
            <w:r w:rsidRPr="00D219BC">
              <w:rPr>
                <w:b/>
                <w:i/>
              </w:rPr>
              <w:t>kuritahtliku kasutamise tavad</w:t>
            </w:r>
            <w:r w:rsidRPr="00D219BC">
              <w:t xml:space="preserve">, annavad pädevad asutused üldise hinnangu kõikidele asjakohastele faktilistele asjaoludele. </w:t>
            </w:r>
            <w:r w:rsidRPr="00D219BC">
              <w:rPr>
                <w:b/>
                <w:i/>
              </w:rPr>
              <w:t xml:space="preserve">Kuritahtlike tavade olemasolu </w:t>
            </w:r>
            <w:r w:rsidRPr="00D219BC">
              <w:rPr>
                <w:b/>
                <w:i/>
              </w:rPr>
              <w:lastRenderedPageBreak/>
              <w:t>hindamisel võetakse arvesse järgmi</w:t>
            </w:r>
            <w:r w:rsidRPr="00D219BC">
              <w:rPr>
                <w:b/>
                <w:i/>
              </w:rPr>
              <w:t>st</w:t>
            </w:r>
            <w:r w:rsidRPr="00D219BC">
              <w:t>:</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68</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1 – punkt a</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a)</w:t>
            </w:r>
            <w:r w:rsidRPr="00D219BC">
              <w:tab/>
            </w:r>
            <w:r w:rsidRPr="00D219BC">
              <w:rPr>
                <w:b/>
                <w:i/>
              </w:rPr>
              <w:t xml:space="preserve">väidetaval </w:t>
            </w:r>
            <w:r w:rsidRPr="00D219BC">
              <w:rPr>
                <w:b/>
                <w:i/>
              </w:rPr>
              <w:t>praktikal puudub oluline õppe- või koolituskomponent</w:t>
            </w:r>
            <w:r w:rsidRPr="00D219BC">
              <w:t>;</w:t>
            </w:r>
          </w:p>
        </w:tc>
        <w:tc>
          <w:tcPr>
            <w:tcW w:w="4876" w:type="dxa"/>
          </w:tcPr>
          <w:p w:rsidR="000A359B" w:rsidRPr="00D219BC" w:rsidRDefault="001D653E" w:rsidP="00F14438">
            <w:pPr>
              <w:pStyle w:val="Normal6"/>
              <w:rPr>
                <w:szCs w:val="24"/>
              </w:rPr>
            </w:pPr>
            <w:r w:rsidRPr="00D219BC">
              <w:t>a)</w:t>
            </w:r>
            <w:r w:rsidRPr="00D219BC">
              <w:tab/>
            </w:r>
            <w:r w:rsidRPr="00D219BC">
              <w:rPr>
                <w:b/>
                <w:i/>
              </w:rPr>
              <w:t>praktikandi ja praktika pakkuja vahel ei ole sõlmitud kirjalikku lepingut</w:t>
            </w:r>
            <w:r w:rsidRPr="00D219BC">
              <w: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69</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 xml:space="preserve">Ettepanek võtta vastu </w:t>
      </w:r>
      <w:r w:rsidRPr="00D219BC">
        <w:t>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1 – punkt b</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b)</w:t>
            </w:r>
            <w:r w:rsidRPr="00D219BC">
              <w:tab/>
            </w:r>
            <w:r w:rsidRPr="00D219BC">
              <w:rPr>
                <w:b/>
                <w:i/>
              </w:rPr>
              <w:t>väidetav praktika või korduv ja/või järjestikune praktika ühe ja sama tööandja juures kestab liiga kaua;</w:t>
            </w:r>
          </w:p>
        </w:tc>
        <w:tc>
          <w:tcPr>
            <w:tcW w:w="4876" w:type="dxa"/>
          </w:tcPr>
          <w:p w:rsidR="000A359B" w:rsidRPr="00D219BC" w:rsidRDefault="001D653E" w:rsidP="00032824">
            <w:pPr>
              <w:pStyle w:val="Normal6"/>
              <w:rPr>
                <w:szCs w:val="24"/>
              </w:rPr>
            </w:pPr>
            <w:r w:rsidRPr="00D219BC">
              <w:t>b)</w:t>
            </w:r>
            <w:r w:rsidRPr="00D219BC">
              <w:tab/>
            </w:r>
            <w:r w:rsidRPr="00D219BC">
              <w:rPr>
                <w:b/>
                <w:i/>
              </w:rPr>
              <w:t>puudub koolituskomponent, millele</w:t>
            </w:r>
            <w:r w:rsidRPr="00D219BC">
              <w:rPr>
                <w:b/>
                <w:i/>
              </w:rPr>
              <w:t xml:space="preserve"> osutab järgmiste elementide puudumine:</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i) </w:t>
            </w:r>
            <w:r w:rsidRPr="00D219BC">
              <w:rPr>
                <w:b/>
                <w:i/>
              </w:rPr>
              <w:tab/>
              <w:t>selge praktikaprogramm, milles määratakse kindlaks praktika jooksul omandatavad oskused, teadmised ja pädevused, praktika õpieesmärgid ning tööülesanded ja koolitused, mis nende oskuste omandamist ja eesmärkide</w:t>
            </w:r>
            <w:r w:rsidRPr="00D219BC">
              <w:rPr>
                <w:b/>
                <w:i/>
              </w:rPr>
              <w:t xml:space="preserve"> saavutamist hõlbustavad;</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ii) </w:t>
            </w:r>
            <w:r w:rsidRPr="00D219BC">
              <w:rPr>
                <w:b/>
                <w:i/>
              </w:rPr>
              <w:tab/>
              <w:t>praktikaperioodiks määratud juhendaja ja/või mentor;</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iii) </w:t>
            </w:r>
            <w:r w:rsidRPr="00D219BC">
              <w:rPr>
                <w:b/>
                <w:i/>
              </w:rPr>
              <w:tab/>
              <w:t>spetsiaalsed koolitused, tagasiside andmine ja tugiüritused praktika ajal;</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iv) </w:t>
            </w:r>
            <w:r w:rsidRPr="00D219BC">
              <w:rPr>
                <w:b/>
                <w:i/>
              </w:rPr>
              <w:tab/>
              <w:t>praktikandi juhendamine ülesannete täitmisel ja töö kontrollimine;</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v) </w:t>
            </w:r>
            <w:r w:rsidRPr="00D219BC">
              <w:rPr>
                <w:b/>
                <w:i/>
              </w:rPr>
              <w:tab/>
              <w:t>selge s</w:t>
            </w:r>
            <w:r w:rsidRPr="00D219BC">
              <w:rPr>
                <w:b/>
                <w:i/>
              </w:rPr>
              <w:t>eos praktika ajal õpetatavate oskuste ja tööülesannete vahel.</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lastRenderedPageBreak/>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70</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1 – punkt c</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c)</w:t>
            </w:r>
            <w:r w:rsidRPr="00D219BC">
              <w:tab/>
            </w:r>
            <w:r w:rsidRPr="00D219BC">
              <w:rPr>
                <w:b/>
                <w:i/>
              </w:rPr>
              <w:t>väidetavate praktikantide ülesanded ja kohustused ning nende töö intensiivsus on sama, mis asjaomase tööandja juures võrreldaval ametikohal tavapärases töösuhtes olevate töötajate puhul</w:t>
            </w:r>
            <w:r w:rsidRPr="00D219BC">
              <w:t>;</w:t>
            </w:r>
          </w:p>
        </w:tc>
        <w:tc>
          <w:tcPr>
            <w:tcW w:w="4876" w:type="dxa"/>
          </w:tcPr>
          <w:p w:rsidR="000A359B" w:rsidRPr="00D219BC" w:rsidRDefault="001D653E" w:rsidP="00F14438">
            <w:pPr>
              <w:pStyle w:val="Normal6"/>
              <w:rPr>
                <w:szCs w:val="24"/>
              </w:rPr>
            </w:pPr>
            <w:r w:rsidRPr="00D219BC">
              <w:t>c)</w:t>
            </w:r>
            <w:r w:rsidRPr="00D219BC">
              <w:tab/>
            </w:r>
            <w:r w:rsidRPr="00D219BC">
              <w:rPr>
                <w:b/>
                <w:i/>
              </w:rPr>
              <w:t>praktika kestab liiga ka</w:t>
            </w:r>
            <w:r w:rsidRPr="00D219BC">
              <w:rPr>
                <w:b/>
                <w:i/>
              </w:rPr>
              <w:t>ua</w:t>
            </w:r>
            <w:r w:rsidRPr="00D219BC">
              <w: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71</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lõige 1 – punkt d</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d)</w:t>
            </w:r>
            <w:r w:rsidRPr="00D219BC">
              <w:tab/>
            </w:r>
            <w:r w:rsidRPr="00D219BC">
              <w:rPr>
                <w:b/>
                <w:i/>
              </w:rPr>
              <w:t xml:space="preserve">praktikakohale </w:t>
            </w:r>
            <w:r w:rsidRPr="00D219BC">
              <w:rPr>
                <w:b/>
                <w:i/>
              </w:rPr>
              <w:t>kandideerijalt nõutakse varasemat töökogemust teatavas konkreetses või sellega samaväärses tegevusvaldkonnas, esitamata asjakohast põhjendust</w:t>
            </w:r>
            <w:r w:rsidRPr="00D219BC">
              <w:t>;</w:t>
            </w:r>
          </w:p>
        </w:tc>
        <w:tc>
          <w:tcPr>
            <w:tcW w:w="4876" w:type="dxa"/>
          </w:tcPr>
          <w:p w:rsidR="000A359B" w:rsidRPr="00D219BC" w:rsidRDefault="001D653E" w:rsidP="00D5351E">
            <w:pPr>
              <w:pStyle w:val="Normal6"/>
              <w:rPr>
                <w:szCs w:val="24"/>
              </w:rPr>
            </w:pPr>
            <w:r w:rsidRPr="00D219BC">
              <w:t>d)</w:t>
            </w:r>
            <w:r w:rsidRPr="00D219BC">
              <w:tab/>
            </w:r>
            <w:r w:rsidRPr="00D219BC">
              <w:rPr>
                <w:b/>
                <w:i/>
              </w:rPr>
              <w:t>direktiivis (EL) 2022/2041 sätestatud tasu puudumine</w:t>
            </w:r>
            <w:r w:rsidRPr="00D219BC">
              <w: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72</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1 – punkt e</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e)</w:t>
            </w:r>
            <w:r w:rsidRPr="00D219BC">
              <w:tab/>
            </w:r>
            <w:r w:rsidRPr="00D219BC">
              <w:rPr>
                <w:b/>
                <w:i/>
              </w:rPr>
              <w:t>väidetavate praktikakohtade suur osakaal võrreldes nende töötajate arvug</w:t>
            </w:r>
            <w:r w:rsidRPr="00D219BC">
              <w:rPr>
                <w:b/>
                <w:i/>
              </w:rPr>
              <w:t>a, kellel on sama tööandjaga tavapärane töösuhe</w:t>
            </w:r>
            <w:r w:rsidRPr="00D219BC">
              <w:t>;</w:t>
            </w:r>
          </w:p>
        </w:tc>
        <w:tc>
          <w:tcPr>
            <w:tcW w:w="4876" w:type="dxa"/>
          </w:tcPr>
          <w:p w:rsidR="000A359B" w:rsidRPr="00D219BC" w:rsidRDefault="001D653E" w:rsidP="00F14438">
            <w:pPr>
              <w:pStyle w:val="Normal6"/>
              <w:rPr>
                <w:szCs w:val="24"/>
              </w:rPr>
            </w:pPr>
            <w:r w:rsidRPr="00D219BC">
              <w:t>e)</w:t>
            </w:r>
            <w:r w:rsidRPr="00D219BC">
              <w:tab/>
            </w:r>
            <w:r w:rsidRPr="00D219BC">
              <w:rPr>
                <w:b/>
                <w:i/>
              </w:rPr>
              <w:t>praktikakohale kandideerijalt nõutakse varasemat töökogemust</w:t>
            </w:r>
            <w:r w:rsidRPr="00D219BC">
              <w: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lastRenderedPageBreak/>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73</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1 – punkt f</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f)</w:t>
            </w:r>
            <w:r w:rsidRPr="00D219BC">
              <w:tab/>
            </w:r>
            <w:r w:rsidRPr="00D219BC">
              <w:rPr>
                <w:b/>
                <w:i/>
              </w:rPr>
              <w:t xml:space="preserve">tööandja juures tegutseb suur hulk väidetavaid praktikante, kes olid enne väidetava praktika alustamist läbinud vähemalt kaks praktikaaega sama tööandja juures </w:t>
            </w:r>
            <w:r w:rsidRPr="00D219BC">
              <w:rPr>
                <w:b/>
                <w:i/>
              </w:rPr>
              <w:t>või kellel olid asjaomases või sellega samaväärses tegevusvaldkonnas tavapärased töösuhted.</w:t>
            </w:r>
          </w:p>
        </w:tc>
        <w:tc>
          <w:tcPr>
            <w:tcW w:w="4876" w:type="dxa"/>
          </w:tcPr>
          <w:p w:rsidR="000A359B" w:rsidRPr="00D219BC" w:rsidRDefault="001D653E" w:rsidP="00F14438">
            <w:pPr>
              <w:pStyle w:val="Normal6"/>
              <w:rPr>
                <w:szCs w:val="24"/>
              </w:rPr>
            </w:pPr>
            <w:r w:rsidRPr="00D219BC">
              <w:t>f)</w:t>
            </w:r>
            <w:r w:rsidRPr="00D219BC">
              <w:tab/>
            </w:r>
            <w:r w:rsidRPr="00D219BC">
              <w:rPr>
                <w:b/>
                <w:i/>
              </w:rPr>
              <w:t>avalikel praktikakuulutustel puudub järgmine teave:</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i) </w:t>
            </w:r>
            <w:r w:rsidRPr="00D219BC">
              <w:rPr>
                <w:b/>
                <w:i/>
              </w:rPr>
              <w:tab/>
              <w:t>praktikandi ülesanded ja kohustused;</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ii) </w:t>
            </w:r>
            <w:r w:rsidRPr="00D219BC">
              <w:rPr>
                <w:b/>
                <w:i/>
              </w:rPr>
              <w:tab/>
              <w:t>praktikandi õigused, sealhulgas töötasu, sotsiaalkaitse, ha</w:t>
            </w:r>
            <w:r w:rsidRPr="00D219BC">
              <w:rPr>
                <w:b/>
                <w:i/>
              </w:rPr>
              <w:t>iguspuhkus ja tööaja korraldus;</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iii) </w:t>
            </w:r>
            <w:r w:rsidRPr="00D219BC">
              <w:rPr>
                <w:b/>
                <w:i/>
              </w:rPr>
              <w:tab/>
              <w:t>koolitused ja omandatavad oskused.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74</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 xml:space="preserve">Artikkel 5 – lõige 1 – punkt f a </w:t>
      </w:r>
      <w:r w:rsidRPr="00D219BC">
        <w:t>(uus)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fa)</w:t>
            </w:r>
            <w:r w:rsidRPr="00D219BC">
              <w:rPr>
                <w:b/>
                <w:i/>
              </w:rPr>
              <w:tab/>
              <w:t>puudub läbipaistev värbamispoliitika selle kohta, mis tingimustel pakutakse stabiilset töökohta pärast praktika lõppu.</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75</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Artikli 5 – lõige 1 a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D5351E">
            <w:pPr>
              <w:pStyle w:val="Normal6"/>
              <w:rPr>
                <w:szCs w:val="24"/>
              </w:rPr>
            </w:pPr>
            <w:r w:rsidRPr="00D219BC">
              <w:rPr>
                <w:b/>
                <w:i/>
              </w:rPr>
              <w:t>1a.</w:t>
            </w:r>
            <w:r w:rsidRPr="00D219BC">
              <w:rPr>
                <w:b/>
                <w:i/>
              </w:rPr>
              <w:tab/>
              <w:t>Lisaks võtavad pädevad asutused praktika kuritahtliku kasutamise tavade olemasolu kindlakstegemisel</w:t>
            </w:r>
            <w:r w:rsidRPr="00D219BC">
              <w:rPr>
                <w:b/>
                <w:i/>
              </w:rPr>
              <w:t xml:space="preserve"> arvesse praktikaväliseid kaudseid tegureid. Hindamisel võetakse muu hulgas arvesse järgmisi aspekte:</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a) </w:t>
            </w:r>
            <w:r w:rsidRPr="00D219BC">
              <w:rPr>
                <w:b/>
                <w:i/>
              </w:rPr>
              <w:tab/>
              <w:t>praktikakohtade suur osakaal võrreldes asutuse suurusega;</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b) </w:t>
            </w:r>
            <w:r w:rsidRPr="00D219BC">
              <w:rPr>
                <w:b/>
                <w:i/>
              </w:rPr>
              <w:tab/>
              <w:t>selliste praktikantide töölevõtmine, kes on varem läbinud praktika asjaomases või se</w:t>
            </w:r>
            <w:r w:rsidRPr="00D219BC">
              <w:rPr>
                <w:b/>
                <w:i/>
              </w:rPr>
              <w:t>llega samaväärses tegevusvaldkonnas;</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c) </w:t>
            </w:r>
            <w:r w:rsidRPr="00D219BC">
              <w:rPr>
                <w:b/>
                <w:i/>
              </w:rPr>
              <w:tab/>
              <w:t>praktika korduv pikendamine, pakkumata võimalust asutuses kõrgemale ametikohale edasi liikuda;</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F14438">
            <w:pPr>
              <w:pStyle w:val="Normal6"/>
              <w:rPr>
                <w:szCs w:val="24"/>
              </w:rPr>
            </w:pPr>
            <w:r w:rsidRPr="00D219BC">
              <w:rPr>
                <w:b/>
                <w:i/>
              </w:rPr>
              <w:t xml:space="preserve">d) </w:t>
            </w:r>
            <w:r w:rsidRPr="00D219BC">
              <w:rPr>
                <w:b/>
                <w:i/>
              </w:rPr>
              <w:tab/>
              <w:t>alaliste ametikohtade asendamine järjestikuste praktikatega.</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76</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2 – sissejuhatav osa</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2.</w:t>
            </w:r>
            <w:r w:rsidRPr="00D219BC">
              <w:tab/>
              <w:t xml:space="preserve">Selleks et pädevad asutused saaksid teostada </w:t>
            </w:r>
            <w:r w:rsidRPr="00D219BC">
              <w:rPr>
                <w:b/>
                <w:i/>
              </w:rPr>
              <w:t xml:space="preserve">lõikes </w:t>
            </w:r>
            <w:r w:rsidRPr="00D219BC">
              <w:t xml:space="preserve">1 osutatud hindamise, </w:t>
            </w:r>
            <w:r w:rsidRPr="00D219BC">
              <w:rPr>
                <w:b/>
                <w:i/>
              </w:rPr>
              <w:t>esitab tööandja neile</w:t>
            </w:r>
            <w:r w:rsidRPr="00D219BC">
              <w:t xml:space="preserve"> nõudmise korral järgmise teabe:</w:t>
            </w:r>
          </w:p>
        </w:tc>
        <w:tc>
          <w:tcPr>
            <w:tcW w:w="4876" w:type="dxa"/>
          </w:tcPr>
          <w:p w:rsidR="000A359B" w:rsidRPr="00D219BC" w:rsidRDefault="001D653E" w:rsidP="004335D0">
            <w:pPr>
              <w:pStyle w:val="Normal6"/>
              <w:rPr>
                <w:szCs w:val="24"/>
              </w:rPr>
            </w:pPr>
            <w:r w:rsidRPr="00D219BC">
              <w:t>2.</w:t>
            </w:r>
            <w:r w:rsidRPr="00D219BC">
              <w:tab/>
              <w:t xml:space="preserve">Selleks et pädevad asutused saaksid teostada </w:t>
            </w:r>
            <w:r w:rsidRPr="00D219BC">
              <w:rPr>
                <w:b/>
                <w:i/>
              </w:rPr>
              <w:t>lõigetes </w:t>
            </w:r>
            <w:r w:rsidRPr="00D219BC">
              <w:t xml:space="preserve">1 </w:t>
            </w:r>
            <w:r w:rsidRPr="00D219BC">
              <w:rPr>
                <w:b/>
                <w:i/>
              </w:rPr>
              <w:t xml:space="preserve">ja 2 </w:t>
            </w:r>
            <w:r w:rsidRPr="00D219BC">
              <w:t xml:space="preserve">osutatud hindamise, </w:t>
            </w:r>
            <w:r w:rsidRPr="00D219BC">
              <w:rPr>
                <w:b/>
                <w:i/>
              </w:rPr>
              <w:t>esitavad praktika pakkujad liikmesriigi</w:t>
            </w:r>
            <w:r w:rsidRPr="00D219BC">
              <w:t xml:space="preserve"> nõudmise korral</w:t>
            </w:r>
            <w:r w:rsidRPr="00D219BC">
              <w:rPr>
                <w:b/>
                <w:i/>
              </w:rPr>
              <w:t xml:space="preserve"> pädevatele asutustele</w:t>
            </w:r>
            <w:r w:rsidRPr="00D219BC">
              <w:t xml:space="preserve"> järgmise teabe:</w:t>
            </w:r>
          </w:p>
        </w:tc>
      </w:tr>
    </w:tbl>
    <w:p w:rsidR="000A359B" w:rsidRPr="00D219BC" w:rsidRDefault="001D653E" w:rsidP="000A359B">
      <w:pPr>
        <w:pStyle w:val="Olang"/>
      </w:pPr>
      <w:r w:rsidRPr="00D219BC">
        <w:t>O</w:t>
      </w:r>
      <w:r w:rsidRPr="00D219BC">
        <w:t xml:space="preserve">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77</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2 – punkt a</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a)</w:t>
            </w:r>
            <w:r w:rsidRPr="00D219BC">
              <w:tab/>
            </w:r>
            <w:r w:rsidRPr="00D219BC">
              <w:rPr>
                <w:b/>
                <w:i/>
              </w:rPr>
              <w:t>praktikakohtade</w:t>
            </w:r>
            <w:r w:rsidRPr="00D219BC">
              <w:t xml:space="preserve"> ja </w:t>
            </w:r>
            <w:r w:rsidRPr="00D219BC">
              <w:rPr>
                <w:b/>
                <w:i/>
              </w:rPr>
              <w:t>tavapäraste töösuhete</w:t>
            </w:r>
            <w:r w:rsidRPr="00D219BC">
              <w:t xml:space="preserve"> arv;</w:t>
            </w:r>
          </w:p>
        </w:tc>
        <w:tc>
          <w:tcPr>
            <w:tcW w:w="4876" w:type="dxa"/>
          </w:tcPr>
          <w:p w:rsidR="000A359B" w:rsidRPr="00D219BC" w:rsidRDefault="001D653E" w:rsidP="00F14438">
            <w:pPr>
              <w:pStyle w:val="Normal6"/>
              <w:rPr>
                <w:szCs w:val="24"/>
              </w:rPr>
            </w:pPr>
            <w:r w:rsidRPr="00D219BC">
              <w:t>a)</w:t>
            </w:r>
            <w:r w:rsidRPr="00D219BC">
              <w:tab/>
            </w:r>
            <w:r w:rsidRPr="00D219BC">
              <w:rPr>
                <w:b/>
                <w:i/>
              </w:rPr>
              <w:t>praktikantide</w:t>
            </w:r>
            <w:r w:rsidRPr="00D219BC">
              <w:t xml:space="preserve"> ja </w:t>
            </w:r>
            <w:r w:rsidRPr="00D219BC">
              <w:rPr>
                <w:b/>
                <w:i/>
              </w:rPr>
              <w:t>muud liiki töötajate</w:t>
            </w:r>
            <w:r w:rsidRPr="00D219BC">
              <w:t xml:space="preserve"> arv;</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78</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2 – punkt c</w:t>
      </w:r>
      <w:r w:rsidRPr="00D219BC">
        <w:rPr>
          <w:rStyle w:val="HideTWBExt"/>
          <w:b w:val="0"/>
        </w:rPr>
        <w:t>&lt;/Art</w:t>
      </w:r>
      <w:r w:rsidRPr="00D219BC">
        <w:rPr>
          <w:rStyle w:val="HideTWBExt"/>
          <w:b w:val="0"/>
        </w:rPr>
        <w: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c)</w:t>
            </w:r>
            <w:r w:rsidRPr="00D219BC">
              <w:tab/>
            </w:r>
            <w:r w:rsidRPr="00D219BC">
              <w:rPr>
                <w:b/>
                <w:i/>
              </w:rPr>
              <w:t xml:space="preserve">väidetavate </w:t>
            </w:r>
            <w:r w:rsidRPr="00D219BC">
              <w:t xml:space="preserve">praktikantide ja võrreldaval ametikohal </w:t>
            </w:r>
            <w:r w:rsidRPr="00D219BC">
              <w:rPr>
                <w:b/>
                <w:i/>
              </w:rPr>
              <w:t>tavapärases töösuhtes olevate</w:t>
            </w:r>
            <w:r w:rsidRPr="00D219BC">
              <w:t xml:space="preserve"> töötajate töötingimused, sealhulgas töötasu, ülesanded ja kohustused;</w:t>
            </w:r>
          </w:p>
        </w:tc>
        <w:tc>
          <w:tcPr>
            <w:tcW w:w="4876" w:type="dxa"/>
          </w:tcPr>
          <w:p w:rsidR="000A359B" w:rsidRPr="00D219BC" w:rsidRDefault="001D653E" w:rsidP="00F14438">
            <w:pPr>
              <w:pStyle w:val="Normal6"/>
              <w:rPr>
                <w:szCs w:val="24"/>
              </w:rPr>
            </w:pPr>
            <w:r w:rsidRPr="00D219BC">
              <w:t>c)</w:t>
            </w:r>
            <w:r w:rsidRPr="00D219BC">
              <w:tab/>
              <w:t xml:space="preserve">praktikantide ja võrreldaval ametikohal </w:t>
            </w:r>
            <w:r w:rsidRPr="00D219BC">
              <w:rPr>
                <w:b/>
                <w:i/>
              </w:rPr>
              <w:t xml:space="preserve">olevate </w:t>
            </w:r>
            <w:r w:rsidRPr="00D219BC">
              <w:rPr>
                <w:b/>
                <w:i/>
              </w:rPr>
              <w:t>muud liiki</w:t>
            </w:r>
            <w:r w:rsidRPr="00D219BC">
              <w:t xml:space="preserve"> töötajate töötingimused, sealhulgas töötasu, ülesanded ja kohustused;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79</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lõige 2 – punkt</w:t>
      </w:r>
      <w:r w:rsidRPr="00D219BC">
        <w:t xml:space="preserve"> d</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d)</w:t>
            </w:r>
            <w:r w:rsidRPr="00D219BC">
              <w:tab/>
              <w:t xml:space="preserve">praktika </w:t>
            </w:r>
            <w:r w:rsidRPr="00D219BC">
              <w:rPr>
                <w:b/>
                <w:i/>
              </w:rPr>
              <w:t xml:space="preserve">õppe- ja </w:t>
            </w:r>
            <w:r w:rsidRPr="00D219BC">
              <w:t>koolituskomponentide kirjeldus;</w:t>
            </w:r>
          </w:p>
        </w:tc>
        <w:tc>
          <w:tcPr>
            <w:tcW w:w="4876" w:type="dxa"/>
          </w:tcPr>
          <w:p w:rsidR="000A359B" w:rsidRPr="00D219BC" w:rsidRDefault="001D653E" w:rsidP="00F14438">
            <w:pPr>
              <w:pStyle w:val="Normal6"/>
              <w:rPr>
                <w:szCs w:val="24"/>
              </w:rPr>
            </w:pPr>
            <w:r w:rsidRPr="00D219BC">
              <w:t>d)</w:t>
            </w:r>
            <w:r w:rsidRPr="00D219BC">
              <w:tab/>
              <w:t>praktika koolituskomponentide kirjeldus;</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80</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w:t>
      </w:r>
      <w:r w:rsidRPr="00D219BC">
        <w:t xml:space="preserve">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3 – lõik 1 – sissejuhatav osa</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Lõikes</w:t>
            </w:r>
            <w:r w:rsidRPr="00D219BC">
              <w:t xml:space="preserve"> 1 osutatud hindamise hõlbustamiseks teevad liikmesriigid </w:t>
            </w:r>
            <w:r w:rsidRPr="00D219BC">
              <w:lastRenderedPageBreak/>
              <w:t>järgmist:</w:t>
            </w:r>
          </w:p>
        </w:tc>
        <w:tc>
          <w:tcPr>
            <w:tcW w:w="4876" w:type="dxa"/>
          </w:tcPr>
          <w:p w:rsidR="000A359B" w:rsidRPr="00D219BC" w:rsidRDefault="001D653E" w:rsidP="00F14438">
            <w:pPr>
              <w:pStyle w:val="Normal6"/>
              <w:rPr>
                <w:szCs w:val="24"/>
              </w:rPr>
            </w:pPr>
            <w:r w:rsidRPr="00D219BC">
              <w:rPr>
                <w:b/>
                <w:i/>
              </w:rPr>
              <w:lastRenderedPageBreak/>
              <w:t>Lõigetes</w:t>
            </w:r>
            <w:r w:rsidRPr="00D219BC">
              <w:t xml:space="preserve"> 1</w:t>
            </w:r>
            <w:r w:rsidRPr="00D219BC">
              <w:rPr>
                <w:b/>
                <w:i/>
              </w:rPr>
              <w:t xml:space="preserve"> ja 2</w:t>
            </w:r>
            <w:r w:rsidRPr="00D219BC">
              <w:t xml:space="preserve"> osutatud hindamise hõlb</w:t>
            </w:r>
            <w:r w:rsidRPr="00D219BC">
              <w:t xml:space="preserve">ustamiseks teevad liikmesriigid </w:t>
            </w:r>
            <w:r w:rsidRPr="00D219BC">
              <w:lastRenderedPageBreak/>
              <w:t>järgmist:</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81</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3 – lõik 1 – punkt a</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 xml:space="preserve">Komisjoni </w:t>
            </w:r>
            <w:r w:rsidRPr="00D219BC">
              <w:t>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a)</w:t>
            </w:r>
            <w:r w:rsidRPr="00D219BC">
              <w:tab/>
              <w:t xml:space="preserve">määravad </w:t>
            </w:r>
            <w:r w:rsidRPr="00D219BC">
              <w:rPr>
                <w:b/>
                <w:i/>
              </w:rPr>
              <w:t>kindlaks ajalise piirangu, mille ületamine võib osutada sellele</w:t>
            </w:r>
            <w:r w:rsidRPr="00D219BC">
              <w:t xml:space="preserve">, </w:t>
            </w:r>
            <w:r w:rsidRPr="00D219BC">
              <w:rPr>
                <w:b/>
                <w:i/>
              </w:rPr>
              <w:t>et tegemist on ülemäära pika ja korduva praktikaga</w:t>
            </w:r>
            <w:r w:rsidRPr="00D219BC">
              <w:t xml:space="preserve">, </w:t>
            </w:r>
            <w:r w:rsidRPr="00D219BC">
              <w:rPr>
                <w:b/>
                <w:i/>
              </w:rPr>
              <w:t>sealhulgas mitme järjestikuse praktikaga sama tööandja juures</w:t>
            </w:r>
            <w:r w:rsidRPr="00D219BC">
              <w:t>;</w:t>
            </w:r>
          </w:p>
        </w:tc>
        <w:tc>
          <w:tcPr>
            <w:tcW w:w="4876" w:type="dxa"/>
          </w:tcPr>
          <w:p w:rsidR="000A359B" w:rsidRPr="00D219BC" w:rsidRDefault="001D653E" w:rsidP="00032824">
            <w:pPr>
              <w:pStyle w:val="Normal6"/>
              <w:rPr>
                <w:szCs w:val="24"/>
              </w:rPr>
            </w:pPr>
            <w:r w:rsidRPr="00D219BC">
              <w:t>a)</w:t>
            </w:r>
            <w:r w:rsidRPr="00D219BC">
              <w:tab/>
              <w:t xml:space="preserve">määravad </w:t>
            </w:r>
            <w:r w:rsidRPr="00D219BC">
              <w:rPr>
                <w:b/>
                <w:i/>
              </w:rPr>
              <w:t xml:space="preserve">praktika maksimaalseks </w:t>
            </w:r>
            <w:r w:rsidRPr="00D219BC">
              <w:rPr>
                <w:b/>
                <w:i/>
              </w:rPr>
              <w:t>kestuseks kuus kuud</w:t>
            </w:r>
            <w:r w:rsidRPr="00D219BC">
              <w:t xml:space="preserve">, </w:t>
            </w:r>
            <w:r w:rsidRPr="00D219BC">
              <w:rPr>
                <w:b/>
                <w:i/>
              </w:rPr>
              <w:t>kuid liikmesriigid võivad ette näha erandeid</w:t>
            </w:r>
            <w:r w:rsidRPr="00D219BC">
              <w:t xml:space="preserve">, </w:t>
            </w:r>
            <w:r w:rsidRPr="00D219BC">
              <w:rPr>
                <w:b/>
                <w:i/>
              </w:rPr>
              <w:t>kui pikem praktika on objektiivsetel põhjustel õigustatud</w:t>
            </w:r>
            <w:r w:rsidRPr="00D219BC">
              <w: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82</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3 – lõik 1 – punkt b</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b)</w:t>
            </w:r>
            <w:r w:rsidRPr="00D219BC">
              <w:tab/>
              <w:t xml:space="preserve">nõuavad, et </w:t>
            </w:r>
            <w:r w:rsidRPr="00D219BC">
              <w:rPr>
                <w:b/>
                <w:i/>
              </w:rPr>
              <w:t>tööandjad</w:t>
            </w:r>
            <w:r w:rsidRPr="00D219BC">
              <w:t xml:space="preserve"> lisaksid praktikakoha kuulutustele ja reklaamidele teabe eeldatavate ülesannete ja töötingimuste, sealhulgas töötasu, s</w:t>
            </w:r>
            <w:r w:rsidRPr="00D219BC">
              <w:t xml:space="preserve">otsiaalkaitse ning </w:t>
            </w:r>
            <w:r w:rsidRPr="00D219BC">
              <w:rPr>
                <w:b/>
                <w:i/>
              </w:rPr>
              <w:t>õppe- ja koolituselementide kohta</w:t>
            </w:r>
            <w:r w:rsidRPr="00D219BC">
              <w:t>.</w:t>
            </w:r>
          </w:p>
        </w:tc>
        <w:tc>
          <w:tcPr>
            <w:tcW w:w="4876" w:type="dxa"/>
          </w:tcPr>
          <w:p w:rsidR="000A359B" w:rsidRPr="00D219BC" w:rsidRDefault="001D653E" w:rsidP="00F14438">
            <w:pPr>
              <w:pStyle w:val="Normal6"/>
              <w:rPr>
                <w:szCs w:val="24"/>
              </w:rPr>
            </w:pPr>
            <w:r w:rsidRPr="00D219BC">
              <w:t>b)</w:t>
            </w:r>
            <w:r w:rsidRPr="00D219BC">
              <w:tab/>
              <w:t xml:space="preserve">nõuavad, et </w:t>
            </w:r>
            <w:r w:rsidRPr="00D219BC">
              <w:rPr>
                <w:b/>
                <w:i/>
              </w:rPr>
              <w:t>praktika pakkujad</w:t>
            </w:r>
            <w:r w:rsidRPr="00D219BC">
              <w:t xml:space="preserve"> lisaksid praktikakoha kuulutustele ja reklaamidele teabe eeldatavate ülesannete ja töötingimuste, sealhulgas töötasu, sotsiaalkaitse</w:t>
            </w:r>
            <w:r w:rsidRPr="00D219BC">
              <w:rPr>
                <w:b/>
                <w:i/>
              </w:rPr>
              <w:t>, koolituselementide</w:t>
            </w:r>
            <w:r w:rsidRPr="00D219BC">
              <w:t xml:space="preserve"> ning </w:t>
            </w:r>
            <w:r w:rsidRPr="00D219BC">
              <w:rPr>
                <w:b/>
                <w:i/>
              </w:rPr>
              <w:t>selle kohta</w:t>
            </w:r>
            <w:r w:rsidRPr="00D219BC">
              <w:rPr>
                <w:b/>
                <w:i/>
              </w:rPr>
              <w:t>, millised on tööle saamise võimalused pärast praktika lõppu</w:t>
            </w:r>
            <w:r w:rsidRPr="00D219BC">
              <w: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83</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5 – lõige 3 – lõik 2</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rPr>
                <w:b/>
                <w:i/>
              </w:rPr>
              <w:t>Liikmesriigid võivad ette näha erandeid punktis a sätestatud tähtajast juhtudel, kui pikem kestus on objektiivselt põhjendatud.</w:t>
            </w:r>
          </w:p>
        </w:tc>
        <w:tc>
          <w:tcPr>
            <w:tcW w:w="4876" w:type="dxa"/>
          </w:tcPr>
          <w:p w:rsidR="000A359B" w:rsidRPr="00D219BC" w:rsidRDefault="001D653E" w:rsidP="00F14438">
            <w:pPr>
              <w:pStyle w:val="Normal6"/>
              <w:rPr>
                <w:szCs w:val="24"/>
              </w:rPr>
            </w:pPr>
            <w:r w:rsidRPr="00D219BC">
              <w:rPr>
                <w:b/>
                <w:i/>
              </w:rPr>
              <w:t>välja jäetud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84</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6 – lõik 1 – sissejuhatav osa</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 xml:space="preserve">Liikmesriigid võtavad tõhusaid meetmeid, et rakendada praktikantide puhul täielikult kõik </w:t>
            </w:r>
            <w:r w:rsidRPr="00D219BC">
              <w:rPr>
                <w:b/>
                <w:i/>
              </w:rPr>
              <w:t>töötajate</w:t>
            </w:r>
            <w:r w:rsidRPr="00D219BC">
              <w:t xml:space="preserve"> suhtes kohaldatavad asjakohased liidu õigusaktid ja tagada nende täitmine. Eelkõige teevad liikmesriigid järgmist:</w:t>
            </w:r>
          </w:p>
        </w:tc>
        <w:tc>
          <w:tcPr>
            <w:tcW w:w="4876" w:type="dxa"/>
          </w:tcPr>
          <w:p w:rsidR="000A359B" w:rsidRPr="00D219BC" w:rsidRDefault="001D653E" w:rsidP="00F14438">
            <w:pPr>
              <w:pStyle w:val="Normal6"/>
              <w:rPr>
                <w:szCs w:val="24"/>
              </w:rPr>
            </w:pPr>
            <w:r w:rsidRPr="00D219BC">
              <w:t xml:space="preserve">Liikmesriigid võtavad tõhusaid meetmeid, et rakendada praktikantide puhul täielikult kõik </w:t>
            </w:r>
            <w:r w:rsidRPr="00D219BC">
              <w:rPr>
                <w:b/>
                <w:i/>
              </w:rPr>
              <w:t>praktikantide</w:t>
            </w:r>
            <w:r w:rsidRPr="00D219BC">
              <w:t xml:space="preserve"> suhtes kohaldatavad asjakoh</w:t>
            </w:r>
            <w:r w:rsidRPr="00D219BC">
              <w:t>ased liidu õigusaktid ja tagada nende täitmine. Eelkõige teevad liikmesriigid järgmist: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85</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6 – lõige 1</w:t>
      </w:r>
      <w:r w:rsidRPr="00D219BC">
        <w:t xml:space="preserve"> – punkt f</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f)</w:t>
            </w:r>
            <w:r w:rsidRPr="00D219BC">
              <w:tab/>
              <w:t>tagavad koostöös pädevate asutustega kanalid, mille kaudu praktikandid saavad teatada kuritarvitustest ja halbadest töötingimustest, ning annavad teavet nende kanalite kohta</w:t>
            </w:r>
            <w:r w:rsidRPr="00D219BC">
              <w:rPr>
                <w:b/>
                <w:i/>
              </w:rPr>
              <w:t>.</w:t>
            </w:r>
          </w:p>
        </w:tc>
        <w:tc>
          <w:tcPr>
            <w:tcW w:w="4876" w:type="dxa"/>
          </w:tcPr>
          <w:p w:rsidR="000A359B" w:rsidRPr="00D219BC" w:rsidRDefault="001D653E" w:rsidP="00F14438">
            <w:pPr>
              <w:pStyle w:val="Normal6"/>
              <w:rPr>
                <w:szCs w:val="24"/>
              </w:rPr>
            </w:pPr>
            <w:r w:rsidRPr="00D219BC">
              <w:t>f)</w:t>
            </w:r>
            <w:r w:rsidRPr="00D219BC">
              <w:tab/>
            </w:r>
            <w:r w:rsidRPr="00D219BC">
              <w:t xml:space="preserve">tagavad koostöös pädevate asutustega kanalid, mille kaudu praktikandid saavad </w:t>
            </w:r>
            <w:r w:rsidRPr="00D219BC">
              <w:rPr>
                <w:b/>
                <w:i/>
              </w:rPr>
              <w:t xml:space="preserve">anonüümselt ja turvaliselt </w:t>
            </w:r>
            <w:r w:rsidRPr="00D219BC">
              <w:t>teatada kuritarvitustest ja halbadest töötingimustest, ning annavad teavet nende kanalite kohta</w:t>
            </w:r>
            <w:r w:rsidRPr="00D219BC">
              <w:rPr>
                <w:b/>
                <w:i/>
              </w:rPr>
              <w: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w:t>
      </w:r>
      <w:r w:rsidRPr="00D219BC">
        <w:t>tusettepanek</w:t>
      </w:r>
      <w:r w:rsidRPr="00D219BC">
        <w:tab/>
      </w:r>
      <w:r w:rsidRPr="00D219BC">
        <w:tab/>
      </w:r>
      <w:r w:rsidRPr="00D219BC">
        <w:rPr>
          <w:rStyle w:val="HideTWBExt"/>
          <w:b w:val="0"/>
        </w:rPr>
        <w:t>&lt;NumAm&gt;</w:t>
      </w:r>
      <w:r w:rsidRPr="00D219BC">
        <w:t>86</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7 – lõik 1</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 xml:space="preserve">Liikmesriigid tagavad, et praktikantide puhul, sealhulgas nende puhul, kelle </w:t>
            </w:r>
            <w:r w:rsidRPr="00D219BC">
              <w:rPr>
                <w:b/>
                <w:i/>
              </w:rPr>
              <w:t>töösuhe</w:t>
            </w:r>
            <w:r w:rsidRPr="00D219BC">
              <w:t xml:space="preserve"> on lõppenud, on võimalik vaidlusi tõhusalt ja erapooletult lahendada ning et neil on õigus õiguskaitsele, sealhulgas piisavale hüvitisele, kui nende käesolevast direktiivist või muudest</w:t>
            </w:r>
            <w:r w:rsidRPr="00D219BC">
              <w:rPr>
                <w:b/>
                <w:i/>
              </w:rPr>
              <w:t xml:space="preserve"> töötajate suhtes kohaldatavatest</w:t>
            </w:r>
            <w:r w:rsidRPr="00D219BC">
              <w:t xml:space="preserve"> liidu õigusaktidest tulenevaid õigus</w:t>
            </w:r>
            <w:r w:rsidRPr="00D219BC">
              <w:t>i on rikutud.</w:t>
            </w:r>
          </w:p>
        </w:tc>
        <w:tc>
          <w:tcPr>
            <w:tcW w:w="4876" w:type="dxa"/>
          </w:tcPr>
          <w:p w:rsidR="000A359B" w:rsidRPr="00D219BC" w:rsidRDefault="001D653E" w:rsidP="00F14438">
            <w:pPr>
              <w:pStyle w:val="Normal6"/>
              <w:rPr>
                <w:szCs w:val="24"/>
              </w:rPr>
            </w:pPr>
            <w:r w:rsidRPr="00D219BC">
              <w:t xml:space="preserve">Liikmesriigid tagavad, et praktikantide puhul, sealhulgas nende puhul, kelle </w:t>
            </w:r>
            <w:r w:rsidRPr="00D219BC">
              <w:rPr>
                <w:b/>
                <w:i/>
              </w:rPr>
              <w:t>praktika</w:t>
            </w:r>
            <w:r w:rsidRPr="00D219BC">
              <w:t xml:space="preserve"> on lõppenud, on võimalik vaidlusi tõhusalt ja erapooletult lahendada ning et neil on õigus õiguskaitsele, sealhulgas piisavale hüvitisele, kui nende käesole</w:t>
            </w:r>
            <w:r w:rsidRPr="00D219BC">
              <w:t>vast direktiivist või muudest liidu õigusaktidest tulenevaid õigusi on rikutud.</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87</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8 – lõik 1</w:t>
      </w:r>
      <w:r w:rsidRPr="00D219BC">
        <w:rPr>
          <w:rStyle w:val="HideTWBExt"/>
          <w:b w:val="0"/>
        </w:rPr>
        <w:t>&lt;/Article</w:t>
      </w:r>
      <w:r w:rsidRPr="00D219BC">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 xml:space="preserve">Liikmesriigid tagavad, et töötajate esindajad võivad osaleda mis tahes asjakohases kohtu- või haldusmenetluses, et jõustada käesolevast direktiivist või </w:t>
            </w:r>
            <w:r w:rsidRPr="00D219BC">
              <w:rPr>
                <w:b/>
                <w:i/>
              </w:rPr>
              <w:t>töötajate</w:t>
            </w:r>
            <w:r w:rsidRPr="00D219BC">
              <w:t xml:space="preserve"> suhtes kohaldatavatest muudest liidu õigusaktidest tulenevaid õigusi ja kohustusi. Töötajate esindaja võib praktikandi või praktikantide nõusolekul tegutseda </w:t>
            </w:r>
            <w:r w:rsidRPr="00D219BC">
              <w:rPr>
                <w:b/>
                <w:i/>
              </w:rPr>
              <w:t>tema/nende nimel või tema/nende toetuseks, juhul kui rikutakse käesolevast direktiivist</w:t>
            </w:r>
            <w:r w:rsidRPr="00D219BC">
              <w:t xml:space="preserve"> või </w:t>
            </w:r>
            <w:r w:rsidRPr="00D219BC">
              <w:rPr>
                <w:b/>
                <w:i/>
              </w:rPr>
              <w:t>tööta</w:t>
            </w:r>
            <w:r w:rsidRPr="00D219BC">
              <w:rPr>
                <w:b/>
                <w:i/>
              </w:rPr>
              <w:t>jate suhtes kohaldatavatest muudest liidu õigusaktidest tulenevaid õigusi või kohustusi</w:t>
            </w:r>
            <w:r w:rsidRPr="00D219BC">
              <w:t>.</w:t>
            </w:r>
          </w:p>
        </w:tc>
        <w:tc>
          <w:tcPr>
            <w:tcW w:w="4876" w:type="dxa"/>
          </w:tcPr>
          <w:p w:rsidR="000A359B" w:rsidRPr="00D219BC" w:rsidRDefault="001D653E" w:rsidP="00F14438">
            <w:pPr>
              <w:pStyle w:val="Normal6"/>
              <w:rPr>
                <w:szCs w:val="24"/>
              </w:rPr>
            </w:pPr>
            <w:r w:rsidRPr="00D219BC">
              <w:t xml:space="preserve">Liikmesriigid tagavad, et töötajate esindajad võivad osaleda mis tahes asjakohases kohtu- või haldusmenetluses, et jõustada käesolevast direktiivist või </w:t>
            </w:r>
            <w:r w:rsidRPr="00D219BC">
              <w:rPr>
                <w:b/>
                <w:i/>
              </w:rPr>
              <w:t>praktikantide</w:t>
            </w:r>
            <w:r w:rsidRPr="00D219BC">
              <w:t xml:space="preserve"> suhtes kohaldatavatest muudest liidu õigusaktidest tulenevaid õigusi ja kohustusi. Töötajate esindaja võib praktikandi või praktikantide nõusolekul tegutseda </w:t>
            </w:r>
            <w:r w:rsidRPr="00D219BC">
              <w:rPr>
                <w:b/>
                <w:i/>
              </w:rPr>
              <w:t>praktika kuritahtliku kasutamise tavade ohvrite nimel</w:t>
            </w:r>
            <w:r w:rsidRPr="00D219BC">
              <w:t xml:space="preserve"> või </w:t>
            </w:r>
            <w:r w:rsidRPr="00D219BC">
              <w:rPr>
                <w:b/>
                <w:i/>
              </w:rPr>
              <w:t>nende toetuseks</w:t>
            </w:r>
            <w:r w:rsidRPr="00D219BC">
              <w: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w:t>
      </w:r>
      <w:r w:rsidRPr="00D219BC">
        <w:rPr>
          <w:rStyle w:val="HideTWBExt"/>
          <w:noProof w:val="0"/>
        </w:rPr>
        <w: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lastRenderedPageBreak/>
        <w:t>&lt;Amend&gt;</w:t>
      </w:r>
      <w:r w:rsidRPr="00D219BC">
        <w:t>Muudatusettepanek</w:t>
      </w:r>
      <w:r w:rsidRPr="00D219BC">
        <w:tab/>
      </w:r>
      <w:r w:rsidRPr="00D219BC">
        <w:tab/>
      </w:r>
      <w:r w:rsidRPr="00D219BC">
        <w:rPr>
          <w:rStyle w:val="HideTWBExt"/>
          <w:b w:val="0"/>
        </w:rPr>
        <w:t>&lt;NumAm&gt;</w:t>
      </w:r>
      <w:r w:rsidRPr="00D219BC">
        <w:t>88</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9 – lõige 1</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1.</w:t>
            </w:r>
            <w:r w:rsidRPr="00D219BC">
              <w:tab/>
            </w:r>
            <w:r w:rsidRPr="00D219BC">
              <w:t xml:space="preserve">Liikmesriigid kehtestavad vajalikud meetmed, et kaitsta praktikante ja nende esindajaid </w:t>
            </w:r>
            <w:r w:rsidRPr="00D219BC">
              <w:rPr>
                <w:b/>
                <w:i/>
              </w:rPr>
              <w:t>tööandjapoolse</w:t>
            </w:r>
            <w:r w:rsidRPr="00D219BC">
              <w:t xml:space="preserve"> halva kohtlemise eest või selliste negatiivsete tagajärgede eest, mis tulenevad </w:t>
            </w:r>
            <w:r w:rsidRPr="00D219BC">
              <w:rPr>
                <w:b/>
                <w:i/>
              </w:rPr>
              <w:t>tööandjale</w:t>
            </w:r>
            <w:r w:rsidRPr="00D219BC">
              <w:t xml:space="preserve"> esitatud kaebusest või menetlusest, mille eesmärk on tagada kä</w:t>
            </w:r>
            <w:r w:rsidRPr="00D219BC">
              <w:t>esoleva direktiiviga või</w:t>
            </w:r>
            <w:r w:rsidRPr="00D219BC">
              <w:rPr>
                <w:b/>
                <w:i/>
              </w:rPr>
              <w:t xml:space="preserve"> töötajate suhtes kohaldatavate</w:t>
            </w:r>
            <w:r w:rsidRPr="00D219BC">
              <w:t xml:space="preserve"> muude liidu õigusaktidega ette nähtud õiguste järgimine.</w:t>
            </w:r>
          </w:p>
        </w:tc>
        <w:tc>
          <w:tcPr>
            <w:tcW w:w="4876" w:type="dxa"/>
          </w:tcPr>
          <w:p w:rsidR="000A359B" w:rsidRPr="00D219BC" w:rsidRDefault="001D653E" w:rsidP="00F14438">
            <w:pPr>
              <w:pStyle w:val="Normal6"/>
              <w:rPr>
                <w:szCs w:val="24"/>
              </w:rPr>
            </w:pPr>
            <w:r w:rsidRPr="00D219BC">
              <w:t>1.</w:t>
            </w:r>
            <w:r w:rsidRPr="00D219BC">
              <w:tab/>
              <w:t xml:space="preserve">Liikmesriigid kehtestavad vajalikud meetmed, et kaitsta praktikante ja nende esindajaid </w:t>
            </w:r>
            <w:r w:rsidRPr="00D219BC">
              <w:rPr>
                <w:b/>
                <w:i/>
              </w:rPr>
              <w:t>praktika pakkuja poolse</w:t>
            </w:r>
            <w:r w:rsidRPr="00D219BC">
              <w:t xml:space="preserve"> halva kohtlemise eest või se</w:t>
            </w:r>
            <w:r w:rsidRPr="00D219BC">
              <w:t xml:space="preserve">lliste negatiivsete tagajärgede eest, mis tulenevad </w:t>
            </w:r>
            <w:r w:rsidRPr="00D219BC">
              <w:rPr>
                <w:b/>
                <w:i/>
              </w:rPr>
              <w:t>praktika pakkujale</w:t>
            </w:r>
            <w:r w:rsidRPr="00D219BC">
              <w:t xml:space="preserve"> esitatud kaebusest või menetlusest, mille eesmärk on tagada käesoleva direktiiviga või muude liidu õigusaktidega ette nähtud õiguste järgimine.</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89</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9 – lõige 2</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2.</w:t>
            </w:r>
            <w:r w:rsidRPr="00D219BC">
              <w:tab/>
              <w:t xml:space="preserve">Eelkõige võtavad liikmesriigid meetmed, mis on vajalikud selleks, et </w:t>
            </w:r>
            <w:r w:rsidRPr="00D219BC">
              <w:t>keelata praktikandi töölt vabastamine või sellega samaväärsed meetmed ja töölt vabastamise või sellega samaväärsete meetmete ettevalmistamine põhjusel, et praktikant on kasutanud käesoleva direktiiviga või</w:t>
            </w:r>
            <w:r w:rsidRPr="00D219BC">
              <w:rPr>
                <w:b/>
                <w:i/>
              </w:rPr>
              <w:t xml:space="preserve"> töötajate suhtes kohaldatavate</w:t>
            </w:r>
            <w:r w:rsidRPr="00D219BC">
              <w:t xml:space="preserve"> muude liidu õigusak</w:t>
            </w:r>
            <w:r w:rsidRPr="00D219BC">
              <w:t>tidega ette nähtud õigusi.</w:t>
            </w:r>
          </w:p>
        </w:tc>
        <w:tc>
          <w:tcPr>
            <w:tcW w:w="4876" w:type="dxa"/>
          </w:tcPr>
          <w:p w:rsidR="000A359B" w:rsidRPr="00D219BC" w:rsidRDefault="001D653E" w:rsidP="00F14438">
            <w:pPr>
              <w:pStyle w:val="Normal6"/>
              <w:rPr>
                <w:szCs w:val="24"/>
              </w:rPr>
            </w:pPr>
            <w:r w:rsidRPr="00D219BC">
              <w:t>2.</w:t>
            </w:r>
            <w:r w:rsidRPr="00D219BC">
              <w:tab/>
              <w:t>Eelkõige võtavad liikmesriigid meetmed, mis on vajalikud selleks, et keelata praktikandi töölt vabastamine või sellega samaväärsed meetmed</w:t>
            </w:r>
            <w:r w:rsidRPr="00D219BC">
              <w:rPr>
                <w:b/>
                <w:i/>
              </w:rPr>
              <w:t>, näiteks töökoha pakkumisest keeldumine praktika pakkuja juures,</w:t>
            </w:r>
            <w:r w:rsidRPr="00D219BC">
              <w:t xml:space="preserve"> ja töölt vabastamise v</w:t>
            </w:r>
            <w:r w:rsidRPr="00D219BC">
              <w:t>õi sellega samaväärsete meetmete ettevalmistamine põhjusel, et praktikant on kasutanud käesoleva direktiiviga või muude liidu õigusaktidega ette nähtud õigusi.</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90</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9 – lõige 3</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3.</w:t>
            </w:r>
            <w:r w:rsidRPr="00D219BC">
              <w:tab/>
            </w:r>
            <w:r w:rsidRPr="00D219BC">
              <w:t xml:space="preserve">Kui praktikandid arvavad, et nad vabastati töölt või nende suhtes kohaldati samaväärse mõjuga meetmeid põhjusel, et nad on kasutanud käesoleva direktiiviga või </w:t>
            </w:r>
            <w:r w:rsidRPr="00D219BC">
              <w:rPr>
                <w:b/>
                <w:i/>
              </w:rPr>
              <w:t xml:space="preserve">töötajate suhtes kohaldatavate </w:t>
            </w:r>
            <w:r w:rsidRPr="00D219BC">
              <w:t xml:space="preserve">muude liidu õigusaktidega ette nähtud õigusi, võivad nad nõuda </w:t>
            </w:r>
            <w:r w:rsidRPr="00D219BC">
              <w:rPr>
                <w:b/>
                <w:i/>
              </w:rPr>
              <w:t>tö</w:t>
            </w:r>
            <w:r w:rsidRPr="00D219BC">
              <w:rPr>
                <w:b/>
                <w:i/>
              </w:rPr>
              <w:t>öandjalt</w:t>
            </w:r>
            <w:r w:rsidRPr="00D219BC">
              <w:t xml:space="preserve"> nõuetekohast põhjendust töölt vabastamise või sellega samaväärsete meetmete kohaldamise kohta. </w:t>
            </w:r>
            <w:r w:rsidRPr="00D219BC">
              <w:rPr>
                <w:b/>
                <w:i/>
              </w:rPr>
              <w:t>Tööandja</w:t>
            </w:r>
            <w:r w:rsidRPr="00D219BC">
              <w:t xml:space="preserve"> peab esitama selle põhjenduse kirjalikult.</w:t>
            </w:r>
          </w:p>
        </w:tc>
        <w:tc>
          <w:tcPr>
            <w:tcW w:w="4876" w:type="dxa"/>
          </w:tcPr>
          <w:p w:rsidR="000A359B" w:rsidRPr="00D219BC" w:rsidRDefault="001D653E" w:rsidP="00F14438">
            <w:pPr>
              <w:pStyle w:val="Normal6"/>
              <w:rPr>
                <w:szCs w:val="24"/>
              </w:rPr>
            </w:pPr>
            <w:r w:rsidRPr="00D219BC">
              <w:t>3.</w:t>
            </w:r>
            <w:r w:rsidRPr="00D219BC">
              <w:tab/>
              <w:t>Kui praktikandid arvavad, et nad vabastati töölt või nende suhtes kohaldati samaväärse mõjuga mee</w:t>
            </w:r>
            <w:r w:rsidRPr="00D219BC">
              <w:t xml:space="preserve">tmeid põhjusel, et nad on kasutanud käesoleva direktiiviga või muude liidu õigusaktidega ette nähtud õigusi, võivad nad nõuda </w:t>
            </w:r>
            <w:r w:rsidRPr="00D219BC">
              <w:rPr>
                <w:b/>
                <w:i/>
              </w:rPr>
              <w:t>praktika pakkujalt</w:t>
            </w:r>
            <w:r w:rsidRPr="00D219BC">
              <w:t xml:space="preserve"> nõuetekohast põhjendust töölt vabastamise või sellega samaväärsete meetmete kohaldamise kohta. </w:t>
            </w:r>
            <w:r w:rsidRPr="00D219BC">
              <w:rPr>
                <w:b/>
                <w:i/>
              </w:rPr>
              <w:t>Praktika pakkuja</w:t>
            </w:r>
            <w:r w:rsidRPr="00D219BC">
              <w:t xml:space="preserve"> peab esitama selle põhjenduse kirjalikult.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91</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9 – lõige 4</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4.</w:t>
            </w:r>
            <w:r w:rsidRPr="00D219BC">
              <w:tab/>
              <w:t xml:space="preserve">Liikmesriigid võtavad vajalikud meetmed selle tagamiseks, et kui lõikes 3 osutatud praktikandid esitavad kohtule või muule pädevale asutusele või organile tõendid, mis annavad alust eeldada, et toimus selline töölt vabastamine või et </w:t>
            </w:r>
            <w:r w:rsidRPr="00D219BC">
              <w:t xml:space="preserve">kasutati sellega samaväärseid meetmeid, on </w:t>
            </w:r>
            <w:r w:rsidRPr="00D219BC">
              <w:rPr>
                <w:b/>
                <w:i/>
              </w:rPr>
              <w:t>tööandja</w:t>
            </w:r>
            <w:r w:rsidRPr="00D219BC">
              <w:t xml:space="preserve"> ülesanne tõendada, et töölt vabastamise põhjus oli lõikes 2 osutatust erinev.</w:t>
            </w:r>
          </w:p>
        </w:tc>
        <w:tc>
          <w:tcPr>
            <w:tcW w:w="4876" w:type="dxa"/>
          </w:tcPr>
          <w:p w:rsidR="000A359B" w:rsidRPr="00D219BC" w:rsidRDefault="001D653E" w:rsidP="00F14438">
            <w:pPr>
              <w:pStyle w:val="Normal6"/>
              <w:rPr>
                <w:szCs w:val="24"/>
              </w:rPr>
            </w:pPr>
            <w:r w:rsidRPr="00D219BC">
              <w:t>4.</w:t>
            </w:r>
            <w:r w:rsidRPr="00D219BC">
              <w:tab/>
              <w:t xml:space="preserve">Liikmesriigid võtavad vajalikud meetmed selle tagamiseks, et kui lõikes 3 osutatud praktikandid esitavad kohtule või muule </w:t>
            </w:r>
            <w:r w:rsidRPr="00D219BC">
              <w:t xml:space="preserve">pädevale asutusele või organile tõendid, mis annavad alust eeldada, et toimus selline töölt vabastamine või et kasutati sellega samaväärseid meetmeid, on </w:t>
            </w:r>
            <w:r w:rsidRPr="00D219BC">
              <w:rPr>
                <w:b/>
                <w:i/>
              </w:rPr>
              <w:t>praktika pakkuja</w:t>
            </w:r>
            <w:r w:rsidRPr="00D219BC">
              <w:t xml:space="preserve"> ülesanne tõendada, et töölt vabastamise põhjus oli lõikes 2 osutatust erinev.</w:t>
            </w:r>
          </w:p>
        </w:tc>
      </w:tr>
    </w:tbl>
    <w:p w:rsidR="000A359B" w:rsidRPr="00D219BC" w:rsidRDefault="001D653E" w:rsidP="000A359B">
      <w:pPr>
        <w:pStyle w:val="Olang"/>
      </w:pPr>
      <w:r w:rsidRPr="00D219BC">
        <w:t xml:space="preserve">Or. </w:t>
      </w:r>
      <w:r w:rsidRPr="00D219BC">
        <w:rPr>
          <w:rStyle w:val="HideTWBExt"/>
          <w:noProof w:val="0"/>
        </w:rPr>
        <w:t>&lt;O</w:t>
      </w:r>
      <w:r w:rsidRPr="00D219BC">
        <w:rPr>
          <w:rStyle w:val="HideTWBExt"/>
          <w:noProof w:val="0"/>
        </w:rPr>
        <w:t>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92</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11 – lõige 1</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1.</w:t>
            </w:r>
            <w:r w:rsidRPr="00D219BC">
              <w:tab/>
              <w:t xml:space="preserve">Ühtki käesoleva direktiivi sätet ei </w:t>
            </w:r>
            <w:r w:rsidRPr="00D219BC">
              <w:t xml:space="preserve">tõlgendata nii, et see vähendaks töötajate </w:t>
            </w:r>
            <w:r w:rsidRPr="00D219BC">
              <w:lastRenderedPageBreak/>
              <w:t>kaitset, mis on tagatud muude liidu või siseriiklike õigusaktide, kollektiivlepingute või tavadega.</w:t>
            </w:r>
          </w:p>
        </w:tc>
        <w:tc>
          <w:tcPr>
            <w:tcW w:w="4876" w:type="dxa"/>
          </w:tcPr>
          <w:p w:rsidR="000A359B" w:rsidRPr="00D219BC" w:rsidRDefault="001D653E" w:rsidP="00F14438">
            <w:pPr>
              <w:pStyle w:val="Normal6"/>
              <w:rPr>
                <w:szCs w:val="24"/>
              </w:rPr>
            </w:pPr>
            <w:r w:rsidRPr="00D219BC">
              <w:lastRenderedPageBreak/>
              <w:t>1.</w:t>
            </w:r>
            <w:r w:rsidRPr="00D219BC">
              <w:tab/>
              <w:t>Ühtki käesoleva direktiivi sätet ei tõlgendata nii, et see vähendaks töötajate</w:t>
            </w:r>
            <w:r w:rsidRPr="00D219BC">
              <w:rPr>
                <w:b/>
                <w:i/>
              </w:rPr>
              <w:t xml:space="preserve">, </w:t>
            </w:r>
            <w:r w:rsidRPr="00D219BC">
              <w:rPr>
                <w:b/>
                <w:i/>
              </w:rPr>
              <w:lastRenderedPageBreak/>
              <w:t>sealhulgas praktikantide</w:t>
            </w:r>
            <w:r w:rsidRPr="00D219BC">
              <w:t xml:space="preserve"> kaits</w:t>
            </w:r>
            <w:r w:rsidRPr="00D219BC">
              <w:t>et, mis on tagatud muude liidu või siseriiklike õigusaktide, kollektiivlepingute või tavadega.</w:t>
            </w:r>
          </w:p>
        </w:tc>
      </w:tr>
    </w:tbl>
    <w:p w:rsidR="000A359B" w:rsidRPr="00D219BC" w:rsidRDefault="001D653E" w:rsidP="000A359B">
      <w:pPr>
        <w:pStyle w:val="Olang"/>
      </w:pPr>
      <w:r w:rsidRPr="00D219BC">
        <w:lastRenderedPageBreak/>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93</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11 –</w:t>
      </w:r>
      <w:r w:rsidRPr="00D219BC">
        <w:t xml:space="preserve"> lõige 3</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1D653E" w:rsidP="00F14438">
            <w:pPr>
              <w:pStyle w:val="Normal6"/>
            </w:pPr>
            <w:r w:rsidRPr="00D219BC">
              <w:t>3.</w:t>
            </w:r>
            <w:r w:rsidRPr="00D219BC">
              <w:tab/>
              <w:t xml:space="preserve">Käesolev direktiiv ei piira liikmesriigi õigust kohaldada või kehtestada õigus- või haldusnorme, mis on </w:t>
            </w:r>
            <w:r w:rsidRPr="00D219BC">
              <w:rPr>
                <w:b/>
                <w:i/>
              </w:rPr>
              <w:t>töötajate</w:t>
            </w:r>
            <w:r w:rsidRPr="00D219BC">
              <w:t xml:space="preserve"> jaoks soodsamad, või soodustada või lubada </w:t>
            </w:r>
            <w:r w:rsidRPr="00D219BC">
              <w:rPr>
                <w:b/>
                <w:i/>
              </w:rPr>
              <w:t>töötajate</w:t>
            </w:r>
            <w:r w:rsidRPr="00D219BC">
              <w:t xml:space="preserve"> jaoks soodsamate kollektii</w:t>
            </w:r>
            <w:r w:rsidRPr="00D219BC">
              <w:t>vlepingute kohaldamist.</w:t>
            </w:r>
          </w:p>
        </w:tc>
        <w:tc>
          <w:tcPr>
            <w:tcW w:w="4876" w:type="dxa"/>
          </w:tcPr>
          <w:p w:rsidR="000A359B" w:rsidRPr="00D219BC" w:rsidRDefault="001D653E" w:rsidP="00F14438">
            <w:pPr>
              <w:pStyle w:val="Normal6"/>
              <w:rPr>
                <w:szCs w:val="24"/>
              </w:rPr>
            </w:pPr>
            <w:r w:rsidRPr="00D219BC">
              <w:t>3.</w:t>
            </w:r>
            <w:r w:rsidRPr="00D219BC">
              <w:tab/>
              <w:t xml:space="preserve">Käesolev direktiiv ei piira liikmesriigi õigust kohaldada või kehtestada õigus- või haldusnorme, mis on </w:t>
            </w:r>
            <w:r w:rsidRPr="00D219BC">
              <w:rPr>
                <w:b/>
                <w:i/>
              </w:rPr>
              <w:t>praktikantide</w:t>
            </w:r>
            <w:r w:rsidRPr="00D219BC">
              <w:t xml:space="preserve"> jaoks soodsamad, või soodustada või lubada </w:t>
            </w:r>
            <w:r w:rsidRPr="00D219BC">
              <w:rPr>
                <w:b/>
                <w:i/>
              </w:rPr>
              <w:t>praktikantide</w:t>
            </w:r>
            <w:r w:rsidRPr="00D219BC">
              <w:t xml:space="preserve"> jaoks soodsamate kollektiivlepingute kohaldamist.</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w:t>
      </w:r>
    </w:p>
    <w:p w:rsidR="000A359B" w:rsidRPr="00D219BC" w:rsidRDefault="001D653E" w:rsidP="000A359B">
      <w:pPr>
        <w:pStyle w:val="AMNumberTabs0"/>
        <w:keepNext/>
      </w:pPr>
      <w:r w:rsidRPr="00D219BC">
        <w:rPr>
          <w:rStyle w:val="HideTWBExt"/>
          <w:b w:val="0"/>
        </w:rPr>
        <w:t>&lt;Amend&gt;</w:t>
      </w:r>
      <w:r w:rsidRPr="00D219BC">
        <w:t>Muudatusettepanek</w:t>
      </w:r>
      <w:r w:rsidRPr="00D219BC">
        <w:tab/>
      </w:r>
      <w:r w:rsidRPr="00D219BC">
        <w:tab/>
      </w:r>
      <w:r w:rsidRPr="00D219BC">
        <w:rPr>
          <w:rStyle w:val="HideTWBExt"/>
          <w:b w:val="0"/>
        </w:rPr>
        <w:t>&lt;NumAm&gt;</w:t>
      </w:r>
      <w:r w:rsidRPr="00D219BC">
        <w:t>94</w:t>
      </w:r>
      <w:r w:rsidRPr="00D219BC">
        <w:rPr>
          <w:rStyle w:val="HideTWBExt"/>
          <w:b w:val="0"/>
        </w:rPr>
        <w:t>&lt;/NumAm&gt;</w:t>
      </w:r>
    </w:p>
    <w:p w:rsidR="000A359B" w:rsidRPr="00D219BC" w:rsidRDefault="001D653E" w:rsidP="000A359B">
      <w:pPr>
        <w:pStyle w:val="NormalBold12b"/>
        <w:keepNext/>
      </w:pPr>
      <w:r w:rsidRPr="00D219BC">
        <w:rPr>
          <w:rStyle w:val="HideTWBExt"/>
          <w:b w:val="0"/>
        </w:rPr>
        <w:t>&lt;DocAmend&gt;</w:t>
      </w:r>
      <w:r w:rsidRPr="00D219BC">
        <w:t>Ettepanek võtta vastu direktiiv</w:t>
      </w:r>
      <w:r w:rsidRPr="00D219BC">
        <w:rPr>
          <w:rStyle w:val="HideTWBExt"/>
          <w:b w:val="0"/>
        </w:rPr>
        <w:t>&lt;/DocAmend&gt;</w:t>
      </w:r>
    </w:p>
    <w:p w:rsidR="000A359B" w:rsidRPr="00D219BC" w:rsidRDefault="001D653E" w:rsidP="000A359B">
      <w:pPr>
        <w:pStyle w:val="NormalBold"/>
      </w:pPr>
      <w:r w:rsidRPr="00D219BC">
        <w:rPr>
          <w:rStyle w:val="HideTWBExt"/>
          <w:b w:val="0"/>
        </w:rPr>
        <w:t>&lt;Article&gt;</w:t>
      </w:r>
      <w:r w:rsidRPr="00D219BC">
        <w:t>Artikkel 11 – lõige 3 a (uus)</w:t>
      </w:r>
      <w:r w:rsidRPr="00D219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7288" w:rsidRPr="00D219BC" w:rsidTr="00F14438">
        <w:trPr>
          <w:jc w:val="center"/>
        </w:trPr>
        <w:tc>
          <w:tcPr>
            <w:tcW w:w="9752" w:type="dxa"/>
            <w:gridSpan w:val="2"/>
          </w:tcPr>
          <w:p w:rsidR="000A359B" w:rsidRPr="00D219BC" w:rsidRDefault="000A359B" w:rsidP="00F14438">
            <w:pPr>
              <w:keepNext/>
            </w:pPr>
          </w:p>
        </w:tc>
      </w:tr>
      <w:tr w:rsidR="00447288" w:rsidRPr="00D219BC" w:rsidTr="00F14438">
        <w:trPr>
          <w:jc w:val="center"/>
        </w:trPr>
        <w:tc>
          <w:tcPr>
            <w:tcW w:w="4876" w:type="dxa"/>
          </w:tcPr>
          <w:p w:rsidR="000A359B" w:rsidRPr="00D219BC" w:rsidRDefault="001D653E" w:rsidP="00F14438">
            <w:pPr>
              <w:pStyle w:val="ColumnHeading"/>
              <w:keepNext/>
            </w:pPr>
            <w:r w:rsidRPr="00D219BC">
              <w:t>Komisjoni ettepanek</w:t>
            </w:r>
          </w:p>
        </w:tc>
        <w:tc>
          <w:tcPr>
            <w:tcW w:w="4876" w:type="dxa"/>
          </w:tcPr>
          <w:p w:rsidR="000A359B" w:rsidRPr="00D219BC" w:rsidRDefault="001D653E" w:rsidP="00F14438">
            <w:pPr>
              <w:pStyle w:val="ColumnHeading"/>
              <w:keepNext/>
            </w:pPr>
            <w:r w:rsidRPr="00D219BC">
              <w:t>Muudatusettepanek</w:t>
            </w:r>
          </w:p>
        </w:tc>
      </w:tr>
      <w:tr w:rsidR="00447288" w:rsidRPr="00D219BC" w:rsidTr="00F14438">
        <w:trPr>
          <w:jc w:val="center"/>
        </w:trPr>
        <w:tc>
          <w:tcPr>
            <w:tcW w:w="4876" w:type="dxa"/>
          </w:tcPr>
          <w:p w:rsidR="000A359B" w:rsidRPr="00D219BC" w:rsidRDefault="000A359B" w:rsidP="00F14438">
            <w:pPr>
              <w:pStyle w:val="Normal6"/>
            </w:pPr>
          </w:p>
        </w:tc>
        <w:tc>
          <w:tcPr>
            <w:tcW w:w="4876" w:type="dxa"/>
          </w:tcPr>
          <w:p w:rsidR="000A359B" w:rsidRPr="00D219BC" w:rsidRDefault="001D653E" w:rsidP="00032824">
            <w:pPr>
              <w:pStyle w:val="Normal6"/>
              <w:rPr>
                <w:szCs w:val="24"/>
              </w:rPr>
            </w:pPr>
            <w:r w:rsidRPr="00D219BC">
              <w:rPr>
                <w:b/>
                <w:i/>
              </w:rPr>
              <w:t>3a.</w:t>
            </w:r>
            <w:r w:rsidRPr="00D219BC">
              <w:rPr>
                <w:b/>
                <w:i/>
              </w:rPr>
              <w:tab/>
              <w:t xml:space="preserve">Liikmesriigid võivad </w:t>
            </w:r>
            <w:r w:rsidRPr="00D219BC">
              <w:rPr>
                <w:b/>
                <w:i/>
              </w:rPr>
              <w:t>tingimusel, et riiklikud sotsiaalpartnerid lepivad selles ühiselt kokku, anda tööturu osapooltele asjakohasel tasandil ja liikmesriikide kehtestatud tingimustel võimaluse säilitada või sõlmida kollektiivlepinguid, et rakendada või täiendada käesolevas dire</w:t>
            </w:r>
            <w:r w:rsidRPr="00D219BC">
              <w:rPr>
                <w:b/>
                <w:i/>
              </w:rPr>
              <w:t>ktiivis sätestatud õigusi.</w:t>
            </w:r>
          </w:p>
        </w:tc>
      </w:tr>
    </w:tbl>
    <w:p w:rsidR="000A359B" w:rsidRPr="00D219BC" w:rsidRDefault="001D653E" w:rsidP="000A359B">
      <w:pPr>
        <w:pStyle w:val="Olang"/>
      </w:pPr>
      <w:r w:rsidRPr="00D219BC">
        <w:t xml:space="preserve">Or. </w:t>
      </w:r>
      <w:r w:rsidRPr="00D219BC">
        <w:rPr>
          <w:rStyle w:val="HideTWBExt"/>
          <w:noProof w:val="0"/>
        </w:rPr>
        <w:t>&lt;Original&gt;</w:t>
      </w:r>
      <w:r w:rsidRPr="00D219BC">
        <w:rPr>
          <w:rStyle w:val="HideTWBInt"/>
        </w:rPr>
        <w:t>{EN}</w:t>
      </w:r>
      <w:r w:rsidRPr="00D219BC">
        <w:t>en</w:t>
      </w:r>
      <w:r w:rsidRPr="00D219BC">
        <w:rPr>
          <w:rStyle w:val="HideTWBExt"/>
          <w:noProof w:val="0"/>
        </w:rPr>
        <w:t>&lt;/Original&gt;</w:t>
      </w:r>
    </w:p>
    <w:p w:rsidR="000A359B" w:rsidRPr="00D219BC" w:rsidRDefault="001D653E" w:rsidP="000A359B">
      <w:r w:rsidRPr="00D219BC">
        <w:rPr>
          <w:rStyle w:val="HideTWBExt"/>
        </w:rPr>
        <w:t>&lt;/Amend&gt;&lt;/RepeatBlock-Amend&gt;</w:t>
      </w:r>
    </w:p>
    <w:p w:rsidR="000A359B" w:rsidRPr="00D219BC" w:rsidRDefault="000A359B" w:rsidP="000A359B"/>
    <w:p w:rsidR="000A359B" w:rsidRPr="00D219BC" w:rsidRDefault="000A359B">
      <w:pPr>
        <w:widowControl/>
        <w:sectPr w:rsidR="000A359B" w:rsidRPr="00D219BC" w:rsidSect="00D219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3158B" w:rsidRPr="00D219BC" w:rsidRDefault="001D653E" w:rsidP="0013158B">
      <w:pPr>
        <w:pStyle w:val="PageHeading"/>
      </w:pPr>
      <w:bookmarkStart w:id="2" w:name="_Toc192850649"/>
      <w:r w:rsidRPr="00D219BC">
        <w:lastRenderedPageBreak/>
        <w:t>SELETUSKIRI</w:t>
      </w:r>
      <w:bookmarkEnd w:id="2"/>
    </w:p>
    <w:p w:rsidR="00103A3D" w:rsidRPr="00D219BC" w:rsidRDefault="001D653E" w:rsidP="00103A3D">
      <w:pPr>
        <w:spacing w:line="276" w:lineRule="auto"/>
        <w:rPr>
          <w:szCs w:val="24"/>
        </w:rPr>
      </w:pPr>
      <w:r w:rsidRPr="00D219BC">
        <w:rPr>
          <w:b/>
          <w:color w:val="000000"/>
        </w:rPr>
        <w:t>TAUST</w:t>
      </w:r>
    </w:p>
    <w:p w:rsidR="00103A3D" w:rsidRPr="00D219BC" w:rsidRDefault="00103A3D" w:rsidP="00103A3D">
      <w:pPr>
        <w:spacing w:line="276" w:lineRule="auto"/>
      </w:pPr>
    </w:p>
    <w:p w:rsidR="00805D70" w:rsidRPr="00D219BC" w:rsidRDefault="001D653E" w:rsidP="00805D70">
      <w:pPr>
        <w:spacing w:line="276" w:lineRule="auto"/>
        <w:rPr>
          <w:szCs w:val="24"/>
        </w:rPr>
      </w:pPr>
      <w:r w:rsidRPr="00D219BC">
        <w:rPr>
          <w:color w:val="000000"/>
        </w:rPr>
        <w:t xml:space="preserve">Liidus pakutavate praktikavõimaluste arv kasvab kiiresti. Hinnanguliselt läbib enamik 18–35-aastaseid (ligi 78 %) praegu </w:t>
      </w:r>
      <w:r w:rsidRPr="00D219BC">
        <w:rPr>
          <w:color w:val="000000"/>
        </w:rPr>
        <w:t>praktikat, kusjuures 2030. aastaks peaks see arv suurenema vähemalt 16 %.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 xml:space="preserve">Hoolimata praktika levimusest on see endiselt laialt ja ebaselgelt määratletud mõiste. Üldmõiste hõlmab kõike alates ülikooli lõpetanutele suunatud praktikast, mida reklaamitakse </w:t>
      </w:r>
      <w:r w:rsidRPr="00D219BC">
        <w:rPr>
          <w:color w:val="000000"/>
        </w:rPr>
        <w:t>avatud tööturul (nimetatakse sageli „praktikaks“) kuni teatavate kutsealade (nt arstid või juristid) kohustusliku koolituse, ülikooli ainepunktide teenimiseks läbitava praktika ja aktiivse tööturupoliitika raames toimuva praktikani. Need on vaid näited, mi</w:t>
      </w:r>
      <w:r w:rsidRPr="00D219BC">
        <w:rPr>
          <w:color w:val="000000"/>
        </w:rPr>
        <w:t xml:space="preserve">tte õiguslikud kategooriad, ja kattuvad sageli.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Kõikide nimetatud praktikatüüpide eesmärk on anda noortele võimalus teha lühiajalist algtaseme tööd, et aidata noortel omandada praktilisi ja erialaseid oskusi, et hõlbustada üleminekut hariduse omandamisel</w:t>
      </w:r>
      <w:r w:rsidRPr="00D219BC">
        <w:rPr>
          <w:color w:val="000000"/>
        </w:rPr>
        <w:t>t stabiilsele töökohale või tegevuse alustamist konkreetsel kutsealal. Nende oskuste omandamiseks töökohal eeldatakse õigustatult, et praktikant teeb praktika ajal tööd.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Praktika võib olla märkimisväärselt kasulik nii praktikandile kui ka praktika pakkuj</w:t>
      </w:r>
      <w:r w:rsidRPr="00D219BC">
        <w:rPr>
          <w:color w:val="000000"/>
        </w:rPr>
        <w:t>ale. Praktika annab noortele hea juurdepääsu tööturule ja teatavatele kutsealadele ning aitab täiendada nende akadeemilisi oskusi. Praktika pakkuja seisukohalt on see võimalus noori tööle meelitada, neid koolitada ja sellel töökohal hoida, vähendades samal</w:t>
      </w:r>
      <w:r w:rsidRPr="00D219BC">
        <w:rPr>
          <w:color w:val="000000"/>
        </w:rPr>
        <w:t xml:space="preserve"> ajal värbamiskulusid. See kasu avaldub üksnes juhul, kui praktika on piisavalt reguleeritud.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Asjakohase reguleerimiseta võib praktika endast ohtu kujutada. Selguse puudumine praktika kontseptsiooni ja praktikandi õiguste osas on põhjustanud juhtumeid, k</w:t>
      </w:r>
      <w:r w:rsidRPr="00D219BC">
        <w:rPr>
          <w:color w:val="000000"/>
        </w:rPr>
        <w:t>us töölevõetud noori ei kaitsta võimaliku kahju ega ekspluateerimise eest.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On kaks põhiprobleemi: esiteks võib praktika olla diskrimineeriv. Tasustamata või halvasti tasustatud praktikad ei ole haavatava taustaga noortele kättesaadavavad. 2017. aastal ni</w:t>
      </w:r>
      <w:r w:rsidRPr="00D219BC">
        <w:rPr>
          <w:color w:val="000000"/>
        </w:rPr>
        <w:t xml:space="preserve">metas Euroopa Ombudsman tasustamata praktikaid </w:t>
      </w:r>
      <w:r w:rsidRPr="00D219BC">
        <w:rPr>
          <w:color w:val="000000"/>
          <w:shd w:val="clear" w:color="auto" w:fill="FFFFFF"/>
        </w:rPr>
        <w:t>nõiaringiks, kus privileegid suurendavad privileege. Õiglase töötasu ja õiguste puudumine tähendab, et noori diskrimineeritakse ka vanuse, rassi, puude ja soo tõttu. Näiteks on seksuaalse ahistamise ohvriks la</w:t>
      </w:r>
      <w:r w:rsidRPr="00D219BC">
        <w:rPr>
          <w:color w:val="000000"/>
          <w:shd w:val="clear" w:color="auto" w:fill="FFFFFF"/>
        </w:rPr>
        <w:t>ngenud naised tihti tasustamata praktikandid, ning puuetega praktikandid saavad vähem abi kui puuetega töötajad. Diskrimineerimine võib tuleneda ka töötaja staatusest:</w:t>
      </w:r>
      <w:r>
        <w:rPr>
          <w:color w:val="000000"/>
          <w:shd w:val="clear" w:color="auto" w:fill="FFFFFF"/>
        </w:rPr>
        <w:t xml:space="preserve"> </w:t>
      </w:r>
      <w:r w:rsidRPr="00D219BC">
        <w:rPr>
          <w:color w:val="000000"/>
          <w:shd w:val="clear" w:color="auto" w:fill="FFFFFF"/>
        </w:rPr>
        <w:t>ebavõrdseks kohtlemiseks loetakse seda, kui praktikant ei saa asutuse töötajaga sama tö</w:t>
      </w:r>
      <w:r w:rsidRPr="00D219BC">
        <w:rPr>
          <w:color w:val="000000"/>
          <w:shd w:val="clear" w:color="auto" w:fill="FFFFFF"/>
        </w:rPr>
        <w:t>ö tegemise eest tasu, ning kui praktikant ei saa tasu, sest ta läbib õppekavajärgset praktikat.</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Teine probleem on praktika kuritahtliku kasutamise tavad. Selle asemel, et hõlbustada üleminekut hariduse omandamiselt stabiilsele töökohale või tegevuse alust</w:t>
      </w:r>
      <w:r w:rsidRPr="00D219BC">
        <w:rPr>
          <w:color w:val="000000"/>
        </w:rPr>
        <w:t xml:space="preserve">amist konkreetsel </w:t>
      </w:r>
      <w:r w:rsidRPr="00D219BC">
        <w:rPr>
          <w:color w:val="000000"/>
        </w:rPr>
        <w:lastRenderedPageBreak/>
        <w:t>kutsealal, asendatakse algtaseme töökohad odava ja reguleerimata praktikaga, ilma et oleks tagatud koolitusvõimalused. Eelkõige võib seda täheldada akadeemilise või erialase õppe raames läbitava praktika puhul: eeldus, et selline praktika</w:t>
      </w:r>
      <w:r w:rsidRPr="00D219BC">
        <w:rPr>
          <w:color w:val="000000"/>
        </w:rPr>
        <w:t xml:space="preserve"> on kvaliteetsem, on empiiriliste andmete põhjal kahtluse alla seatud, eriti </w:t>
      </w:r>
      <w:r w:rsidRPr="00D219BC">
        <w:rPr>
          <w:color w:val="2A2A2A"/>
          <w:shd w:val="clear" w:color="auto" w:fill="FFFFFF"/>
        </w:rPr>
        <w:t>reguleerimata ametite esilekerkimise tõttu, mida ülikoolid kasutavad praktikakohtade leidmiseks.</w:t>
      </w:r>
      <w:r>
        <w:rPr>
          <w:color w:val="2A2A2A"/>
          <w:shd w:val="clear" w:color="auto" w:fill="FFFFFF"/>
        </w:rPr>
        <w:t xml:space="preserve"> </w:t>
      </w:r>
    </w:p>
    <w:p w:rsidR="00805D70" w:rsidRPr="00D219BC" w:rsidRDefault="00805D70" w:rsidP="00805D70">
      <w:pPr>
        <w:spacing w:line="276" w:lineRule="auto"/>
        <w:rPr>
          <w:szCs w:val="24"/>
        </w:rPr>
      </w:pPr>
    </w:p>
    <w:p w:rsidR="00805D70" w:rsidRPr="00D219BC" w:rsidRDefault="001D653E" w:rsidP="00805D70">
      <w:pPr>
        <w:spacing w:line="276" w:lineRule="auto"/>
        <w:rPr>
          <w:color w:val="000000"/>
          <w:szCs w:val="24"/>
        </w:rPr>
      </w:pPr>
      <w:r w:rsidRPr="00D219BC">
        <w:rPr>
          <w:color w:val="000000"/>
        </w:rPr>
        <w:t>Praegune selguse puudumine praktikandi õiguste osas tekitab ebavõrdsust ka liik</w:t>
      </w:r>
      <w:r w:rsidRPr="00D219BC">
        <w:rPr>
          <w:color w:val="000000"/>
        </w:rPr>
        <w:t>mesriikide ja asutuste vahel, kuna mõned tasustamata praktika pakkujad teenivad kasu nende arvelt, kes oma praktikantidele maksavad.</w:t>
      </w:r>
    </w:p>
    <w:p w:rsidR="00FF6E7F" w:rsidRPr="00D219BC" w:rsidRDefault="00FF6E7F" w:rsidP="00FF6E7F">
      <w:pPr>
        <w:spacing w:line="276" w:lineRule="auto"/>
        <w:rPr>
          <w:b/>
          <w:bCs/>
          <w:color w:val="000000"/>
          <w:sz w:val="22"/>
          <w:szCs w:val="22"/>
        </w:rPr>
      </w:pPr>
    </w:p>
    <w:p w:rsidR="00FF6E7F" w:rsidRPr="00D219BC" w:rsidRDefault="001D653E" w:rsidP="00FF6E7F">
      <w:pPr>
        <w:spacing w:line="276" w:lineRule="auto"/>
        <w:rPr>
          <w:szCs w:val="24"/>
        </w:rPr>
      </w:pPr>
      <w:r w:rsidRPr="00D219BC">
        <w:rPr>
          <w:b/>
          <w:color w:val="000000"/>
        </w:rPr>
        <w:t>RAPORTI PROJEKTI KÄSITLUSVIIS</w:t>
      </w:r>
    </w:p>
    <w:p w:rsidR="00FF6E7F" w:rsidRPr="00D219BC" w:rsidRDefault="00FF6E7F" w:rsidP="00FF6E7F">
      <w:pPr>
        <w:spacing w:line="276" w:lineRule="auto"/>
      </w:pPr>
    </w:p>
    <w:p w:rsidR="00805D70" w:rsidRPr="00D219BC" w:rsidRDefault="001D653E" w:rsidP="00805D70">
      <w:pPr>
        <w:spacing w:line="276" w:lineRule="auto"/>
        <w:rPr>
          <w:szCs w:val="24"/>
        </w:rPr>
      </w:pPr>
      <w:r w:rsidRPr="00D219BC">
        <w:rPr>
          <w:color w:val="000000"/>
        </w:rPr>
        <w:t>Eespool nimetatud kaks probleemi – diskrimineerimine ja praktika kuritahtliku kasutamise ta</w:t>
      </w:r>
      <w:r w:rsidRPr="00D219BC">
        <w:rPr>
          <w:color w:val="000000"/>
        </w:rPr>
        <w:t>vad – on otseselt tingitud õigusliku selguse puudumisest. Praktika kuritahtlik kasutamine on eelkõige tingitud sellest, et liikmesriikide õigusraamistikud on keerukad, üksteisest erinevad või puuduvad hoopis ning nende täitmine ei ole piisavalt tagatud.</w:t>
      </w:r>
      <w:r w:rsidRPr="00D219BC">
        <w:rPr>
          <w:color w:val="4A86E8"/>
        </w:rPr>
        <w:t>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shd w:val="clear" w:color="auto" w:fill="FFFFFF"/>
        </w:rPr>
        <w:t>Seda hoolimata asjaolust, et Euroopa Kohus on korduvalt väljendanud seisukohta, et mõiste „töötaja“ ELTL artikli 45 tähenduses hõlmab isikut, kes läbib praktikat. Euroopa Liidu Kohtu praktika kohaselt on töösuhte kriteeriumiks see, et isik osutab teatava a</w:t>
      </w:r>
      <w:r w:rsidRPr="00D219BC">
        <w:rPr>
          <w:color w:val="000000"/>
          <w:shd w:val="clear" w:color="auto" w:fill="FFFFFF"/>
        </w:rPr>
        <w:t>ja jooksul teisele isikule ja tema juhtimisel teenuseid, saades selle eest tasu.</w:t>
      </w:r>
      <w:r w:rsidRPr="00D219BC">
        <w:rPr>
          <w:color w:val="000000"/>
        </w:rPr>
        <w:t xml:space="preserve"> </w:t>
      </w:r>
      <w:r w:rsidRPr="00D219BC">
        <w:rPr>
          <w:color w:val="000000"/>
          <w:shd w:val="clear" w:color="auto" w:fill="FFFFFF"/>
        </w:rPr>
        <w:t xml:space="preserve">See hõlmab kõiki, kes teevad tegelikku ja tulemuslikku tööd, välja arvatud niivõrd väikesemahulist tööd, et seda saab pidada üksnes kõrval- või lisategevuseks. </w:t>
      </w:r>
    </w:p>
    <w:p w:rsidR="00805D70" w:rsidRPr="00D219BC" w:rsidRDefault="001D653E" w:rsidP="00805D70">
      <w:pPr>
        <w:spacing w:line="276" w:lineRule="auto"/>
        <w:rPr>
          <w:szCs w:val="24"/>
        </w:rPr>
      </w:pPr>
      <w:r w:rsidRPr="00D219BC">
        <w:rPr>
          <w:color w:val="000000"/>
          <w:shd w:val="clear" w:color="auto" w:fill="FFFFFF"/>
        </w:rPr>
        <w:t> </w:t>
      </w:r>
    </w:p>
    <w:p w:rsidR="00805D70" w:rsidRPr="00D219BC" w:rsidRDefault="001D653E" w:rsidP="00805D70">
      <w:pPr>
        <w:spacing w:line="276" w:lineRule="auto"/>
        <w:rPr>
          <w:color w:val="000000"/>
          <w:szCs w:val="24"/>
          <w:shd w:val="clear" w:color="auto" w:fill="FFFFFF"/>
        </w:rPr>
      </w:pPr>
      <w:r w:rsidRPr="00D219BC">
        <w:rPr>
          <w:color w:val="000000"/>
          <w:shd w:val="clear" w:color="auto" w:fill="FFFFFF"/>
        </w:rPr>
        <w:t>Praktikandid</w:t>
      </w:r>
      <w:r w:rsidRPr="00D219BC">
        <w:rPr>
          <w:color w:val="000000"/>
          <w:shd w:val="clear" w:color="auto" w:fill="FFFFFF"/>
        </w:rPr>
        <w:t xml:space="preserve"> vastavad Euroopa Kohtu praktika kohaselt sellele töötaja määratlusele. Seda seetõttu, et mõiste „töötaja“ ja mõiste „praktikant“ (nagu on määratletud 2014. aasta kvaliteediraamistiku soovituses) kattuvad põhimõtteliselt. Praktikandid täidavad ülesandeid p</w:t>
      </w:r>
      <w:r w:rsidRPr="00D219BC">
        <w:rPr>
          <w:color w:val="000000"/>
          <w:shd w:val="clear" w:color="auto" w:fill="FFFFFF"/>
        </w:rPr>
        <w:t>raktika pakkuja juhtimisel ning teevad „tegelikku ja tulemuslikku“ tööd. Töötasu puudumine iseenesest ei takista tasustamata praktikantide liigitamist töötajateks (vastasel juhul tekiks olukord, kus kõik tööandjad võivad väita, et nende töötajad ei ole töö</w:t>
      </w:r>
      <w:r w:rsidRPr="00D219BC">
        <w:rPr>
          <w:color w:val="000000"/>
          <w:shd w:val="clear" w:color="auto" w:fill="FFFFFF"/>
        </w:rPr>
        <w:t xml:space="preserve">tajad, sest nad ei saa palka). Töötasu ei ole valmistanud probleeme ka teiste Euroopa Liidu Kohtu otsuste puhul, milles käsitletakse töötaja staatust. „Tegelik ja tulemuslik“ töö viitab tööle, mille puhul ei ole tegemist üksnes kõrval- või lisategevusega, </w:t>
      </w:r>
      <w:r w:rsidRPr="00D219BC">
        <w:rPr>
          <w:color w:val="000000"/>
          <w:shd w:val="clear" w:color="auto" w:fill="FFFFFF"/>
        </w:rPr>
        <w:t>ning Euroopa Liidu Kohus on sedastanud, et see hõlmab praktika raames „tööd, mida tehakse oskuste omandamiseks või parandamiseks või kutseõppe läbimiseks“.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shd w:val="clear" w:color="auto" w:fill="FFFFFF"/>
        </w:rPr>
        <w:t>Kõige märkimisväärsem on see, et praktikandid teevad põhjaliku ja tugeva õppe eesmärgil „tegelikku</w:t>
      </w:r>
      <w:r w:rsidRPr="00D219BC">
        <w:rPr>
          <w:color w:val="000000"/>
          <w:shd w:val="clear" w:color="auto" w:fill="FFFFFF"/>
        </w:rPr>
        <w:t xml:space="preserve"> ja tulemuslikku“ tööd, mitte abitööd (nagu on nõutud 2014. aasta soovituses). Õppimiseks peavad praktikandid tegema tegelikku ja tulemuslikku tööd, mis tähendab, et nad liigitatakse töötajateks. </w:t>
      </w:r>
    </w:p>
    <w:p w:rsidR="00805D70" w:rsidRPr="00D219BC" w:rsidRDefault="001D653E" w:rsidP="00805D70">
      <w:pPr>
        <w:spacing w:line="276" w:lineRule="auto"/>
        <w:rPr>
          <w:szCs w:val="24"/>
        </w:rPr>
      </w:pPr>
      <w:r w:rsidRPr="00D219BC">
        <w:rPr>
          <w:color w:val="000000"/>
          <w:shd w:val="clear" w:color="auto" w:fill="FFFFFF"/>
        </w:rPr>
        <w:t> </w:t>
      </w:r>
    </w:p>
    <w:p w:rsidR="00805D70" w:rsidRPr="00D219BC" w:rsidRDefault="001D653E" w:rsidP="00805D70">
      <w:pPr>
        <w:spacing w:line="276" w:lineRule="auto"/>
        <w:rPr>
          <w:szCs w:val="24"/>
        </w:rPr>
      </w:pPr>
      <w:r w:rsidRPr="00D219BC">
        <w:rPr>
          <w:color w:val="000000"/>
          <w:shd w:val="clear" w:color="auto" w:fill="FFFFFF"/>
        </w:rPr>
        <w:t>See kehtib igat liiki praktikantidele. Euroopa Liidu Kohu</w:t>
      </w:r>
      <w:r w:rsidRPr="00D219BC">
        <w:rPr>
          <w:color w:val="000000"/>
          <w:shd w:val="clear" w:color="auto" w:fill="FFFFFF"/>
        </w:rPr>
        <w:t xml:space="preserve">s on kohaldanud tööhõivealast seost </w:t>
      </w:r>
      <w:r w:rsidRPr="00D219BC">
        <w:rPr>
          <w:color w:val="2A2A2A"/>
          <w:shd w:val="clear" w:color="auto" w:fill="FFFFFF"/>
        </w:rPr>
        <w:t>kõigile neljale praktikaliigile:</w:t>
      </w:r>
      <w:r w:rsidRPr="00D219BC">
        <w:rPr>
          <w:color w:val="000000"/>
        </w:rPr>
        <w:t xml:space="preserve"> avatud turu tingimustes toimuvale praktikale, kutsealase </w:t>
      </w:r>
      <w:r w:rsidRPr="00D219BC">
        <w:rPr>
          <w:color w:val="000000"/>
        </w:rPr>
        <w:lastRenderedPageBreak/>
        <w:t xml:space="preserve">koolituse kohustusliku osana toimuvale praktikale, aktiivse tööturupoliitika raames toimuvale praktikale ja erialaõpingute raames </w:t>
      </w:r>
      <w:r w:rsidRPr="00D219BC">
        <w:rPr>
          <w:color w:val="000000"/>
        </w:rPr>
        <w:t xml:space="preserve">toimuvale praktikale. </w:t>
      </w:r>
      <w:r w:rsidRPr="00D219BC">
        <w:rPr>
          <w:color w:val="2A2A2A"/>
          <w:shd w:val="clear" w:color="auto" w:fill="FFFFFF"/>
        </w:rPr>
        <w:t>Euroopa Liidu Kohus on andnud kutsekvalifikatsioonina tunnustatud õpipoisiõppe läbijale samuti töötaja staatuse.</w:t>
      </w:r>
    </w:p>
    <w:p w:rsidR="00805D70" w:rsidRPr="00D219BC" w:rsidRDefault="001D653E" w:rsidP="00805D70">
      <w:pPr>
        <w:spacing w:line="276" w:lineRule="auto"/>
        <w:rPr>
          <w:szCs w:val="24"/>
        </w:rPr>
      </w:pPr>
      <w:r w:rsidRPr="00D219BC">
        <w:rPr>
          <w:color w:val="000000"/>
          <w:vertAlign w:val="superscript"/>
        </w:rPr>
        <w:t> </w:t>
      </w:r>
    </w:p>
    <w:p w:rsidR="00805D70" w:rsidRPr="00D219BC" w:rsidRDefault="001D653E" w:rsidP="00805D70">
      <w:pPr>
        <w:spacing w:line="276" w:lineRule="auto"/>
        <w:rPr>
          <w:szCs w:val="24"/>
        </w:rPr>
      </w:pPr>
      <w:r w:rsidRPr="00D219BC">
        <w:rPr>
          <w:color w:val="000000"/>
        </w:rPr>
        <w:t>Praktika reguleerimise üks peamine mureküsimus on vastuolu asjaoluga, et enamasti peetakse praktikante Euroopa Liidu Ko</w:t>
      </w:r>
      <w:r w:rsidRPr="00D219BC">
        <w:rPr>
          <w:color w:val="000000"/>
        </w:rPr>
        <w:t>htu kriteeriumide kohaselt töötajateks. Lisaks tekitab muret asjaolu, et kui mõiste „praktikant“ määratlemisel ei ole kehtestatud selgeid õigusi, ei ole võimalik eristada „valepraktikante“ tegelikest praktikantidest. Samuti tekitab probleeme õpipoisiõppe m</w:t>
      </w:r>
      <w:r w:rsidRPr="00D219BC">
        <w:rPr>
          <w:color w:val="000000"/>
        </w:rPr>
        <w:t>udelist kõrvalekaldumine: tegemist on keskajast pärit õppemeetodiga, kus noored saavad tunnustatud kvalifikatsiooni omandamise ajal madalamat palka. Praktikandid ei saa aga kumbagi.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Seetõttu on Euroopa Liidu Kohtu praktikaga paremini kooskõlas, kui prakt</w:t>
      </w:r>
      <w:r w:rsidRPr="00D219BC">
        <w:rPr>
          <w:color w:val="000000"/>
        </w:rPr>
        <w:t>ikante käsitatakse töötaja liigi või alarühmana. Kehtivate ELi sätete alusel võib praktikante võrrelda osalise tööajaga, tähtajaliste või renditöötajatega.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Seda silmas pidades on ELi toimimise lepingu artikli 153 lõike 1 punkt b direktiivi asjakohane alu</w:t>
      </w:r>
      <w:r w:rsidRPr="00D219BC">
        <w:rPr>
          <w:color w:val="000000"/>
        </w:rPr>
        <w:t>s, kuna selles käsitletakse praktikantide töötingimusi. ELi toimimise lepingu artikli 165 lõike 4 ja artikli 166 lõike 4 kohaselt ei ole liit pädev vastu võtma haridust või kutseõpet käsitlevat direktiivi. Akadeemilise või erialaõpingute raames toimuva pra</w:t>
      </w:r>
      <w:r w:rsidRPr="00D219BC">
        <w:rPr>
          <w:color w:val="000000"/>
        </w:rPr>
        <w:t>ktika hõlmab mõlemat vastutusvaldkonda, kuna nende eesmärk on pakkuda õppeprogrammi ajal töökogemust.</w:t>
      </w:r>
      <w:r>
        <w:rPr>
          <w:color w:val="000000"/>
        </w:rPr>
        <w:t xml:space="preserve"> </w:t>
      </w:r>
    </w:p>
    <w:p w:rsidR="00805D70" w:rsidRPr="00D219BC" w:rsidRDefault="001D653E" w:rsidP="00805D70">
      <w:pPr>
        <w:spacing w:line="276" w:lineRule="auto"/>
        <w:rPr>
          <w:szCs w:val="24"/>
        </w:rPr>
      </w:pPr>
      <w:r w:rsidRPr="00D219BC">
        <w:rPr>
          <w:color w:val="000000"/>
        </w:rPr>
        <w:t> </w:t>
      </w:r>
    </w:p>
    <w:p w:rsidR="00805D70" w:rsidRPr="00D219BC" w:rsidRDefault="001D653E" w:rsidP="00805D70">
      <w:pPr>
        <w:spacing w:line="276" w:lineRule="auto"/>
        <w:rPr>
          <w:color w:val="000000"/>
          <w:szCs w:val="24"/>
        </w:rPr>
      </w:pPr>
      <w:r w:rsidRPr="00D219BC">
        <w:rPr>
          <w:color w:val="000000"/>
        </w:rPr>
        <w:t xml:space="preserve">Kui pädevused kattuvad, on Euroopa Liidu Kohus tuginenud asjakohase aluslepingu aluse kindlaksmääramisel raskuskeskme kriteeriumile, mis põhineb </w:t>
      </w:r>
      <w:r w:rsidRPr="00D219BC">
        <w:rPr>
          <w:color w:val="000000"/>
        </w:rPr>
        <w:t>meetme peamise eesmärgi hindamisel.</w:t>
      </w:r>
      <w:r w:rsidRPr="00D219BC">
        <w:rPr>
          <w:color w:val="000000"/>
          <w:vertAlign w:val="superscript"/>
        </w:rPr>
        <w:t xml:space="preserve"> </w:t>
      </w:r>
      <w:r w:rsidRPr="00D219BC">
        <w:rPr>
          <w:color w:val="000000"/>
        </w:rPr>
        <w:t xml:space="preserve">Käesoleva direktiiviga reguleeritakse peamiselt praktikatingimusi, mitte hariduse ega kutseõppe tingimusi. Kuna praktikaga ei ole seotud kvalifikatsiooni ega ametlikke õppekavasid, ei kohaldata nende suhtes </w:t>
      </w:r>
      <w:r w:rsidRPr="00D219BC">
        <w:rPr>
          <w:color w:val="000000"/>
          <w:shd w:val="clear" w:color="auto" w:fill="FFFFFF"/>
        </w:rPr>
        <w:t>kutsehariduse</w:t>
      </w:r>
      <w:r w:rsidRPr="00D219BC">
        <w:rPr>
          <w:color w:val="000000"/>
          <w:shd w:val="clear" w:color="auto" w:fill="FFFFFF"/>
        </w:rPr>
        <w:t xml:space="preserve"> ja -õppe korda</w:t>
      </w:r>
      <w:r w:rsidRPr="00D219BC">
        <w:rPr>
          <w:color w:val="000000"/>
        </w:rPr>
        <w:t>.</w:t>
      </w:r>
      <w:r w:rsidRPr="00D219BC">
        <w:rPr>
          <w:color w:val="000000"/>
          <w:shd w:val="clear" w:color="auto" w:fill="FFFFFF"/>
        </w:rPr>
        <w:t xml:space="preserve"> Lisaks tutvustatakse akadeemilise kraadi omandamise ajal toimuvat praktikat </w:t>
      </w:r>
      <w:r w:rsidRPr="00D219BC">
        <w:rPr>
          <w:i/>
          <w:color w:val="000000"/>
          <w:shd w:val="clear" w:color="auto" w:fill="FFFFFF"/>
        </w:rPr>
        <w:t>väljaspool</w:t>
      </w:r>
      <w:r w:rsidRPr="00D219BC">
        <w:rPr>
          <w:color w:val="000000"/>
          <w:shd w:val="clear" w:color="auto" w:fill="FFFFFF"/>
        </w:rPr>
        <w:t xml:space="preserve"> ülikooli saadava kogemusena. </w:t>
      </w:r>
      <w:r w:rsidRPr="00D219BC">
        <w:rPr>
          <w:color w:val="000000"/>
        </w:rPr>
        <w:t>Eesmärk on täiendada akadeemilisi õpinguid tegeliku töökogemusega. Raskuskese on seega praktika ajal tehtud tööl, mitte har</w:t>
      </w:r>
      <w:r w:rsidRPr="00D219BC">
        <w:rPr>
          <w:color w:val="000000"/>
        </w:rPr>
        <w:t>idusasutusel.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Raporti projekti eesmärk on seega käsitleda kahte põhiprobleemi – diskrimineerimist ja praktika kuritahtliku kasutamise tavasid – kolme lähenemisviisi abil. </w:t>
      </w:r>
    </w:p>
    <w:p w:rsidR="00FF6E7F" w:rsidRPr="00D219BC" w:rsidRDefault="00FF6E7F" w:rsidP="00FF6E7F">
      <w:pPr>
        <w:spacing w:line="276" w:lineRule="auto"/>
      </w:pPr>
    </w:p>
    <w:p w:rsidR="00FF6E7F" w:rsidRPr="00D219BC" w:rsidRDefault="001D653E" w:rsidP="00FF6E7F">
      <w:pPr>
        <w:spacing w:line="276" w:lineRule="auto"/>
        <w:rPr>
          <w:szCs w:val="24"/>
        </w:rPr>
      </w:pPr>
      <w:r w:rsidRPr="00D219BC">
        <w:rPr>
          <w:b/>
          <w:color w:val="000000"/>
        </w:rPr>
        <w:t>RAPORTI PROJEKTI ÜLESEHITUS</w:t>
      </w:r>
    </w:p>
    <w:p w:rsidR="00805D70" w:rsidRPr="00D219BC" w:rsidRDefault="00805D70" w:rsidP="00805D70">
      <w:pPr>
        <w:spacing w:line="276" w:lineRule="auto"/>
      </w:pPr>
    </w:p>
    <w:p w:rsidR="00805D70" w:rsidRPr="00D219BC" w:rsidRDefault="001D653E" w:rsidP="00805D70">
      <w:pPr>
        <w:spacing w:line="276" w:lineRule="auto"/>
        <w:rPr>
          <w:szCs w:val="24"/>
        </w:rPr>
      </w:pPr>
      <w:r w:rsidRPr="00D219BC">
        <w:rPr>
          <w:color w:val="000000"/>
        </w:rPr>
        <w:t>Direktiivis on diskrimineerimise ja praktika kuritah</w:t>
      </w:r>
      <w:r w:rsidRPr="00D219BC">
        <w:rPr>
          <w:color w:val="000000"/>
        </w:rPr>
        <w:t>tliku kasutamise tavadega tegelemiseks esitatud kolm lähenemisviisi. Selle eesmärk on asjakohaselt reguleerida praktikandi töötingimusi praktika ajal, nagu on sätestatud ELi toimimise lepingu artikli 153 lõike 1 punktis b.</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i/>
          <w:color w:val="000000"/>
        </w:rPr>
        <w:t>Ühine määratlus ja kontseptsioon</w:t>
      </w:r>
      <w:r w:rsidRPr="00D219BC">
        <w:rPr>
          <w:i/>
          <w:color w:val="000000"/>
        </w:rPr>
        <w:t>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Esiteks esitatakse direktiivis ühine praktika määratlus ja eesmärk. Liidus käsitatakse praktikana ajaliselt piiratud algtaseme tööd, mille käigus omandatakse praktilisi ja erialaseid oskusi, et hõlbustada üleminekut hariduselt stabiilsele tööle või tege</w:t>
      </w:r>
      <w:r w:rsidRPr="00D219BC">
        <w:rPr>
          <w:color w:val="000000"/>
        </w:rPr>
        <w:t>vuse alustamist konkreetsel kutsealal, tuginedes praktikandi ja praktika pakkuja vahel sõlmitud kirjalikule lepingule, ning mille eest makstakse tasu kooskõlas direktiiviga (EL) 2022/2041.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Selline ühine arusaam praktikantide, praktika pakkujate ja liikme</w:t>
      </w:r>
      <w:r w:rsidRPr="00D219BC">
        <w:rPr>
          <w:color w:val="000000"/>
        </w:rPr>
        <w:t>sriikide vahel aitab vältida praktika kuritahtlikku kasutamist, mis on tingitud ebaselgusest.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i/>
          <w:color w:val="000000"/>
        </w:rPr>
        <w:t>Diskrimineerimiskeelu põhimõte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 xml:space="preserve">Teiseks on direktiivi eesmärk tagada, et praktikantidele kohaldatakse liidus kehtivat diskrimineerimisvastast kaitset, mis on </w:t>
      </w:r>
      <w:r w:rsidRPr="00D219BC">
        <w:rPr>
          <w:color w:val="000000"/>
        </w:rPr>
        <w:t xml:space="preserve">sätestatud nõukogu direktiivis 2000/78/EÜ, direktiivis 2006/54/EÜ ja nõukogu direktiivis 2000/43/EÜ, tagades õigusselguse ja tugevdades praktikantide õigusi.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i/>
          <w:color w:val="000000"/>
        </w:rPr>
        <w:t>Meetmed kuritahtlike tavade vastu võitlemiseks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 xml:space="preserve">Kolmandaks kehtestatakse direktiivi artiklis 4 </w:t>
      </w:r>
      <w:r w:rsidRPr="00D219BC">
        <w:rPr>
          <w:color w:val="000000"/>
        </w:rPr>
        <w:t>ja 5 meetmed, millega vältida praktika kuritahtliku kasutamise tavasid, kus praktikat kasutatakse muul eesmärgil kui selleks, et hõlbustada üleminekut hariduse omandamiselt stabiilsele töökohale või tegevuse alustamist konkreetsel kutsealal.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Selleks on d</w:t>
      </w:r>
      <w:r w:rsidRPr="00D219BC">
        <w:rPr>
          <w:color w:val="000000"/>
        </w:rPr>
        <w:t xml:space="preserve">irektiivis sätestatud kriteeriumid, mille alusel pädevad asutused saavad teha kindlaks kuritahtlike tavade olemasolu. Need kriteeriumid hõlmavad puuduvat koolituskomponenti ja kirjalikku lepingut, praktika liiga pikka kestust ja avalike praktikakuulutuste </w:t>
      </w:r>
      <w:r w:rsidRPr="00D219BC">
        <w:rPr>
          <w:color w:val="000000"/>
        </w:rPr>
        <w:t>vähesust. Praktika pakkujad, kellel on suur praktikantide osakaal võrreldes asutuse suurusega, või kes asendavad alalised ametikohad praktikakohtadega, järgivad samuti tõenäoliselt kuritahtlikke tavasid. </w:t>
      </w:r>
    </w:p>
    <w:p w:rsidR="00805D70" w:rsidRPr="00D219BC" w:rsidRDefault="00805D70" w:rsidP="00805D70">
      <w:pPr>
        <w:spacing w:line="276" w:lineRule="auto"/>
        <w:rPr>
          <w:szCs w:val="24"/>
        </w:rPr>
      </w:pPr>
    </w:p>
    <w:p w:rsidR="00805D70" w:rsidRPr="00D219BC" w:rsidRDefault="001D653E" w:rsidP="00805D70">
      <w:pPr>
        <w:spacing w:line="276" w:lineRule="auto"/>
        <w:rPr>
          <w:szCs w:val="24"/>
        </w:rPr>
      </w:pPr>
      <w:r w:rsidRPr="00D219BC">
        <w:rPr>
          <w:color w:val="000000"/>
        </w:rPr>
        <w:t>Seda raamistikku kasutades võimaldab direktiiv päd</w:t>
      </w:r>
      <w:r w:rsidRPr="00D219BC">
        <w:rPr>
          <w:color w:val="000000"/>
        </w:rPr>
        <w:t>evatel asutustel tuvastada praktika kuritahtliku kasutamise tavade olemasolu liidus, ja nende eest kaitset pakkuda. </w:t>
      </w:r>
    </w:p>
    <w:p w:rsidR="0013158B" w:rsidRPr="00D219BC" w:rsidRDefault="0013158B">
      <w:pPr>
        <w:widowControl/>
        <w:rPr>
          <w:szCs w:val="24"/>
        </w:rPr>
      </w:pPr>
    </w:p>
    <w:p w:rsidR="00805D70" w:rsidRPr="00D219BC" w:rsidRDefault="001D653E">
      <w:pPr>
        <w:widowControl/>
        <w:rPr>
          <w:rFonts w:ascii="Arial" w:hAnsi="Arial" w:cs="Arial"/>
          <w:b/>
          <w:noProof/>
        </w:rPr>
      </w:pPr>
      <w:bookmarkStart w:id="3" w:name="FootprintPageRR"/>
      <w:r w:rsidRPr="00D219BC">
        <w:br w:type="page"/>
      </w:r>
    </w:p>
    <w:p w:rsidR="004610EE" w:rsidRPr="00D219BC" w:rsidRDefault="004610EE" w:rsidP="00F14438">
      <w:pPr>
        <w:pStyle w:val="PageHeading"/>
        <w:rPr>
          <w:noProof/>
        </w:rPr>
      </w:pPr>
      <w:bookmarkStart w:id="4" w:name="_Toc191468896"/>
      <w:bookmarkStart w:id="5" w:name="_Toc192850650"/>
      <w:r w:rsidRPr="00D219BC">
        <w:lastRenderedPageBreak/>
        <w:t>LISA: ÜKSUSED VÕI ISIKUD,</w:t>
      </w:r>
      <w:r>
        <w:rPr>
          <w:noProof/>
        </w:rPr>
        <w:br/>
      </w:r>
      <w:r w:rsidRPr="00D219BC">
        <w:t>KELLELT RAPORTÖÖR SAI SISENDMATERJALI</w:t>
      </w:r>
      <w:bookmarkEnd w:id="4"/>
      <w:bookmarkEnd w:id="5"/>
    </w:p>
    <w:p w:rsidR="0013158B" w:rsidRPr="00D219BC" w:rsidRDefault="001D653E" w:rsidP="00F14438">
      <w:pPr>
        <w:pStyle w:val="Normal24a"/>
        <w:spacing w:after="240"/>
      </w:pPr>
      <w:r w:rsidRPr="00D219BC">
        <w:rPr>
          <w:rStyle w:val="HideTWBExt"/>
        </w:rPr>
        <w:t>&lt;FootprintIntro&gt;</w:t>
      </w:r>
      <w:r w:rsidRPr="00D219BC">
        <w:t xml:space="preserve">Vastavalt kodukorra I lisa artiklile 8 kinnitab </w:t>
      </w:r>
      <w:r w:rsidRPr="00D219BC">
        <w:t>raportöör, et ta sai raporti projekti koostamisel sisendmaterjali järgmistelt üksustelt või isikutelt:</w:t>
      </w:r>
      <w:r w:rsidRPr="00D219B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47288" w:rsidRPr="00D219BC" w:rsidTr="00F14438">
        <w:tc>
          <w:tcPr>
            <w:tcW w:w="9060" w:type="dxa"/>
            <w:shd w:val="clear" w:color="auto" w:fill="auto"/>
          </w:tcPr>
          <w:p w:rsidR="0013158B" w:rsidRPr="00D219BC" w:rsidRDefault="001D653E" w:rsidP="0013158B">
            <w:pPr>
              <w:pStyle w:val="NormalBoldCenter"/>
            </w:pPr>
            <w:r w:rsidRPr="00D219BC">
              <w:t>Ü</w:t>
            </w:r>
            <w:r w:rsidRPr="00D219BC">
              <w:t>ksus ja/või isik</w:t>
            </w:r>
          </w:p>
        </w:tc>
      </w:tr>
      <w:tr w:rsidR="00447288" w:rsidRPr="00D219BC" w:rsidTr="00F14438">
        <w:tc>
          <w:tcPr>
            <w:tcW w:w="9060" w:type="dxa"/>
            <w:shd w:val="clear" w:color="auto" w:fill="auto"/>
          </w:tcPr>
          <w:p w:rsidR="0013158B" w:rsidRPr="00D219BC" w:rsidRDefault="001D653E" w:rsidP="0013158B">
            <w:pPr>
              <w:pStyle w:val="NormalSingle"/>
            </w:pPr>
            <w:r w:rsidRPr="00D219BC">
              <w:t>Trinity College, University of Oxford</w:t>
            </w:r>
          </w:p>
        </w:tc>
      </w:tr>
      <w:tr w:rsidR="00447288" w:rsidRPr="00D219BC" w:rsidTr="00F14438">
        <w:tc>
          <w:tcPr>
            <w:tcW w:w="9060" w:type="dxa"/>
            <w:shd w:val="clear" w:color="auto" w:fill="auto"/>
          </w:tcPr>
          <w:p w:rsidR="00F14438" w:rsidRPr="00D219BC" w:rsidRDefault="001D653E" w:rsidP="00F14438">
            <w:pPr>
              <w:pStyle w:val="NormalSingle"/>
            </w:pPr>
            <w:r w:rsidRPr="00D219BC">
              <w:t>European Trade Union Confederation</w:t>
            </w:r>
          </w:p>
        </w:tc>
      </w:tr>
      <w:tr w:rsidR="00447288" w:rsidRPr="00D219BC" w:rsidTr="00F14438">
        <w:tc>
          <w:tcPr>
            <w:tcW w:w="9060" w:type="dxa"/>
            <w:shd w:val="clear" w:color="auto" w:fill="auto"/>
          </w:tcPr>
          <w:p w:rsidR="00F14438" w:rsidRPr="00D219BC" w:rsidRDefault="001D653E" w:rsidP="0013158B">
            <w:pPr>
              <w:pStyle w:val="NormalSingle"/>
            </w:pPr>
            <w:r w:rsidRPr="00D219BC">
              <w:t>European Youth Forum</w:t>
            </w:r>
          </w:p>
        </w:tc>
      </w:tr>
      <w:tr w:rsidR="00447288" w:rsidRPr="00D219BC" w:rsidTr="00F14438">
        <w:tc>
          <w:tcPr>
            <w:tcW w:w="9060" w:type="dxa"/>
            <w:shd w:val="clear" w:color="auto" w:fill="auto"/>
          </w:tcPr>
          <w:p w:rsidR="00F14438" w:rsidRPr="00D219BC" w:rsidRDefault="001D653E" w:rsidP="0013158B">
            <w:pPr>
              <w:pStyle w:val="NormalSingle"/>
            </w:pPr>
            <w:r w:rsidRPr="00D219BC">
              <w:t>Eurofound</w:t>
            </w:r>
          </w:p>
        </w:tc>
      </w:tr>
      <w:tr w:rsidR="00447288" w:rsidRPr="00D219BC" w:rsidTr="00F14438">
        <w:tc>
          <w:tcPr>
            <w:tcW w:w="9060" w:type="dxa"/>
            <w:shd w:val="clear" w:color="auto" w:fill="auto"/>
          </w:tcPr>
          <w:p w:rsidR="00F14438" w:rsidRPr="00D219BC" w:rsidRDefault="001D653E" w:rsidP="0013158B">
            <w:pPr>
              <w:pStyle w:val="NormalSingle"/>
            </w:pPr>
            <w:r w:rsidRPr="00D219BC">
              <w:t xml:space="preserve">European </w:t>
            </w:r>
            <w:r w:rsidRPr="00D219BC">
              <w:t>Economic and Social Committee</w:t>
            </w:r>
          </w:p>
        </w:tc>
      </w:tr>
      <w:tr w:rsidR="00447288" w:rsidRPr="00D219BC" w:rsidTr="00F14438">
        <w:tc>
          <w:tcPr>
            <w:tcW w:w="9060" w:type="dxa"/>
            <w:shd w:val="clear" w:color="auto" w:fill="auto"/>
          </w:tcPr>
          <w:p w:rsidR="00F14438" w:rsidRPr="00D219BC" w:rsidRDefault="001D653E" w:rsidP="0013158B">
            <w:pPr>
              <w:pStyle w:val="NormalSingle"/>
            </w:pPr>
            <w:r w:rsidRPr="00D219BC">
              <w:t>Confederación Nacional de Pymes (CONPYMES)</w:t>
            </w:r>
          </w:p>
        </w:tc>
      </w:tr>
      <w:tr w:rsidR="00447288" w:rsidRPr="00D219BC" w:rsidTr="00F14438">
        <w:tc>
          <w:tcPr>
            <w:tcW w:w="9060" w:type="dxa"/>
            <w:shd w:val="clear" w:color="auto" w:fill="auto"/>
          </w:tcPr>
          <w:p w:rsidR="00F14438" w:rsidRPr="00D219BC" w:rsidRDefault="001D653E" w:rsidP="00F14438">
            <w:pPr>
              <w:pStyle w:val="NormalSingle"/>
            </w:pPr>
            <w:r w:rsidRPr="00D219BC">
              <w:t>EUROCADRES - The Council of European Professional and Managerial Staff</w:t>
            </w:r>
          </w:p>
        </w:tc>
      </w:tr>
      <w:tr w:rsidR="00447288" w:rsidRPr="00D219BC" w:rsidTr="00F14438">
        <w:tc>
          <w:tcPr>
            <w:tcW w:w="9060" w:type="dxa"/>
            <w:shd w:val="clear" w:color="auto" w:fill="auto"/>
          </w:tcPr>
          <w:p w:rsidR="00F14438" w:rsidRPr="00D219BC" w:rsidRDefault="001D653E" w:rsidP="0013158B">
            <w:pPr>
              <w:pStyle w:val="NormalSingle"/>
            </w:pPr>
            <w:r w:rsidRPr="00D219BC">
              <w:t>European Disability Forum</w:t>
            </w:r>
          </w:p>
        </w:tc>
      </w:tr>
      <w:tr w:rsidR="00447288" w:rsidRPr="00D219BC" w:rsidTr="00F14438">
        <w:tc>
          <w:tcPr>
            <w:tcW w:w="9060" w:type="dxa"/>
            <w:shd w:val="clear" w:color="auto" w:fill="auto"/>
          </w:tcPr>
          <w:p w:rsidR="00F14438" w:rsidRPr="00D219BC" w:rsidRDefault="001D653E" w:rsidP="0013158B">
            <w:pPr>
              <w:pStyle w:val="NormalSingle"/>
            </w:pPr>
            <w:r w:rsidRPr="00D219BC">
              <w:t>SMEunited</w:t>
            </w:r>
          </w:p>
        </w:tc>
      </w:tr>
      <w:tr w:rsidR="00447288" w:rsidRPr="00D219BC" w:rsidTr="00F14438">
        <w:tc>
          <w:tcPr>
            <w:tcW w:w="9060" w:type="dxa"/>
            <w:shd w:val="clear" w:color="auto" w:fill="auto"/>
          </w:tcPr>
          <w:p w:rsidR="00F14438" w:rsidRPr="00D219BC" w:rsidRDefault="001D653E" w:rsidP="0013158B">
            <w:pPr>
              <w:pStyle w:val="NormalSingle"/>
            </w:pPr>
            <w:r w:rsidRPr="00D219BC">
              <w:t>CEC European Managers - Confédération Européenne des Cadres</w:t>
            </w:r>
          </w:p>
        </w:tc>
      </w:tr>
      <w:tr w:rsidR="00447288" w:rsidRPr="00D219BC" w:rsidTr="00F14438">
        <w:tc>
          <w:tcPr>
            <w:tcW w:w="9060" w:type="dxa"/>
            <w:shd w:val="clear" w:color="auto" w:fill="auto"/>
          </w:tcPr>
          <w:p w:rsidR="00F14438" w:rsidRPr="00D219BC" w:rsidRDefault="001D653E" w:rsidP="0013158B">
            <w:pPr>
              <w:pStyle w:val="NormalSingle"/>
            </w:pPr>
            <w:r w:rsidRPr="00D219BC">
              <w:t xml:space="preserve">HOTREC, </w:t>
            </w:r>
            <w:r w:rsidRPr="00D219BC">
              <w:t>Hotels, Restaurants &amp; Cafés in Europe</w:t>
            </w:r>
          </w:p>
        </w:tc>
      </w:tr>
      <w:tr w:rsidR="00447288" w:rsidRPr="00D219BC" w:rsidTr="00F14438">
        <w:tc>
          <w:tcPr>
            <w:tcW w:w="9060" w:type="dxa"/>
            <w:shd w:val="clear" w:color="auto" w:fill="auto"/>
          </w:tcPr>
          <w:p w:rsidR="00F14438" w:rsidRPr="00D219BC" w:rsidRDefault="001D653E" w:rsidP="00512ECF">
            <w:pPr>
              <w:pStyle w:val="NormalSingle"/>
            </w:pPr>
            <w:r w:rsidRPr="00D219BC">
              <w:t xml:space="preserve">CEOE - Confederación Española de Organizaciones Empresariales; </w:t>
            </w:r>
          </w:p>
        </w:tc>
      </w:tr>
      <w:tr w:rsidR="00447288" w:rsidRPr="00D219BC" w:rsidTr="00F14438">
        <w:tc>
          <w:tcPr>
            <w:tcW w:w="9060" w:type="dxa"/>
            <w:shd w:val="clear" w:color="auto" w:fill="auto"/>
          </w:tcPr>
          <w:p w:rsidR="00F14438" w:rsidRPr="00D219BC" w:rsidRDefault="001D653E" w:rsidP="0013158B">
            <w:pPr>
              <w:pStyle w:val="NormalSingle"/>
            </w:pPr>
            <w:r w:rsidRPr="00D219BC">
              <w:t>European Confederation of Independent Trade Unions.</w:t>
            </w:r>
          </w:p>
        </w:tc>
      </w:tr>
    </w:tbl>
    <w:p w:rsidR="0013158B" w:rsidRPr="00D219BC" w:rsidRDefault="001D653E" w:rsidP="00F14438">
      <w:pPr>
        <w:pStyle w:val="Footprint12b"/>
      </w:pPr>
      <w:r w:rsidRPr="00D219BC">
        <w:t>Eespool esitatud loetelu koostamise eest vastutab ainuisikuliselt raportöör.</w:t>
      </w:r>
    </w:p>
    <w:p w:rsidR="0013158B" w:rsidRPr="00D219BC" w:rsidRDefault="001D653E" w:rsidP="0013158B">
      <w:pPr>
        <w:pStyle w:val="Footprint12b"/>
      </w:pPr>
      <w:r w:rsidRPr="00D219BC">
        <w:t>Kui loetelus on märgit</w:t>
      </w:r>
      <w:r w:rsidRPr="00D219BC">
        <w:t>ud füüsiliste isikute nimi või ametikoht või mõlemad, kinnitab raportöör, et ta on esitanud asjaomastele füüsilistele isikutele Euroopa Parlamendi andmekaitseteate nr 484 (</w:t>
      </w:r>
      <w:hyperlink r:id="rId15" w:history="1">
        <w:r w:rsidRPr="00D219BC">
          <w:rPr>
            <w:rStyle w:val="Hyperlink"/>
          </w:rPr>
          <w:t>https://www.eur</w:t>
        </w:r>
        <w:r w:rsidRPr="00D219BC">
          <w:rPr>
            <w:rStyle w:val="Hyperlink"/>
          </w:rPr>
          <w:t>oparl.europa.eu/data-protect/index.do</w:t>
        </w:r>
      </w:hyperlink>
      <w:r w:rsidRPr="00D219BC">
        <w:t>), milles on kindlaks määratud nende isikuandmete töötlemise suhtes kohaldatavad tingimused ja sellise töötlemisega seotud õigused.</w:t>
      </w:r>
    </w:p>
    <w:bookmarkEnd w:id="3"/>
    <w:p w:rsidR="002669B6" w:rsidRPr="00D219BC" w:rsidRDefault="002669B6" w:rsidP="002669B6"/>
    <w:sectPr w:rsidR="002669B6" w:rsidRPr="00D219BC" w:rsidSect="001315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219BC" w:rsidRDefault="001D653E">
      <w:r w:rsidRPr="00D219BC">
        <w:separator/>
      </w:r>
    </w:p>
  </w:endnote>
  <w:endnote w:type="continuationSeparator" w:id="0">
    <w:p w:rsidR="00000000" w:rsidRPr="00D219BC" w:rsidRDefault="001D653E">
      <w:r w:rsidRPr="00D219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a??fc"/>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9BC" w:rsidRPr="00D219BC" w:rsidRDefault="00D219BC" w:rsidP="00D219BC">
    <w:pPr>
      <w:pStyle w:val="EPFooter"/>
    </w:pPr>
    <w:r w:rsidRPr="00D219BC">
      <w:t>PE</w:t>
    </w:r>
    <w:r w:rsidRPr="00D219BC">
      <w:rPr>
        <w:rStyle w:val="HideTWBExt"/>
      </w:rPr>
      <w:t>&lt;NoPE&gt;</w:t>
    </w:r>
    <w:r w:rsidRPr="00D219BC">
      <w:t>769.927</w:t>
    </w:r>
    <w:r w:rsidRPr="00D219BC">
      <w:rPr>
        <w:rStyle w:val="HideTWBExt"/>
      </w:rPr>
      <w:t>&lt;/NoPE&gt;&lt;Version&gt;</w:t>
    </w:r>
    <w:r w:rsidRPr="00D219BC">
      <w:t>v01-00</w:t>
    </w:r>
    <w:r w:rsidRPr="00D219BC">
      <w:rPr>
        <w:rStyle w:val="HideTWBExt"/>
      </w:rPr>
      <w:t>&lt;/Version&gt;</w:t>
    </w:r>
    <w:r w:rsidRPr="00D219BC">
      <w:tab/>
    </w:r>
    <w:r w:rsidRPr="00D219BC">
      <w:fldChar w:fldCharType="begin"/>
    </w:r>
    <w:r w:rsidRPr="00D219BC">
      <w:instrText xml:space="preserve"> PAGE  \* MERGEFORMAT </w:instrText>
    </w:r>
    <w:r w:rsidRPr="00D219BC">
      <w:fldChar w:fldCharType="separate"/>
    </w:r>
    <w:r w:rsidR="001D653E">
      <w:rPr>
        <w:noProof/>
      </w:rPr>
      <w:t>2</w:t>
    </w:r>
    <w:r w:rsidRPr="00D219BC">
      <w:fldChar w:fldCharType="end"/>
    </w:r>
    <w:r w:rsidRPr="00D219BC">
      <w:t>/</w:t>
    </w:r>
    <w:fldSimple w:instr=" NUMPAGES  \* MERGEFORMAT ">
      <w:r w:rsidR="001D653E">
        <w:rPr>
          <w:noProof/>
        </w:rPr>
        <w:t>58</w:t>
      </w:r>
    </w:fldSimple>
    <w:r w:rsidRPr="00D219BC">
      <w:tab/>
    </w:r>
    <w:r w:rsidRPr="00D219BC">
      <w:rPr>
        <w:rStyle w:val="HideTWBExt"/>
      </w:rPr>
      <w:t>&lt;PathFdR&gt;</w:t>
    </w:r>
    <w:r w:rsidRPr="00D219BC">
      <w:t>PR\1315336ET.docx</w:t>
    </w:r>
    <w:r w:rsidRPr="00D219BC">
      <w:rPr>
        <w:rStyle w:val="HideTWBExt"/>
      </w:rPr>
      <w:t>&lt;/PathFdR&gt;</w:t>
    </w:r>
  </w:p>
  <w:p w:rsidR="003F32FB" w:rsidRPr="00D219BC" w:rsidRDefault="00D219BC" w:rsidP="00D219BC">
    <w:pPr>
      <w:pStyle w:val="EPFooter2"/>
    </w:pPr>
    <w:r w:rsidRPr="00D219BC">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9BC" w:rsidRPr="00D219BC" w:rsidRDefault="00D219BC" w:rsidP="00D219BC">
    <w:pPr>
      <w:pStyle w:val="EPFooter"/>
    </w:pPr>
    <w:r w:rsidRPr="00D219BC">
      <w:rPr>
        <w:rStyle w:val="HideTWBExt"/>
      </w:rPr>
      <w:t>&lt;PathFdR&gt;</w:t>
    </w:r>
    <w:r w:rsidRPr="00D219BC">
      <w:t>PR\1315336ET.docx</w:t>
    </w:r>
    <w:r w:rsidRPr="00D219BC">
      <w:rPr>
        <w:rStyle w:val="HideTWBExt"/>
      </w:rPr>
      <w:t>&lt;/PathFdR&gt;</w:t>
    </w:r>
    <w:r w:rsidRPr="00D219BC">
      <w:tab/>
    </w:r>
    <w:r w:rsidRPr="00D219BC">
      <w:fldChar w:fldCharType="begin"/>
    </w:r>
    <w:r w:rsidRPr="00D219BC">
      <w:instrText xml:space="preserve"> PAGE  \* MERGEFORMAT </w:instrText>
    </w:r>
    <w:r w:rsidRPr="00D219BC">
      <w:fldChar w:fldCharType="separate"/>
    </w:r>
    <w:r w:rsidR="001D653E">
      <w:rPr>
        <w:noProof/>
      </w:rPr>
      <w:t>57</w:t>
    </w:r>
    <w:r w:rsidRPr="00D219BC">
      <w:fldChar w:fldCharType="end"/>
    </w:r>
    <w:r w:rsidRPr="00D219BC">
      <w:t>/</w:t>
    </w:r>
    <w:fldSimple w:instr=" NUMPAGES  \* MERGEFORMAT ">
      <w:r w:rsidR="001D653E">
        <w:rPr>
          <w:noProof/>
        </w:rPr>
        <w:t>57</w:t>
      </w:r>
    </w:fldSimple>
    <w:r w:rsidRPr="00D219BC">
      <w:tab/>
      <w:t>PE</w:t>
    </w:r>
    <w:r w:rsidRPr="00D219BC">
      <w:rPr>
        <w:rStyle w:val="HideTWBExt"/>
      </w:rPr>
      <w:t>&lt;NoPE&gt;</w:t>
    </w:r>
    <w:r w:rsidRPr="00D219BC">
      <w:t>769.927</w:t>
    </w:r>
    <w:r w:rsidRPr="00D219BC">
      <w:rPr>
        <w:rStyle w:val="HideTWBExt"/>
      </w:rPr>
      <w:t>&lt;/NoPE&gt;&lt;Version&gt;</w:t>
    </w:r>
    <w:r w:rsidRPr="00D219BC">
      <w:t>v01-00</w:t>
    </w:r>
    <w:r w:rsidRPr="00D219BC">
      <w:rPr>
        <w:rStyle w:val="HideTWBExt"/>
      </w:rPr>
      <w:t>&lt;/Version&gt;</w:t>
    </w:r>
  </w:p>
  <w:p w:rsidR="003F32FB" w:rsidRPr="00D219BC" w:rsidRDefault="00D219BC" w:rsidP="00D219BC">
    <w:pPr>
      <w:pStyle w:val="EPFooter2"/>
    </w:pPr>
    <w:r w:rsidRPr="00D219BC">
      <w:tab/>
    </w:r>
    <w:r w:rsidRPr="00D219BC">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9BC" w:rsidRPr="00D219BC" w:rsidRDefault="00D219BC" w:rsidP="00D219BC">
    <w:pPr>
      <w:pStyle w:val="EPFooter"/>
    </w:pPr>
    <w:r w:rsidRPr="00D219BC">
      <w:rPr>
        <w:rStyle w:val="HideTWBExt"/>
      </w:rPr>
      <w:t>&lt;PathFdR&gt;</w:t>
    </w:r>
    <w:r w:rsidRPr="00D219BC">
      <w:t>PR\1315336ET.docx</w:t>
    </w:r>
    <w:r w:rsidRPr="00D219BC">
      <w:rPr>
        <w:rStyle w:val="HideTWBExt"/>
      </w:rPr>
      <w:t>&lt;/PathFdR&gt;</w:t>
    </w:r>
    <w:r w:rsidRPr="00D219BC">
      <w:tab/>
    </w:r>
    <w:r w:rsidRPr="00D219BC">
      <w:tab/>
      <w:t>PE</w:t>
    </w:r>
    <w:r w:rsidRPr="00D219BC">
      <w:rPr>
        <w:rStyle w:val="HideTWBExt"/>
      </w:rPr>
      <w:t>&lt;NoPE&gt;</w:t>
    </w:r>
    <w:r w:rsidRPr="00D219BC">
      <w:t>769.927</w:t>
    </w:r>
    <w:r w:rsidRPr="00D219BC">
      <w:rPr>
        <w:rStyle w:val="HideTWBExt"/>
      </w:rPr>
      <w:t>&lt;/NoPE&gt;&lt;Version&gt;</w:t>
    </w:r>
    <w:r w:rsidRPr="00D219BC">
      <w:t>v01-00</w:t>
    </w:r>
    <w:r w:rsidRPr="00D219BC">
      <w:rPr>
        <w:rStyle w:val="HideTWBExt"/>
      </w:rPr>
      <w:t>&lt;/Version&gt;</w:t>
    </w:r>
  </w:p>
  <w:p w:rsidR="003F32FB" w:rsidRPr="00D219BC" w:rsidRDefault="00D219BC" w:rsidP="00D219BC">
    <w:pPr>
      <w:pStyle w:val="EPFooter2"/>
    </w:pPr>
    <w:r w:rsidRPr="00D219BC">
      <w:t>ET</w:t>
    </w:r>
    <w:r w:rsidRPr="00D219BC">
      <w:tab/>
    </w:r>
    <w:r w:rsidRPr="00D219BC">
      <w:rPr>
        <w:b w:val="0"/>
        <w:i/>
        <w:color w:val="C0C0C0"/>
        <w:sz w:val="22"/>
      </w:rPr>
      <w:t>Ühinenud mitmekesisuses</w:t>
    </w:r>
    <w:r w:rsidRPr="00D219BC">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2FB" w:rsidRPr="00D219BC" w:rsidRDefault="001D653E">
      <w:r w:rsidRPr="00D219BC">
        <w:separator/>
      </w:r>
    </w:p>
  </w:footnote>
  <w:footnote w:type="continuationSeparator" w:id="0">
    <w:p w:rsidR="003F32FB" w:rsidRPr="00D219BC" w:rsidRDefault="001D653E">
      <w:r w:rsidRPr="00D219BC">
        <w:continuationSeparator/>
      </w:r>
    </w:p>
  </w:footnote>
  <w:footnote w:id="1">
    <w:p w:rsidR="003F32FB" w:rsidRPr="00D219BC" w:rsidRDefault="001D653E" w:rsidP="00B31E12">
      <w:pPr>
        <w:pStyle w:val="FootnoteText"/>
        <w:rPr>
          <w:sz w:val="24"/>
          <w:szCs w:val="24"/>
        </w:rPr>
      </w:pPr>
      <w:r w:rsidRPr="00D219BC">
        <w:rPr>
          <w:rStyle w:val="FootnoteReference"/>
        </w:rPr>
        <w:footnoteRef/>
      </w:r>
      <w:r w:rsidRPr="00D219BC">
        <w:tab/>
      </w:r>
      <w:r w:rsidRPr="00D219BC">
        <w:rPr>
          <w:i/>
          <w:iCs/>
          <w:sz w:val="24"/>
        </w:rPr>
        <w:t>Euroopa Liidu Teatajas</w:t>
      </w:r>
      <w:r w:rsidRPr="00D219BC">
        <w:rPr>
          <w:sz w:val="24"/>
        </w:rPr>
        <w:t xml:space="preserve"> seni avaldamata.</w:t>
      </w:r>
    </w:p>
  </w:footnote>
  <w:footnote w:id="2">
    <w:p w:rsidR="003F32FB" w:rsidRPr="00D219BC" w:rsidRDefault="001D653E" w:rsidP="00B31E12">
      <w:pPr>
        <w:pStyle w:val="FootnoteText"/>
        <w:rPr>
          <w:sz w:val="24"/>
          <w:szCs w:val="24"/>
        </w:rPr>
      </w:pPr>
      <w:r w:rsidRPr="00D219BC">
        <w:rPr>
          <w:rStyle w:val="FootnoteReference"/>
        </w:rPr>
        <w:footnoteRef/>
      </w:r>
      <w:r w:rsidRPr="00D219BC">
        <w:tab/>
      </w:r>
      <w:r w:rsidRPr="00D219BC">
        <w:rPr>
          <w:i/>
          <w:iCs/>
          <w:sz w:val="24"/>
        </w:rPr>
        <w:t>Euroopa Liidu Teatajas</w:t>
      </w:r>
      <w:r w:rsidRPr="00D219BC">
        <w:rPr>
          <w:sz w:val="24"/>
        </w:rPr>
        <w:t xml:space="preserve"> seni avaldamata</w:t>
      </w:r>
      <w:r w:rsidRPr="00D219B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3E8" w:rsidRDefault="004C5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3E8" w:rsidRDefault="004C53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3E8" w:rsidRDefault="004C5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0/02/2025"/>
    <w:docVar w:name="DOCMNU" w:val=" 2"/>
    <w:docVar w:name="EPSTATMNU" w:val=" 5"/>
    <w:docVar w:name="EVABUDGMNU" w:val=" 1"/>
    <w:docVar w:name="iNoAmend" w:val="1"/>
    <w:docVar w:name="INSTITUTIONSMNU" w:val=" 2"/>
    <w:docVar w:name="JURI1MNU" w:val=" 1"/>
    <w:docVar w:name="JURI2MNU" w:val=" 1"/>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17107 HideTWBExt;}{\*\cs18 \additive \v\f1\fs20\cf15 _x000d__x000a_\spriority0 \styrsid7817107 HideTWBInt;}{\s19\ql \li0\ri0\sa120\nowidctlpar\wrapdefault\aspalpha\aspnum\faauto\adjustright\rin0\lin0\itap0 \rtlch\fcs1 \af0\afs20\alang1025 \ltrch\fcs0 \fs24\lang2057\langfe2057\cgrid\langnp2057\langfenp2057 _x000d__x000a_\sbasedon0 \snext19 \spriority0 \styrsid7817107 Normal6a;}{\s20\ql \li0\ri0\nowidctlpar\wrapdefault\aspalpha\aspnum\faauto\adjustright\rin0\lin0\itap0 \rtlch\fcs1 \af0\afs20\alang1025 \ltrch\fcs0 \b\fs24\lang2057\langfe2057\cgrid\langnp2057\langfenp2057 _x000d__x000a_\sbasedon0 \snext20 \spriority0 \styrsid7817107 NormalBold;}{\s21\ql \li0\ri0\sa240\nowidctlpar\wrapdefault\aspalpha\aspnum\faauto\adjustright\rin0\lin0\itap0 \rtlch\fcs1 \af0\afs20\alang1025 \ltrch\fcs0 _x000d__x000a_\i\fs24\lang2057\langfe2057\cgrid\langnp2057\langfenp2057 \sbasedon0 \snext21 \spriority0 \styrsid7817107 AmJustText;}{\s22\qc \li0\ri0\sb240\sa240\nowidctlpar\wrapdefault\aspalpha\aspnum\faauto\adjustright\rin0\lin0\itap0 \rtlch\fcs1 _x000d__x000a_\af0\afs20\alang1025 \ltrch\fcs0 \i\fs24\lang2057\langfe2057\cgrid\langnp2057\langfenp2057 \sbasedon0 \snext22 \spriority0 \styrsid7817107 AmCrossRef;}{_x000d__x000a_\s23\qc \li0\ri0\sb240\sa240\keepn\nowidctlpar\wrapdefault\aspalpha\aspnum\faauto\adjustright\rin0\lin0\itap0 \rtlch\fcs1 \af0\afs20\alang1025 \ltrch\fcs0 \i\fs24\lang2057\langfe2057\cgrid\langnp2057\langfenp2057 _x000d__x000a_\sbasedon0 \snext21 \spriority0 \styrsid7817107 AmJustTitle;}{\s24\qr \li0\ri0\sb240\sa240\nowidctlpar\wrapdefault\aspalpha\aspnum\faauto\adjustright\rin0\lin0\itap0 \rtlch\fcs1 \af0\afs20\alang1025 \ltrch\fcs0 _x000d__x000a_\fs24\lang2057\langfe2057\cgrid\langnp2057\langfenp2057 \sbasedon0 \snext24 \spriority0 \styrsid7817107 AmOrLang;}{\s25\qc \li0\ri0\sa240\nowidctlpar\wrapdefault\aspalpha\aspnum\faauto\adjustright\rin0\lin0\itap0 \rtlch\fcs1 \af0\afs20\alang1025 _x000d__x000a_\ltrch\fcs0 \i\fs24\lang2057\langfe2057\cgrid\langnp2057\langfenp2057 \sbasedon0 \snext25 \spriority0 \styrsid78171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17107 AmNumberTabs;}{\s27\ql \li0\ri0\sb240\nowidctlpar\wrapdefault\aspalpha\aspnum\faauto\adjustright\rin0\lin0\itap0 \rtlch\fcs1 _x000d__x000a_\af0\afs20\alang1025 \ltrch\fcs0 \b\fs24\lang2057\langfe2057\cgrid\langnp2057\langfenp2057 \sbasedon0 \snext27 \spriority0 \styrsid7817107 NormalBold12b;}}{\*\rsidtbl \rsid24658\rsid223860\rsid735077\rsid1718133\rsid2892074\rsid3565327\rsid4666813_x000d__x000a_\rsid6641733\rsid6883741\rsid7817107\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2\dy18\hr17\min5}{\revtim\yr2025\mo2\dy18\hr17\min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1710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6883741 \chftnsep _x000d__x000a_\par }}{\*\ftnsepc \ltrpar \pard\plain \ltrpar\ql \li0\ri0\widctlpar\wrapdefault\aspalpha\aspnum\faauto\adjustright\rin0\lin0\itap0 \rtlch\fcs1 \af0\afs20\alang1025 \ltrch\fcs0 \fs24\lang2057\langfe2057\cgrid\langnp2057\langfenp2057 {\rtlch\fcs1 \af0 _x000d__x000a_\ltrch\fcs0 \insrsid6883741 \chftnsepc _x000d__x000a_\par }}{\*\aftnsep \ltrpar \pard\plain \ltrpar\ql \li0\ri0\widctlpar\wrapdefault\aspalpha\aspnum\faauto\adjustright\rin0\lin0\itap0 \rtlch\fcs1 \af0\afs20\alang1025 \ltrch\fcs0 \fs24\lang2057\langfe2057\cgrid\langnp2057\langfenp2057 {\rtlch\fcs1 \af0 _x000d__x000a_\ltrch\fcs0 \insrsid6883741 \chftnsep _x000d__x000a_\par }}{\*\aftnsepc \ltrpar \pard\plain \ltrpar\ql \li0\ri0\widctlpar\wrapdefault\aspalpha\aspnum\faauto\adjustright\rin0\lin0\itap0 \rtlch\fcs1 \af0\afs20\alang1025 \ltrch\fcs0 \fs24\lang2057\langfe2057\cgrid\langnp2057\langfenp2057 {\rtlch\fcs1 \af0 _x000d__x000a_\ltrch\fcs0 \insrsid6883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817107 \rtlch\fcs1 _x000d__x000a_\af0\afs20\alang1025 \ltrch\fcs0 \b\fs24\lang2057\langfe2057\cgrid\langnp2057\langfenp2057 {\rtlch\fcs1 \af0 \ltrch\fcs0 \cs17\b0\v\fs20\cf9\lang1024\langfe1024\loch\af1\hich\af1\dbch\af31501\noproof\insrsid7817107\charrsid1012430 {\*\bkmkstart restart}_x000d__x000a_\hich\af1\dbch\af31501\loch\f1 &lt;Amend&gt;}{\rtlch\fcs1 \af0 \ltrch\fcs0 \insrsid7817107\charrsid1012430 Amendment\tab \tab }{\rtlch\fcs1 \af0 \ltrch\fcs0 _x000d__x000a_\cs17\b0\v\fs20\cf9\lang1024\langfe1024\loch\af1\hich\af1\dbch\af31501\noproof\insrsid7817107\charrsid1012430 \hich\af1\dbch\af31501\loch\f1 &lt;NumAm&gt;}{\rtlch\fcs1 \af0 \ltrch\fcs0 \insrsid7817107\charrsid1012430 #}{\rtlch\fcs1 \af1 \ltrch\fcs0 _x000d__x000a_\cs18\v\f1\fs20\cf15\insrsid7817107\charrsid1012430 ENMIENDA@NRAM@}{\rtlch\fcs1 \af0 \ltrch\fcs0 \insrsid7817107\charrsid1012430 #}{\rtlch\fcs1 \af0 \ltrch\fcs0 _x000d__x000a_\cs17\b0\v\fs20\cf9\lang1024\langfe1024\loch\af1\hich\af1\dbch\af31501\noproof\insrsid7817107\charrsid1012430 \hich\af1\dbch\af31501\loch\f1 &lt;/NumAm&gt;}{\rtlch\fcs1 \af0 \ltrch\fcs0 \insrsid7817107\charrsid1012430 _x000d__x000a_\par }\pard\plain \ltrpar\s27\ql \li0\ri0\sb240\keepn\nowidctlpar\wrapdefault\aspalpha\aspnum\faauto\adjustright\rin0\lin0\itap0\pararsid7817107 \rtlch\fcs1 \af0\afs20\alang1025 \ltrch\fcs0 \b\fs24\lang2057\langfe2057\cgrid\langnp2057\langfenp2057 {_x000d__x000a_\rtlch\fcs1 \af0 \ltrch\fcs0 \cs17\b0\v\fs20\cf9\lang1024\langfe1024\loch\af1\hich\af1\dbch\af31501\noproof\insrsid7817107\charrsid1012430 \hich\af1\dbch\af31501\loch\f1 &lt;DocAmend&gt;}{\rtlch\fcs1 \af0 \ltrch\fcs0 \insrsid7817107\charrsid1012430 _x000d__x000a_Proposal for a #}{\rtlch\fcs1 \af1 \ltrch\fcs0 \cs18\v\f1\fs20\cf15\insrsid7817107\charrsid1012430 MNU[DOC1][DOC2][DOC3]@DOCMSG@DOCMNU}{\rtlch\fcs1 \af0 \ltrch\fcs0 \insrsid7817107\charrsid1012430 ##}{\rtlch\fcs1 \af1 \ltrch\fcs0 _x000d__x000a_\cs18\v\f1\fs20\cf15\insrsid7817107\charrsid1012430 MNU[AMACTYES][NOTAPP]@CHOICE@AMACTMNU}{\rtlch\fcs1 \af0 \ltrch\fcs0 \insrsid7817107\charrsid1012430 #}{\rtlch\fcs1 \af0 \ltrch\fcs0 _x000d__x000a_\cs17\b0\v\fs20\cf9\lang1024\langfe1024\loch\af1\hich\af1\dbch\af31501\noproof\insrsid7817107\charrsid1012430 \hich\af1\dbch\af31501\loch\f1 &lt;/DocAmend&gt;}{\rtlch\fcs1 \af0 \ltrch\fcs0 \insrsid7817107\charrsid1012430 _x000d__x000a_\par }\pard\plain \ltrpar\s20\ql \li0\ri0\keepn\nowidctlpar\wrapdefault\aspalpha\aspnum\faauto\adjustright\rin0\lin0\itap0\pararsid7817107 \rtlch\fcs1 \af0\afs20\alang1025 \ltrch\fcs0 \b\fs24\lang2057\langfe2057\cgrid\langnp2057\langfenp2057 {\rtlch\fcs1 \af0 _x000d__x000a_\ltrch\fcs0 \cs17\b0\v\fs20\cf9\lang1024\langfe1024\loch\af1\hich\af1\dbch\af31501\noproof\insrsid7817107\charrsid1012430 \hich\af1\dbch\af31501\loch\f1 &lt;Article&gt;}{\rtlch\fcs1 \af0 \ltrch\fcs0 \insrsid7817107\charrsid1012430 #}{\rtlch\fcs1 \af1 _x000d__x000a_\ltrch\fcs0 \cs18\v\f1\fs20\cf15\insrsid7817107\charrsid1012430 MNU[AMACTPARTYES][AMACTPARTNO]@CHOICE@AMACTMNU}{\rtlch\fcs1 \af0 \ltrch\fcs0 \insrsid7817107\charrsid1012430 #}{\rtlch\fcs1 \af0 \ltrch\fcs0 _x000d__x000a_\cs17\b0\v\fs20\cf9\lang1024\langfe1024\loch\af1\hich\af1\dbch\af31501\noproof\insrsid7817107\charrsid1012430 \hich\af1\dbch\af31501\loch\f1 &lt;/Article&gt;}{\rtlch\fcs1 \af0 \ltrch\fcs0 \insrsid7817107\charrsid1012430 _x000d__x000a_\par }\pard\plain \ltrpar\ql \li0\ri0\keepn\widctlpar\wrapdefault\aspalpha\aspnum\faauto\adjustright\rin0\lin0\itap0\pararsid7817107 \rtlch\fcs1 \af0\afs20\alang1025 \ltrch\fcs0 \fs24\lang2057\langfe2057\cgrid\langnp2057\langfenp2057 {\rtlch\fcs1 \af0 _x000d__x000a_\ltrch\fcs0 \cs17\v\fs20\cf9\lang1024\langfe1024\loch\af1\hich\af1\dbch\af31501\noproof\insrsid7817107\charrsid1012430 \hich\af1\dbch\af31501\loch\f1 &lt;DocAmend2&gt;&lt;OptDel&gt;}{\rtlch\fcs1 \af0 \ltrch\fcs0 \insrsid7817107\charrsid1012430 #}{\rtlch\fcs1 \af1 _x000d__x000a_\ltrch\fcs0 \cs18\v\f1\fs20\cf15\insrsid7817107\charrsid1012430 MNU[OPTNRACTYES][NOTAPP]@CHOICE@AMACTMNU}{\rtlch\fcs1 \af0 \ltrch\fcs0 \insrsid7817107\charrsid1012430 #}{\rtlch\fcs1 \af0 \ltrch\fcs0 _x000d__x000a_\cs17\v\fs20\cf9\lang1024\langfe1024\loch\af1\hich\af1\dbch\af31501\noproof\insrsid7817107\charrsid1012430 \hich\af1\dbch\af31501\loch\f1 &lt;/OptDel&gt;&lt;/DocAmend2&gt;}{\rtlch\fcs1 \af0 \ltrch\fcs0 \insrsid7817107\charrsid1012430 _x000d__x000a_\par }\pard \ltrpar\ql \li0\ri0\widctlpar\wrapdefault\aspalpha\aspnum\faauto\adjustright\rin0\lin0\itap0\pararsid7817107 {\rtlch\fcs1 \af0 \ltrch\fcs0 \cs17\v\fs20\cf9\lang1024\langfe1024\loch\af1\hich\af1\dbch\af31501\noproof\insrsid7817107\charrsid1012430 _x000d__x000a_\hich\af1\dbch\af31501\loch\f1 &lt;Article2&gt;&lt;OptDel&gt;}{\rtlch\fcs1 \af0 \ltrch\fcs0 \insrsid7817107\charrsid1012430 #}{\rtlch\fcs1 \af1 \ltrch\fcs0 \cs18\v\f1\fs20\cf15\insrsid7817107\charrsid1012430 MNU[OPTACTPARTYES][NOTAPP]@CHOICE@AMACTMNU}{\rtlch\fcs1 _x000d__x000a_\af0 \ltrch\fcs0 \insrsid7817107\charrsid1012430 #}{\rtlch\fcs1 \af0 \ltrch\fcs0 \cs17\v\fs20\cf9\lang1024\langfe1024\loch\af1\hich\af1\dbch\af31501\noproof\insrsid7817107\charrsid1012430 \hich\af1\dbch\af31501\loch\f1 &lt;/OptDel&gt;&lt;/Article2&gt;}{\rtlch\fcs1 _x000d__x000a_\af0 \ltrch\fcs0 \insrsid7817107\charrsid101243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817107\charrsid1012430 #}{\rtlch\fcs1 \af1 \ltrch\fcs0 \cs18\v\f1\fs20\cf15\insrsid7817107\charrsid1012430 MNU[OPTLEFTAMACT][LEFTPROP]@CHOICE@AMACTMNU}{\rtlch\fcs1 \af0 \ltrch\fcs0 \insrsid7817107\charrsid1012430 #\cell Amendment\cell _x000d__x000a_}\pard\plain \ltrpar\ql \li0\ri0\widctlpar\intbl\wrapdefault\aspalpha\aspnum\faauto\adjustright\rin0\lin0 \rtlch\fcs1 \af0\afs20\alang1025 \ltrch\fcs0 \fs24\lang2057\langfe2057\cgrid\langnp2057\langfenp2057 {\rtlch\fcs1 \af0 \ltrch\fcs0 _x000d__x000a_\insrsid7817107\charrsid101243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817107\charrsid1012430 ##\cell ##}{\rtlch\fcs1 \af0\afs24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817107 \rtlch\fcs1 \af0\afs20\alang1025 \ltrch\fcs0 \fs24\lang2057\langfe2057\cgrid\langnp2057\langfenp2057 {\rtlch\fcs1 \af0 \ltrch\fcs0 _x000d__x000a_\insrsid7817107\charrsid1012430 Or. }{\rtlch\fcs1 \af0 \ltrch\fcs0 \cs17\v\fs20\cf9\lang1024\langfe1024\loch\af1\hich\af1\dbch\af31501\noproof\insrsid7817107\charrsid1012430 \hich\af1\dbch\af31501\loch\f1 &lt;Original&gt;}{\rtlch\fcs1 \af0 \ltrch\fcs0 _x000d__x000a_\insrsid7817107\charrsid1012430 #}{\rtlch\fcs1 \af1 \ltrch\fcs0 \cs18\v\f1\fs20\cf15\insrsid7817107\charrsid1012430 MNU[ORLANGONE][ORLANGMORE]@CHOICE@ORLANGMNU}{\rtlch\fcs1 \af0 \ltrch\fcs0 \insrsid7817107\charrsid1012430 #}{\rtlch\fcs1 \af0 \ltrch\fcs0 _x000d__x000a_\cs17\v\fs20\cf9\lang1024\langfe1024\loch\af1\hich\af1\dbch\af31501\noproof\insrsid7817107\charrsid1012430 \hich\af1\dbch\af31501\loch\f1 &lt;/Original&gt;}{\rtlch\fcs1 \af0 \ltrch\fcs0 \insrsid7817107\charrsid1012430 _x000d__x000a_\par }\pard\plain \ltrpar\s22\qc \li0\ri0\sb240\sa240\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OptDel&gt;}{\rtlch\fcs1 \af0 \ltrch\fcs0 \insrsid7817107\charrsid1012430 #}{_x000d__x000a_\rtlch\fcs1 \af1 \ltrch\fcs0 \cs18\v\f1\fs20\cf15\insrsid7817107\charrsid1012430 MNU[CROSSREFNO][CROSSREFYES]@CHOICE@}{\rtlch\fcs1 \af0 \ltrch\fcs0 \insrsid7817107\charrsid1012430 #}{\rtlch\fcs1 \af0 \ltrch\fcs0 _x000d__x000a_\cs17\i0\v\fs20\cf9\lang1024\langfe1024\loch\af1\hich\af1\dbch\af31501\noproof\insrsid7817107\charrsid1012430 \hich\af1\dbch\af31501\loch\f1 &lt;/OptDel&gt;}{\rtlch\fcs1 \af0 \ltrch\fcs0 \insrsid7817107\charrsid1012430 _x000d__x000a_\par }\pard\plain \ltrpar\s23\qc \li0\ri0\sb240\sa240\keepn\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TitreJust&gt;}{\rtlch\fcs1 \af0 \ltrch\fcs0 \insrsid7817107\charrsid1012430 _x000d__x000a_Justification}{\rtlch\fcs1 \af0 \ltrch\fcs0 \cs17\i0\v\fs20\cf9\lang1024\langfe1024\loch\af1\hich\af1\dbch\af31501\noproof\insrsid7817107\charrsid1012430 \hich\af1\dbch\af31501\loch\f1 &lt;/TitreJust&gt;}{\rtlch\fcs1 \af0 \ltrch\fcs0 _x000d__x000a_\insrsid7817107\charrsid1012430 _x000d__x000a_\par }\pard\plain \ltrpar\s21\ql \li0\ri0\sa240\nowidctlpar\wrapdefault\aspalpha\aspnum\faauto\adjustright\rin0\lin0\itap0\pararsid7817107 \rtlch\fcs1 \af0\afs20\alang1025 \ltrch\fcs0 \i\fs24\lang2057\langfe2057\cgrid\langnp2057\langfenp2057 {\rtlch\fcs1 \af0 _x000d__x000a_\ltrch\fcs0 \cs17\i0\v\fs20\cf9\lang1024\langfe1024\loch\af1\hich\af1\dbch\af31501\noproof\insrsid7817107\charrsid1012430 \hich\af1\dbch\af31501\loch\f1 &lt;OptDelPrev&gt;}{\rtlch\fcs1 \af0 \ltrch\fcs0 \insrsid7817107\charrsid1012430 #}{\rtlch\fcs1 \af1 _x000d__x000a_\ltrch\fcs0 \cs18\v\f1\fs20\cf15\insrsid7817107\charrsid1012430 MNU[TEXTJUSTYES][TEXTJUSTNO]@CHOICE@}{\rtlch\fcs1 \af0 \ltrch\fcs0 \insrsid7817107\charrsid1012430 #}{\rtlch\fcs1 \af0 \ltrch\fcs0 _x000d__x000a_\cs17\i0\v\fs20\cf9\lang1024\langfe1024\loch\af1\hich\af1\dbch\af31501\noproof\insrsid7817107\charrsid1012430 \hich\af1\dbch\af31501\loch\f1 &lt;/OptDelPrev&gt;}{\rtlch\fcs1 \af0 \ltrch\fcs0 \insrsid7817107\charrsid1012430 _x000d__x000a_\par }\pard\plain \ltrpar\ql \li0\ri0\widctlpar\wrapdefault\aspalpha\aspnum\faauto\adjustright\rin0\lin0\itap0\pararsid7817107 \rtlch\fcs1 \af0\afs20\alang1025 \ltrch\fcs0 \fs24\lang2057\langfe2057\cgrid\langnp2057\langfenp2057 {\rtlch\fcs1 \af0 \ltrch\fcs0 _x000d__x000a_\cs17\v\fs20\cf9\lang1024\langfe1024\loch\af1\hich\af1\dbch\af31501\noproof\insrsid7817107\charrsid10124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e_x000d__x000a_00e11e8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5"/>
    <w:docVar w:name="TVTAMPART" w:val="Recital, Article, Paragraph"/>
    <w:docVar w:name="TXTLANGUE" w:val="EN"/>
    <w:docVar w:name="TXTLANGUEMIN" w:val="en"/>
    <w:docVar w:name="TXTNRC" w:val="0004/2024"/>
    <w:docVar w:name="TXTNRCOD" w:val="2024"/>
    <w:docVar w:name="TXTNRCOM" w:val="(2024)0132"/>
    <w:docVar w:name="TXTNRFIRSTAM" w:val="1"/>
    <w:docVar w:name="TXTNRLASTAM" w:val="1"/>
    <w:docVar w:name="TXTNRPE" w:val="769.927"/>
    <w:docVar w:name="TXTPEorAP" w:val="PE"/>
    <w:docVar w:name="TXTROUTE" w:val="PR\1315336EN.docx"/>
    <w:docVar w:name="TXTTITLE" w:val="Improving and enforcing working conditions of trainees and combating regular employment relationships disguised as traineeships (‘Traineeships Directive’)"/>
    <w:docVar w:name="TXTVERSION" w:val="01-00"/>
  </w:docVars>
  <w:rsids>
    <w:rsidRoot w:val="000F72CE"/>
    <w:rsid w:val="00011AAB"/>
    <w:rsid w:val="00012351"/>
    <w:rsid w:val="000139E5"/>
    <w:rsid w:val="00032824"/>
    <w:rsid w:val="000444E7"/>
    <w:rsid w:val="000726AD"/>
    <w:rsid w:val="00084616"/>
    <w:rsid w:val="00084DD2"/>
    <w:rsid w:val="00084E89"/>
    <w:rsid w:val="000A359B"/>
    <w:rsid w:val="000B62B6"/>
    <w:rsid w:val="000B7489"/>
    <w:rsid w:val="000F1096"/>
    <w:rsid w:val="000F72CE"/>
    <w:rsid w:val="00103A3D"/>
    <w:rsid w:val="00120948"/>
    <w:rsid w:val="00123DD5"/>
    <w:rsid w:val="001277AE"/>
    <w:rsid w:val="0013158B"/>
    <w:rsid w:val="00142215"/>
    <w:rsid w:val="00143738"/>
    <w:rsid w:val="00147489"/>
    <w:rsid w:val="001767E2"/>
    <w:rsid w:val="00187008"/>
    <w:rsid w:val="001B3829"/>
    <w:rsid w:val="001C5592"/>
    <w:rsid w:val="001C5B44"/>
    <w:rsid w:val="001C6FFC"/>
    <w:rsid w:val="001D653E"/>
    <w:rsid w:val="001F7C7C"/>
    <w:rsid w:val="00212B84"/>
    <w:rsid w:val="002346B0"/>
    <w:rsid w:val="002667C3"/>
    <w:rsid w:val="002669B6"/>
    <w:rsid w:val="00290BED"/>
    <w:rsid w:val="002A4318"/>
    <w:rsid w:val="002B4584"/>
    <w:rsid w:val="002D13EE"/>
    <w:rsid w:val="002E33EE"/>
    <w:rsid w:val="002F40BB"/>
    <w:rsid w:val="002F4B02"/>
    <w:rsid w:val="00305CD9"/>
    <w:rsid w:val="00323EF8"/>
    <w:rsid w:val="003316DD"/>
    <w:rsid w:val="00366A46"/>
    <w:rsid w:val="00370AC3"/>
    <w:rsid w:val="003824EE"/>
    <w:rsid w:val="003B4689"/>
    <w:rsid w:val="003C2068"/>
    <w:rsid w:val="003C37CF"/>
    <w:rsid w:val="003F32FB"/>
    <w:rsid w:val="004100B1"/>
    <w:rsid w:val="00426E47"/>
    <w:rsid w:val="004335D0"/>
    <w:rsid w:val="00447288"/>
    <w:rsid w:val="00455743"/>
    <w:rsid w:val="004610EE"/>
    <w:rsid w:val="00461601"/>
    <w:rsid w:val="00476CD9"/>
    <w:rsid w:val="004C0915"/>
    <w:rsid w:val="004C53E8"/>
    <w:rsid w:val="004D424E"/>
    <w:rsid w:val="004E42C8"/>
    <w:rsid w:val="004E733D"/>
    <w:rsid w:val="004F3FA5"/>
    <w:rsid w:val="0051271F"/>
    <w:rsid w:val="00512ECF"/>
    <w:rsid w:val="00521F46"/>
    <w:rsid w:val="00551111"/>
    <w:rsid w:val="00551123"/>
    <w:rsid w:val="0057074E"/>
    <w:rsid w:val="00570A6A"/>
    <w:rsid w:val="00586E50"/>
    <w:rsid w:val="0059583D"/>
    <w:rsid w:val="005A42D9"/>
    <w:rsid w:val="005C2BEF"/>
    <w:rsid w:val="005D1A99"/>
    <w:rsid w:val="005D7609"/>
    <w:rsid w:val="005D7EE8"/>
    <w:rsid w:val="0062399F"/>
    <w:rsid w:val="00642325"/>
    <w:rsid w:val="00674CB9"/>
    <w:rsid w:val="006A2F5D"/>
    <w:rsid w:val="006B32E7"/>
    <w:rsid w:val="006F7907"/>
    <w:rsid w:val="00743189"/>
    <w:rsid w:val="00743D33"/>
    <w:rsid w:val="0075171C"/>
    <w:rsid w:val="007932B3"/>
    <w:rsid w:val="00793EA9"/>
    <w:rsid w:val="007C26B1"/>
    <w:rsid w:val="007D6F68"/>
    <w:rsid w:val="00805D70"/>
    <w:rsid w:val="00822D50"/>
    <w:rsid w:val="00823E6B"/>
    <w:rsid w:val="00826780"/>
    <w:rsid w:val="00837CCD"/>
    <w:rsid w:val="008633CC"/>
    <w:rsid w:val="00865190"/>
    <w:rsid w:val="008719B9"/>
    <w:rsid w:val="00876958"/>
    <w:rsid w:val="00894ECE"/>
    <w:rsid w:val="00896BB4"/>
    <w:rsid w:val="008A7FB8"/>
    <w:rsid w:val="009022B8"/>
    <w:rsid w:val="00914537"/>
    <w:rsid w:val="00917CC4"/>
    <w:rsid w:val="009763DA"/>
    <w:rsid w:val="009975B3"/>
    <w:rsid w:val="009A216D"/>
    <w:rsid w:val="009B4B93"/>
    <w:rsid w:val="009F24BE"/>
    <w:rsid w:val="009F4313"/>
    <w:rsid w:val="009F6C2F"/>
    <w:rsid w:val="009F767A"/>
    <w:rsid w:val="00A22533"/>
    <w:rsid w:val="00A26F46"/>
    <w:rsid w:val="00A34FD3"/>
    <w:rsid w:val="00A36929"/>
    <w:rsid w:val="00A47532"/>
    <w:rsid w:val="00A50548"/>
    <w:rsid w:val="00A60EE7"/>
    <w:rsid w:val="00A910C9"/>
    <w:rsid w:val="00A9439C"/>
    <w:rsid w:val="00AA35B0"/>
    <w:rsid w:val="00AD18C8"/>
    <w:rsid w:val="00AD7FA6"/>
    <w:rsid w:val="00AE4643"/>
    <w:rsid w:val="00AF0416"/>
    <w:rsid w:val="00B10CB4"/>
    <w:rsid w:val="00B13D6F"/>
    <w:rsid w:val="00B16594"/>
    <w:rsid w:val="00B23B72"/>
    <w:rsid w:val="00B31E12"/>
    <w:rsid w:val="00B42702"/>
    <w:rsid w:val="00B57B8B"/>
    <w:rsid w:val="00B66E7F"/>
    <w:rsid w:val="00B85407"/>
    <w:rsid w:val="00B95702"/>
    <w:rsid w:val="00BA0F45"/>
    <w:rsid w:val="00BA320D"/>
    <w:rsid w:val="00BC6489"/>
    <w:rsid w:val="00BD480C"/>
    <w:rsid w:val="00BE150F"/>
    <w:rsid w:val="00C20954"/>
    <w:rsid w:val="00C23324"/>
    <w:rsid w:val="00C42A41"/>
    <w:rsid w:val="00C47E74"/>
    <w:rsid w:val="00C511EF"/>
    <w:rsid w:val="00C57A72"/>
    <w:rsid w:val="00C73602"/>
    <w:rsid w:val="00CF4C26"/>
    <w:rsid w:val="00CF60C8"/>
    <w:rsid w:val="00D12CE4"/>
    <w:rsid w:val="00D219BC"/>
    <w:rsid w:val="00D30DE2"/>
    <w:rsid w:val="00D32924"/>
    <w:rsid w:val="00D503A3"/>
    <w:rsid w:val="00D5351E"/>
    <w:rsid w:val="00D54BEB"/>
    <w:rsid w:val="00DA6ED0"/>
    <w:rsid w:val="00DC4811"/>
    <w:rsid w:val="00DC5011"/>
    <w:rsid w:val="00E171B6"/>
    <w:rsid w:val="00E615B4"/>
    <w:rsid w:val="00E619BC"/>
    <w:rsid w:val="00E72695"/>
    <w:rsid w:val="00EB1753"/>
    <w:rsid w:val="00EB6CFF"/>
    <w:rsid w:val="00EE3996"/>
    <w:rsid w:val="00EF60DE"/>
    <w:rsid w:val="00F07062"/>
    <w:rsid w:val="00F14438"/>
    <w:rsid w:val="00F23CFC"/>
    <w:rsid w:val="00F31607"/>
    <w:rsid w:val="00F433E2"/>
    <w:rsid w:val="00F904AE"/>
    <w:rsid w:val="00F934F8"/>
    <w:rsid w:val="00FB52FE"/>
    <w:rsid w:val="00FC0A34"/>
    <w:rsid w:val="00FC7794"/>
    <w:rsid w:val="00FD07C4"/>
    <w:rsid w:val="00FD1DEF"/>
    <w:rsid w:val="00FE3B3F"/>
    <w:rsid w:val="00FF6E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3954E"/>
  <w15:chartTrackingRefBased/>
  <w15:docId w15:val="{F3F41986-CEC3-48C9-B921-21844D5C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B4584"/>
    <w:pPr>
      <w:tabs>
        <w:tab w:val="right" w:pos="454"/>
        <w:tab w:val="left" w:pos="737"/>
      </w:tabs>
      <w:ind w:left="737" w:hanging="737"/>
    </w:pPr>
    <w:rPr>
      <w:snapToGrid w:val="0"/>
      <w:sz w:val="18"/>
      <w:lang w:eastAsia="en-US"/>
    </w:rPr>
  </w:style>
  <w:style w:type="paragraph" w:customStyle="1" w:styleId="Lgendetitre">
    <w:name w:val="Légende titre"/>
    <w:basedOn w:val="Normal"/>
    <w:rsid w:val="002B4584"/>
    <w:pPr>
      <w:spacing w:before="240" w:after="240"/>
    </w:pPr>
    <w:rPr>
      <w:b/>
      <w:i/>
      <w:snapToGrid w:val="0"/>
      <w:lang w:eastAsia="en-US"/>
    </w:rPr>
  </w:style>
  <w:style w:type="paragraph" w:customStyle="1" w:styleId="Lgendestandard">
    <w:name w:val="Légende standard"/>
    <w:basedOn w:val="Normal"/>
    <w:rsid w:val="002B4584"/>
    <w:rPr>
      <w:sz w:val="18"/>
    </w:rPr>
  </w:style>
  <w:style w:type="paragraph" w:customStyle="1" w:styleId="Normal24a">
    <w:name w:val="Normal24a"/>
    <w:basedOn w:val="Normal"/>
    <w:rsid w:val="0013158B"/>
    <w:pPr>
      <w:spacing w:after="480"/>
    </w:pPr>
  </w:style>
  <w:style w:type="paragraph" w:customStyle="1" w:styleId="NormalBoldCenter">
    <w:name w:val="NormalBoldCenter"/>
    <w:basedOn w:val="Normal"/>
    <w:rsid w:val="0013158B"/>
    <w:pPr>
      <w:jc w:val="center"/>
    </w:pPr>
    <w:rPr>
      <w:b/>
    </w:rPr>
  </w:style>
  <w:style w:type="paragraph" w:customStyle="1" w:styleId="Footprint12b">
    <w:name w:val="Footprint12b"/>
    <w:basedOn w:val="Normal"/>
    <w:rsid w:val="0013158B"/>
    <w:pPr>
      <w:spacing w:before="240"/>
    </w:pPr>
    <w:rPr>
      <w:szCs w:val="24"/>
    </w:rPr>
  </w:style>
  <w:style w:type="paragraph" w:customStyle="1" w:styleId="NormalSingle">
    <w:name w:val="NormalSingle"/>
    <w:basedOn w:val="Normal"/>
    <w:qFormat/>
    <w:rsid w:val="0013158B"/>
    <w:rPr>
      <w:szCs w:val="24"/>
    </w:rPr>
  </w:style>
  <w:style w:type="character" w:styleId="Hyperlink">
    <w:name w:val="Hyperlink"/>
    <w:basedOn w:val="DefaultParagraphFont"/>
    <w:rsid w:val="0013158B"/>
    <w:rPr>
      <w:color w:val="0563C1" w:themeColor="hyperlink"/>
      <w:u w:val="single"/>
    </w:rPr>
  </w:style>
  <w:style w:type="paragraph" w:styleId="Footer">
    <w:name w:val="footer"/>
    <w:basedOn w:val="Normal"/>
    <w:link w:val="FooterChar"/>
    <w:rsid w:val="0013158B"/>
    <w:pPr>
      <w:tabs>
        <w:tab w:val="center" w:pos="4513"/>
        <w:tab w:val="right" w:pos="9026"/>
      </w:tabs>
    </w:pPr>
  </w:style>
  <w:style w:type="character" w:customStyle="1" w:styleId="FooterChar">
    <w:name w:val="Footer Char"/>
    <w:basedOn w:val="DefaultParagraphFont"/>
    <w:link w:val="Footer"/>
    <w:semiHidden/>
    <w:rsid w:val="0013158B"/>
    <w:rPr>
      <w:sz w:val="24"/>
    </w:rPr>
  </w:style>
  <w:style w:type="paragraph" w:customStyle="1" w:styleId="EntPE">
    <w:name w:val="EntPE"/>
    <w:basedOn w:val="Normal12"/>
    <w:rsid w:val="000A359B"/>
    <w:pPr>
      <w:jc w:val="center"/>
    </w:pPr>
    <w:rPr>
      <w:noProof w:val="0"/>
      <w:sz w:val="56"/>
    </w:rPr>
  </w:style>
  <w:style w:type="paragraph" w:customStyle="1" w:styleId="Normal12">
    <w:name w:val="Normal12"/>
    <w:basedOn w:val="Normal"/>
    <w:link w:val="Normal12Char"/>
    <w:rsid w:val="000A359B"/>
    <w:pPr>
      <w:spacing w:after="240"/>
    </w:pPr>
    <w:rPr>
      <w:noProof/>
    </w:rPr>
  </w:style>
  <w:style w:type="paragraph" w:customStyle="1" w:styleId="CommitteeAM">
    <w:name w:val="CommitteeAM"/>
    <w:basedOn w:val="Normal"/>
    <w:rsid w:val="000A359B"/>
    <w:pPr>
      <w:spacing w:before="240" w:after="600"/>
      <w:jc w:val="center"/>
    </w:pPr>
    <w:rPr>
      <w:i/>
    </w:rPr>
  </w:style>
  <w:style w:type="paragraph" w:customStyle="1" w:styleId="ZDateAM">
    <w:name w:val="ZDateAM"/>
    <w:basedOn w:val="Normal"/>
    <w:rsid w:val="000A359B"/>
    <w:pPr>
      <w:tabs>
        <w:tab w:val="right" w:pos="9356"/>
      </w:tabs>
      <w:spacing w:after="480"/>
    </w:pPr>
    <w:rPr>
      <w:noProof/>
    </w:rPr>
  </w:style>
  <w:style w:type="paragraph" w:customStyle="1" w:styleId="ProjRap">
    <w:name w:val="ProjRap"/>
    <w:basedOn w:val="Normal"/>
    <w:rsid w:val="000A359B"/>
    <w:pPr>
      <w:tabs>
        <w:tab w:val="right" w:pos="9356"/>
      </w:tabs>
    </w:pPr>
    <w:rPr>
      <w:b/>
      <w:noProof/>
    </w:rPr>
  </w:style>
  <w:style w:type="character" w:customStyle="1" w:styleId="Normal12Char">
    <w:name w:val="Normal12 Char"/>
    <w:basedOn w:val="DefaultParagraphFont"/>
    <w:link w:val="Normal12"/>
    <w:locked/>
    <w:rsid w:val="000A359B"/>
    <w:rPr>
      <w:noProof/>
      <w:sz w:val="24"/>
    </w:rPr>
  </w:style>
  <w:style w:type="paragraph" w:customStyle="1" w:styleId="PELeft">
    <w:name w:val="PELeft"/>
    <w:basedOn w:val="Normal"/>
    <w:rsid w:val="000A359B"/>
    <w:pPr>
      <w:spacing w:before="40" w:after="40"/>
    </w:pPr>
    <w:rPr>
      <w:rFonts w:ascii="Arial" w:hAnsi="Arial" w:cs="Arial"/>
      <w:sz w:val="22"/>
      <w:szCs w:val="22"/>
    </w:rPr>
  </w:style>
  <w:style w:type="paragraph" w:customStyle="1" w:styleId="PERight">
    <w:name w:val="PERight"/>
    <w:basedOn w:val="Normal"/>
    <w:next w:val="Normal"/>
    <w:rsid w:val="000A359B"/>
    <w:pPr>
      <w:jc w:val="right"/>
    </w:pPr>
    <w:rPr>
      <w:rFonts w:ascii="Arial" w:hAnsi="Arial" w:cs="Arial"/>
      <w:sz w:val="22"/>
      <w:szCs w:val="22"/>
    </w:rPr>
  </w:style>
  <w:style w:type="paragraph" w:customStyle="1" w:styleId="Normal6">
    <w:name w:val="Normal6"/>
    <w:basedOn w:val="Normal"/>
    <w:link w:val="Normal6Char"/>
    <w:rsid w:val="000A359B"/>
    <w:pPr>
      <w:spacing w:after="120"/>
    </w:pPr>
  </w:style>
  <w:style w:type="paragraph" w:customStyle="1" w:styleId="Normal12Italic">
    <w:name w:val="Normal12Italic"/>
    <w:basedOn w:val="Normal12"/>
    <w:rsid w:val="000A359B"/>
    <w:rPr>
      <w:i/>
    </w:rPr>
  </w:style>
  <w:style w:type="character" w:customStyle="1" w:styleId="NormalBoldChar">
    <w:name w:val="NormalBold Char"/>
    <w:basedOn w:val="DefaultParagraphFont"/>
    <w:link w:val="NormalBold"/>
    <w:rsid w:val="000A359B"/>
    <w:rPr>
      <w:b/>
      <w:sz w:val="24"/>
    </w:rPr>
  </w:style>
  <w:style w:type="paragraph" w:customStyle="1" w:styleId="JustificationTitle">
    <w:name w:val="JustificationTitle"/>
    <w:basedOn w:val="Normal"/>
    <w:next w:val="Normal12"/>
    <w:rsid w:val="000A359B"/>
    <w:pPr>
      <w:keepNext/>
      <w:spacing w:before="240" w:after="240"/>
      <w:jc w:val="center"/>
    </w:pPr>
    <w:rPr>
      <w:i/>
      <w:noProof/>
    </w:rPr>
  </w:style>
  <w:style w:type="paragraph" w:customStyle="1" w:styleId="Olang">
    <w:name w:val="Olang"/>
    <w:basedOn w:val="Normal"/>
    <w:rsid w:val="000A359B"/>
    <w:pPr>
      <w:spacing w:before="240" w:after="240"/>
      <w:jc w:val="right"/>
    </w:pPr>
    <w:rPr>
      <w:noProof/>
      <w:szCs w:val="24"/>
    </w:rPr>
  </w:style>
  <w:style w:type="character" w:customStyle="1" w:styleId="Normal6Char">
    <w:name w:val="Normal6 Char"/>
    <w:basedOn w:val="DefaultParagraphFont"/>
    <w:link w:val="Normal6"/>
    <w:rsid w:val="000A359B"/>
    <w:rPr>
      <w:sz w:val="24"/>
      <w:lang w:val="et-EE"/>
    </w:rPr>
  </w:style>
  <w:style w:type="paragraph" w:customStyle="1" w:styleId="ColumnHeading">
    <w:name w:val="ColumnHeading"/>
    <w:basedOn w:val="Normal"/>
    <w:rsid w:val="000A359B"/>
    <w:pPr>
      <w:spacing w:after="240"/>
      <w:jc w:val="center"/>
    </w:pPr>
    <w:rPr>
      <w:i/>
    </w:rPr>
  </w:style>
  <w:style w:type="paragraph" w:customStyle="1" w:styleId="AMNumberTabs0">
    <w:name w:val="AMNumberTabs"/>
    <w:basedOn w:val="Normal"/>
    <w:rsid w:val="000A35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A359B"/>
    <w:pPr>
      <w:spacing w:before="240"/>
      <w:jc w:val="center"/>
    </w:pPr>
    <w:rPr>
      <w:i/>
    </w:rPr>
  </w:style>
  <w:style w:type="paragraph" w:customStyle="1" w:styleId="Footer2">
    <w:name w:val="Footer2"/>
    <w:basedOn w:val="Normal12"/>
    <w:rsid w:val="000A359B"/>
    <w:pPr>
      <w:tabs>
        <w:tab w:val="center" w:pos="4535"/>
        <w:tab w:val="right" w:pos="9923"/>
      </w:tabs>
      <w:spacing w:line="480" w:lineRule="auto"/>
      <w:ind w:left="-851"/>
    </w:pPr>
    <w:rPr>
      <w:rFonts w:ascii="Arial" w:cs="Arial"/>
      <w:b/>
      <w:sz w:val="48"/>
    </w:rPr>
  </w:style>
  <w:style w:type="character" w:customStyle="1" w:styleId="Footer2Middle">
    <w:name w:val="Footer2Middle"/>
    <w:rsid w:val="000A359B"/>
    <w:rPr>
      <w:rFonts w:ascii="Arial" w:cs="Arial"/>
      <w:b w:val="0"/>
      <w:i/>
      <w:color w:val="C0C0C0"/>
      <w:sz w:val="22"/>
    </w:rPr>
  </w:style>
  <w:style w:type="paragraph" w:styleId="BalloonText">
    <w:name w:val="Balloon Text"/>
    <w:basedOn w:val="Normal"/>
    <w:link w:val="BalloonTextChar"/>
    <w:semiHidden/>
    <w:unhideWhenUsed/>
    <w:rsid w:val="00C511EF"/>
    <w:rPr>
      <w:rFonts w:ascii="Segoe UI" w:hAnsi="Segoe UI" w:cs="Segoe UI"/>
      <w:sz w:val="18"/>
      <w:szCs w:val="18"/>
    </w:rPr>
  </w:style>
  <w:style w:type="character" w:customStyle="1" w:styleId="BalloonTextChar">
    <w:name w:val="Balloon Text Char"/>
    <w:basedOn w:val="DefaultParagraphFont"/>
    <w:link w:val="BalloonText"/>
    <w:semiHidden/>
    <w:rsid w:val="00C511EF"/>
    <w:rPr>
      <w:rFonts w:ascii="Segoe UI" w:hAnsi="Segoe UI" w:cs="Segoe UI"/>
      <w:sz w:val="18"/>
      <w:szCs w:val="18"/>
    </w:rPr>
  </w:style>
  <w:style w:type="paragraph" w:styleId="FootnoteText">
    <w:name w:val="footnote text"/>
    <w:basedOn w:val="Normal"/>
    <w:link w:val="FootnoteTextChar"/>
    <w:uiPriority w:val="99"/>
    <w:unhideWhenUsed/>
    <w:rsid w:val="00B31E12"/>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B31E12"/>
    <w:rPr>
      <w:rFonts w:eastAsiaTheme="minorHAnsi"/>
      <w:lang w:eastAsia="en-US"/>
    </w:rPr>
  </w:style>
  <w:style w:type="character" w:styleId="FootnoteReference">
    <w:name w:val="footnote reference"/>
    <w:basedOn w:val="DefaultParagraphFont"/>
    <w:uiPriority w:val="99"/>
    <w:unhideWhenUsed/>
    <w:rsid w:val="00B31E12"/>
    <w:rPr>
      <w:rFonts w:asciiTheme="minorHAnsi" w:eastAsiaTheme="minorHAnsi" w:hAnsiTheme="minorHAnsi" w:cstheme="minorBidi"/>
      <w:sz w:val="22"/>
      <w:szCs w:val="22"/>
      <w:vertAlign w:val="superscript"/>
      <w:lang w:val="et-EE" w:eastAsia="en-US"/>
    </w:rPr>
  </w:style>
  <w:style w:type="character" w:styleId="CommentReference">
    <w:name w:val="annotation reference"/>
    <w:basedOn w:val="DefaultParagraphFont"/>
    <w:rsid w:val="00A9439C"/>
    <w:rPr>
      <w:sz w:val="16"/>
      <w:szCs w:val="16"/>
    </w:rPr>
  </w:style>
  <w:style w:type="paragraph" w:styleId="CommentText">
    <w:name w:val="annotation text"/>
    <w:basedOn w:val="Normal"/>
    <w:link w:val="CommentTextChar"/>
    <w:rsid w:val="00A9439C"/>
    <w:rPr>
      <w:sz w:val="20"/>
    </w:rPr>
  </w:style>
  <w:style w:type="character" w:customStyle="1" w:styleId="CommentTextChar">
    <w:name w:val="Comment Text Char"/>
    <w:basedOn w:val="DefaultParagraphFont"/>
    <w:link w:val="CommentText"/>
    <w:rsid w:val="00A9439C"/>
  </w:style>
  <w:style w:type="paragraph" w:styleId="CommentSubject">
    <w:name w:val="annotation subject"/>
    <w:basedOn w:val="CommentText"/>
    <w:next w:val="CommentText"/>
    <w:link w:val="CommentSubjectChar"/>
    <w:semiHidden/>
    <w:unhideWhenUsed/>
    <w:rsid w:val="00A9439C"/>
    <w:rPr>
      <w:b/>
      <w:bCs/>
    </w:rPr>
  </w:style>
  <w:style w:type="character" w:customStyle="1" w:styleId="CommentSubjectChar">
    <w:name w:val="Comment Subject Char"/>
    <w:basedOn w:val="CommentTextChar"/>
    <w:link w:val="CommentSubject"/>
    <w:semiHidden/>
    <w:rsid w:val="00A943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521D9-DB79-4483-9B49-3056E57D3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11216</Words>
  <Characters>82438</Characters>
  <Application>Microsoft Office Word</Application>
  <DocSecurity>0</DocSecurity>
  <Lines>3170</Lines>
  <Paragraphs>1142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ZHVANKO Jana</cp:lastModifiedBy>
  <cp:revision>2</cp:revision>
  <cp:lastPrinted>2004-11-04T09:41:00Z</cp:lastPrinted>
  <dcterms:created xsi:type="dcterms:W3CDTF">2025-03-14T12:17:00Z</dcterms:created>
  <dcterms:modified xsi:type="dcterms:W3CDTF">2025-03-14T12:17:00Z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1315336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10.0.1 Build [20250114]</vt:lpwstr>
  </property>
  <property fmtid="{D5CDD505-2E9C-101B-9397-08002B2CF9AE}" pid="9" name="FooterPath">
    <vt:lpwstr>PR\1315336ET.docx</vt:lpwstr>
  </property>
  <property fmtid="{D5CDD505-2E9C-101B-9397-08002B2CF9AE}" pid="10" name="LastEdited with">
    <vt:lpwstr>10.0.1 Build [20250114]</vt:lpwstr>
  </property>
  <property fmtid="{D5CDD505-2E9C-101B-9397-08002B2CF9AE}" pid="11" name="PE number">
    <vt:lpwstr>769.927</vt:lpwstr>
  </property>
  <property fmtid="{D5CDD505-2E9C-101B-9397-08002B2CF9AE}" pid="12" name="SDLStudio">
    <vt:lpwstr/>
  </property>
  <property fmtid="{D5CDD505-2E9C-101B-9397-08002B2CF9AE}" pid="13" name="SendToEpades">
    <vt:lpwstr>OK(AMNUM) - 2025/02/24 20:59</vt:lpwstr>
  </property>
  <property fmtid="{D5CDD505-2E9C-101B-9397-08002B2CF9AE}" pid="14" name="Bookout">
    <vt:lpwstr>OK - 2025/03/14 13:16</vt:lpwstr>
  </property>
</Properties>
</file>