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93A60" w:rsidRPr="00CD5C32" w14:paraId="6E4858BE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4BD0E4" w14:textId="77777777" w:rsidR="00C93A60" w:rsidRPr="00CD5C32" w:rsidRDefault="00020BE8" w:rsidP="00C85D0F">
            <w:pPr>
              <w:pStyle w:val="EPName"/>
            </w:pPr>
            <w:r w:rsidRPr="00CD5C32">
              <w:t>Parlament Europejski</w:t>
            </w:r>
          </w:p>
          <w:p w14:paraId="209996FE" w14:textId="77777777" w:rsidR="00C93A60" w:rsidRPr="00CD5C32" w:rsidRDefault="00064102" w:rsidP="00064102">
            <w:pPr>
              <w:pStyle w:val="EPTerm"/>
            </w:pPr>
            <w:r w:rsidRPr="00CD5C32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F4251C9" w14:textId="77777777" w:rsidR="00C93A60" w:rsidRPr="00CD5C32" w:rsidRDefault="00C93A60" w:rsidP="00C85D0F">
            <w:pPr>
              <w:pStyle w:val="EPLogo"/>
            </w:pPr>
            <w:r w:rsidRPr="00CD5C32">
              <w:rPr>
                <w:noProof/>
              </w:rPr>
              <w:drawing>
                <wp:inline distT="0" distB="0" distL="0" distR="0" wp14:anchorId="6C5E3C2F" wp14:editId="7637B7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17139" w14:textId="77777777" w:rsidR="00E3537C" w:rsidRPr="00CD5C32" w:rsidRDefault="00E3537C" w:rsidP="00E3537C">
      <w:pPr>
        <w:pStyle w:val="LineTop"/>
      </w:pPr>
    </w:p>
    <w:p w14:paraId="48E18FD1" w14:textId="77777777" w:rsidR="00E3537C" w:rsidRPr="00CD5C32" w:rsidRDefault="00E3537C" w:rsidP="00E3537C">
      <w:pPr>
        <w:pStyle w:val="EPBody"/>
      </w:pPr>
      <w:r w:rsidRPr="00CD5C32">
        <w:rPr>
          <w:rStyle w:val="HideTWBExt"/>
          <w:i w:val="0"/>
        </w:rPr>
        <w:t>&lt;Commission&gt;</w:t>
      </w:r>
      <w:r w:rsidRPr="00CD5C32">
        <w:rPr>
          <w:rStyle w:val="HideTWBInt"/>
        </w:rPr>
        <w:t>{EMPL}</w:t>
      </w:r>
      <w:r w:rsidRPr="00CD5C32">
        <w:t>Komisja Zatrudnienia i Spraw Socjalnych</w:t>
      </w:r>
      <w:r w:rsidRPr="00CD5C32">
        <w:rPr>
          <w:rStyle w:val="HideTWBExt"/>
          <w:i w:val="0"/>
        </w:rPr>
        <w:t>&lt;/Commission&gt;</w:t>
      </w:r>
    </w:p>
    <w:p w14:paraId="10572549" w14:textId="77777777" w:rsidR="00E3537C" w:rsidRPr="00CD5C32" w:rsidRDefault="00E3537C" w:rsidP="00E3537C">
      <w:pPr>
        <w:pStyle w:val="LineBottom"/>
      </w:pPr>
    </w:p>
    <w:p w14:paraId="7A3E2B9F" w14:textId="77777777" w:rsidR="00100069" w:rsidRPr="00CD5C32" w:rsidRDefault="00100069">
      <w:pPr>
        <w:pStyle w:val="CoverReference"/>
      </w:pPr>
      <w:r w:rsidRPr="00CD5C32">
        <w:rPr>
          <w:rStyle w:val="HideTWBExt"/>
          <w:b w:val="0"/>
        </w:rPr>
        <w:t>&lt;RefProc&gt;</w:t>
      </w:r>
      <w:r w:rsidRPr="00CD5C32">
        <w:t>2025/2095</w:t>
      </w:r>
      <w:r w:rsidRPr="00CD5C32">
        <w:rPr>
          <w:rStyle w:val="HideTWBExt"/>
          <w:b w:val="0"/>
        </w:rPr>
        <w:t>&lt;/RefProc&gt;&lt;RefTypeProc&gt;</w:t>
      </w:r>
      <w:r w:rsidRPr="00CD5C32">
        <w:t>(INI)</w:t>
      </w:r>
      <w:r w:rsidRPr="00CD5C32">
        <w:rPr>
          <w:rStyle w:val="HideTWBExt"/>
          <w:b w:val="0"/>
        </w:rPr>
        <w:t>&lt;/RefTypeProc&gt;</w:t>
      </w:r>
    </w:p>
    <w:p w14:paraId="3E1C6541" w14:textId="77777777" w:rsidR="00100069" w:rsidRPr="00CD5C32" w:rsidRDefault="00100069">
      <w:pPr>
        <w:pStyle w:val="CoverDate"/>
      </w:pPr>
      <w:r w:rsidRPr="00CD5C32">
        <w:rPr>
          <w:rStyle w:val="HideTWBExt"/>
        </w:rPr>
        <w:t>&lt;Date&gt;</w:t>
      </w:r>
      <w:r w:rsidRPr="00CD5C32">
        <w:rPr>
          <w:rStyle w:val="HideTWBInt"/>
        </w:rPr>
        <w:t>{03/06/2025}</w:t>
      </w:r>
      <w:r w:rsidRPr="00CD5C32">
        <w:t>3.6.2025</w:t>
      </w:r>
      <w:r w:rsidRPr="00CD5C32">
        <w:rPr>
          <w:rStyle w:val="HideTWBExt"/>
        </w:rPr>
        <w:t>&lt;/Date&gt;</w:t>
      </w:r>
    </w:p>
    <w:p w14:paraId="62653711" w14:textId="77777777" w:rsidR="00100069" w:rsidRPr="00CD5C32" w:rsidRDefault="00100069">
      <w:pPr>
        <w:pStyle w:val="CoverDocType24a"/>
      </w:pPr>
      <w:r w:rsidRPr="00CD5C32">
        <w:rPr>
          <w:rStyle w:val="HideTWBExt"/>
          <w:b w:val="0"/>
        </w:rPr>
        <w:t>&lt;TitreType&gt;</w:t>
      </w:r>
      <w:r w:rsidRPr="00CD5C32">
        <w:t>PROJEKT SPRAWOZDANIA</w:t>
      </w:r>
      <w:r w:rsidRPr="00CD5C32">
        <w:rPr>
          <w:rStyle w:val="HideTWBExt"/>
          <w:b w:val="0"/>
        </w:rPr>
        <w:t>&lt;/TitreType&gt;</w:t>
      </w:r>
    </w:p>
    <w:p w14:paraId="5FFE79D0" w14:textId="5FF55E01" w:rsidR="00100069" w:rsidRPr="00CD5C32" w:rsidRDefault="00100069">
      <w:pPr>
        <w:pStyle w:val="CoverNormal"/>
      </w:pPr>
      <w:r w:rsidRPr="00CD5C32">
        <w:rPr>
          <w:rStyle w:val="HideTWBExt"/>
        </w:rPr>
        <w:t>&lt;Titre&gt;</w:t>
      </w:r>
      <w:r w:rsidR="00CD5C32" w:rsidRPr="00CD5C32">
        <w:t>w sprawie opracowania</w:t>
      </w:r>
      <w:r w:rsidRPr="00CD5C32">
        <w:t xml:space="preserve"> nowej strategii UE na rzecz walki z ubóstwem</w:t>
      </w:r>
      <w:r w:rsidRPr="00CD5C32">
        <w:rPr>
          <w:rStyle w:val="HideTWBExt"/>
        </w:rPr>
        <w:t>&lt;/Titre&gt;</w:t>
      </w:r>
    </w:p>
    <w:p w14:paraId="40941D52" w14:textId="77777777" w:rsidR="00100069" w:rsidRPr="00CD5C32" w:rsidRDefault="00100069">
      <w:pPr>
        <w:pStyle w:val="CoverNormal24a"/>
      </w:pPr>
      <w:r w:rsidRPr="00CD5C32">
        <w:rPr>
          <w:rStyle w:val="HideTWBExt"/>
        </w:rPr>
        <w:t>&lt;DocRef&gt;</w:t>
      </w:r>
      <w:r w:rsidRPr="00CD5C32">
        <w:t>(2025/2095(INI))</w:t>
      </w:r>
      <w:r w:rsidRPr="00CD5C32">
        <w:rPr>
          <w:rStyle w:val="HideTWBExt"/>
        </w:rPr>
        <w:t>&lt;/DocRef&gt;</w:t>
      </w:r>
    </w:p>
    <w:p w14:paraId="0D3596D4" w14:textId="77777777" w:rsidR="00100069" w:rsidRPr="00CD5C32" w:rsidRDefault="00100069">
      <w:pPr>
        <w:pStyle w:val="CoverNormal24a"/>
      </w:pPr>
      <w:r w:rsidRPr="00CD5C32">
        <w:rPr>
          <w:rStyle w:val="HideTWBExt"/>
        </w:rPr>
        <w:t>&lt;Commission&gt;</w:t>
      </w:r>
      <w:r w:rsidRPr="00CD5C32">
        <w:rPr>
          <w:rStyle w:val="HideTWBInt"/>
        </w:rPr>
        <w:t>{EMPL}</w:t>
      </w:r>
      <w:r w:rsidRPr="00CD5C32">
        <w:t>Komisja Zatrudnienia i Spraw Socjalnych</w:t>
      </w:r>
      <w:r w:rsidRPr="00CD5C32">
        <w:rPr>
          <w:rStyle w:val="HideTWBExt"/>
        </w:rPr>
        <w:t>&lt;/Commission&gt;</w:t>
      </w:r>
    </w:p>
    <w:p w14:paraId="5BE7F3CB" w14:textId="77777777" w:rsidR="00100069" w:rsidRPr="00CD5C32" w:rsidRDefault="00064102">
      <w:pPr>
        <w:pStyle w:val="CoverNormal24a"/>
      </w:pPr>
      <w:r w:rsidRPr="00CD5C32">
        <w:t xml:space="preserve">Sprawozdawca: </w:t>
      </w:r>
      <w:r w:rsidRPr="00CD5C32">
        <w:rPr>
          <w:rStyle w:val="HideTWBExt"/>
        </w:rPr>
        <w:t>&lt;Depute&gt;</w:t>
      </w:r>
      <w:r w:rsidRPr="00CD5C32">
        <w:t>João Oliveira</w:t>
      </w:r>
      <w:r w:rsidRPr="00CD5C32">
        <w:rPr>
          <w:rStyle w:val="HideTWBExt"/>
        </w:rPr>
        <w:t>&lt;/Depute&gt;</w:t>
      </w:r>
    </w:p>
    <w:p w14:paraId="6C809619" w14:textId="77777777" w:rsidR="00100069" w:rsidRPr="00CD5C32" w:rsidRDefault="00100069" w:rsidP="002544DF">
      <w:pPr>
        <w:widowControl/>
        <w:tabs>
          <w:tab w:val="center" w:pos="4677"/>
        </w:tabs>
      </w:pPr>
      <w:r w:rsidRPr="00CD5C32">
        <w:br w:type="page"/>
      </w:r>
      <w:r w:rsidRPr="00CD5C32">
        <w:lastRenderedPageBreak/>
        <w:t>PR_INI</w:t>
      </w:r>
    </w:p>
    <w:p w14:paraId="1C0B37BE" w14:textId="77777777" w:rsidR="00100069" w:rsidRPr="00CD5C32" w:rsidRDefault="00020BE8">
      <w:pPr>
        <w:pStyle w:val="TOCHeading"/>
      </w:pPr>
      <w:r w:rsidRPr="00CD5C32">
        <w:t>SPIS TREŚCI</w:t>
      </w:r>
    </w:p>
    <w:p w14:paraId="756634D5" w14:textId="77777777" w:rsidR="00100069" w:rsidRPr="00CD5C32" w:rsidRDefault="00020BE8">
      <w:pPr>
        <w:pStyle w:val="TOCPage"/>
      </w:pPr>
      <w:r w:rsidRPr="00CD5C32">
        <w:t>Strona</w:t>
      </w:r>
    </w:p>
    <w:p w14:paraId="3DEC539B" w14:textId="4B92234E" w:rsidR="00CD5C32" w:rsidRDefault="002544D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CD5C32">
        <w:rPr>
          <w:b/>
        </w:rPr>
        <w:fldChar w:fldCharType="begin"/>
      </w:r>
      <w:r w:rsidRPr="00CD5C32">
        <w:rPr>
          <w:b/>
        </w:rPr>
        <w:instrText xml:space="preserve"> TOC \t "PageHeading</w:instrText>
      </w:r>
      <w:r w:rsidR="00FE77F0" w:rsidRPr="00CD5C32">
        <w:rPr>
          <w:b/>
        </w:rPr>
        <w:instrText>;</w:instrText>
      </w:r>
      <w:r w:rsidRPr="00CD5C32">
        <w:rPr>
          <w:b/>
        </w:rPr>
        <w:instrText xml:space="preserve">1" </w:instrText>
      </w:r>
      <w:r w:rsidRPr="00CD5C32">
        <w:rPr>
          <w:b/>
        </w:rPr>
        <w:fldChar w:fldCharType="separate"/>
      </w:r>
      <w:r w:rsidR="00CD5C32">
        <w:rPr>
          <w:noProof/>
        </w:rPr>
        <w:t>PROJEKT REZOLUCJI PARLAMENTU EUROPEJSKIEGO</w:t>
      </w:r>
      <w:r w:rsidR="00CD5C32">
        <w:rPr>
          <w:noProof/>
        </w:rPr>
        <w:tab/>
      </w:r>
      <w:r w:rsidR="00CD5C32">
        <w:rPr>
          <w:noProof/>
        </w:rPr>
        <w:fldChar w:fldCharType="begin"/>
      </w:r>
      <w:r w:rsidR="00CD5C32">
        <w:rPr>
          <w:noProof/>
        </w:rPr>
        <w:instrText xml:space="preserve"> PAGEREF _Toc201136923 \h </w:instrText>
      </w:r>
      <w:r w:rsidR="00CD5C32">
        <w:rPr>
          <w:noProof/>
        </w:rPr>
      </w:r>
      <w:r w:rsidR="00CD5C32">
        <w:rPr>
          <w:noProof/>
        </w:rPr>
        <w:fldChar w:fldCharType="separate"/>
      </w:r>
      <w:r w:rsidR="00CD5C32">
        <w:rPr>
          <w:noProof/>
        </w:rPr>
        <w:t>3</w:t>
      </w:r>
      <w:r w:rsidR="00CD5C32">
        <w:rPr>
          <w:noProof/>
        </w:rPr>
        <w:fldChar w:fldCharType="end"/>
      </w:r>
    </w:p>
    <w:p w14:paraId="2E5029C4" w14:textId="6BE365FA" w:rsidR="00CD5C32" w:rsidRDefault="00CD5C3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_Toc201136924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4997C544" w14:textId="781AF9C1" w:rsidR="00E155CA" w:rsidRPr="00CD5C32" w:rsidRDefault="002544DF" w:rsidP="0023245A">
      <w:r w:rsidRPr="00CD5C32">
        <w:rPr>
          <w:b/>
        </w:rPr>
        <w:fldChar w:fldCharType="end"/>
      </w:r>
    </w:p>
    <w:p w14:paraId="5E77ADC0" w14:textId="77777777" w:rsidR="00100069" w:rsidRPr="00CD5C32" w:rsidRDefault="00100069">
      <w:pPr>
        <w:pStyle w:val="PageHeading"/>
      </w:pPr>
      <w:r w:rsidRPr="00CD5C32">
        <w:br w:type="page"/>
      </w:r>
      <w:bookmarkStart w:id="0" w:name="_Toc201136923"/>
      <w:r w:rsidRPr="00CD5C32">
        <w:lastRenderedPageBreak/>
        <w:t>PROJEKT REZOLUCJI PARLAMENTU EUROPEJSKIEGO</w:t>
      </w:r>
      <w:bookmarkEnd w:id="0"/>
    </w:p>
    <w:p w14:paraId="305175BE" w14:textId="627CFC00" w:rsidR="00100069" w:rsidRPr="00CD5C32" w:rsidRDefault="00AB1DFA">
      <w:pPr>
        <w:pStyle w:val="NormalBold"/>
        <w:rPr>
          <w:szCs w:val="24"/>
        </w:rPr>
      </w:pPr>
      <w:r w:rsidRPr="00CD5C32">
        <w:t>Opracowanie nowej strategii UE na rzecz walki z ubóstwem</w:t>
      </w:r>
    </w:p>
    <w:p w14:paraId="401ECF71" w14:textId="77777777" w:rsidR="00100069" w:rsidRPr="00CD5C32" w:rsidRDefault="00020BE8" w:rsidP="00335F69">
      <w:pPr>
        <w:pStyle w:val="NormalBold"/>
        <w:rPr>
          <w:szCs w:val="24"/>
        </w:rPr>
      </w:pPr>
      <w:r w:rsidRPr="00CD5C32">
        <w:t>(2025/2095(INI))</w:t>
      </w:r>
    </w:p>
    <w:p w14:paraId="7908FE96" w14:textId="77777777" w:rsidR="00100069" w:rsidRPr="00CD5C32" w:rsidRDefault="00020BE8" w:rsidP="00724C82">
      <w:pPr>
        <w:pStyle w:val="EPComma"/>
        <w:rPr>
          <w:szCs w:val="24"/>
        </w:rPr>
      </w:pPr>
      <w:r w:rsidRPr="00CD5C32">
        <w:rPr>
          <w:i/>
          <w:iCs/>
        </w:rPr>
        <w:t>Parlament Europejski,</w:t>
      </w:r>
    </w:p>
    <w:p w14:paraId="691BA6D8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rPr>
          <w:rStyle w:val="doceo-font-family-base"/>
          <w:shd w:val="clear" w:color="auto" w:fill="FFFFFF"/>
        </w:rPr>
        <w:t>–</w:t>
      </w:r>
      <w:r w:rsidRPr="00CD5C32">
        <w:rPr>
          <w:rStyle w:val="doceo-font-family-base"/>
          <w:shd w:val="clear" w:color="auto" w:fill="FFFFFF"/>
        </w:rPr>
        <w:tab/>
      </w:r>
      <w:r w:rsidRPr="00CD5C32">
        <w:t xml:space="preserve">uwzględniając Kartę praw podstawowych Unii Europejskiej, </w:t>
      </w:r>
    </w:p>
    <w:p w14:paraId="64DC8B1A" w14:textId="6FDC7BB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Europejski filar praw socjalnych i dotyczący go plan działania, wraz z wyznaczonymi w nim głównymi celami na 2030 r. oraz tablicą wskaźników społecznych UE,</w:t>
      </w:r>
    </w:p>
    <w:p w14:paraId="7BD14E17" w14:textId="78831503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deklarację z Porto z 8 maja 2021 r., zobowiązania odnowione na Forum Społecznym w Porto w 2023 r. oraz deklarację z La Hulpe z 16 kwietnia 2024 r.,</w:t>
      </w:r>
    </w:p>
    <w:p w14:paraId="27ADCCE8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cele zrównoważonego rozwoju Agendy na rzecz zrównoważonego rozwoju 2030, przyjętej w Nowym Jorku we wrześniu 2015 r.,</w:t>
      </w:r>
    </w:p>
    <w:p w14:paraId="519AA032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Konwencję ONZ o prawach dziecka, przyjętą w Nowym Jorku 20 listopada 1989 r.,</w:t>
      </w:r>
    </w:p>
    <w:p w14:paraId="340075AE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Międzynarodowy pakt praw gospodarczych, społecznych i kulturalnych ONZ przyjęty w Nowym Jorku 16 grudnia 1966 r.,</w:t>
      </w:r>
    </w:p>
    <w:p w14:paraId="10AF740C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Europejską kartę społeczną przyjętą w Turynie w 1961 r.,</w:t>
      </w:r>
    </w:p>
    <w:p w14:paraId="3603B00D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Konwencję ONZ o prawach osób niepełnosprawnych, przyjętą w Nowym Jorku 13 grudnia 2006 r.,</w:t>
      </w:r>
    </w:p>
    <w:p w14:paraId="4685A555" w14:textId="7C516BD2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rezolucję ONZ z 18 grudnia 2019 r. w sprawie praw dziecka,</w:t>
      </w:r>
    </w:p>
    <w:p w14:paraId="10249A14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dyrektywę Parlamentu Europejskiego i Rady (UE) 2019/1158 z dnia 20 czerwca 2019 r. w sprawie równowagi między życiem zawodowym a prywatnym rodziców i opiekunów,</w:t>
      </w:r>
    </w:p>
    <w:p w14:paraId="6737AFD4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zalecenie Komisji 2013/112/UE z dnia 20 lutego 2013 r. zatytułowane „Inwestowanie w dzieci: przerwanie cyklu marginalizacji”,</w:t>
      </w:r>
    </w:p>
    <w:p w14:paraId="5E614B8E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zal</w:t>
      </w:r>
      <w:bookmarkStart w:id="1" w:name="_GoBack"/>
      <w:bookmarkEnd w:id="1"/>
      <w:r w:rsidRPr="00CD5C32">
        <w:t>ecenie Rady z dnia 22 maja 2019 r. w sprawie wysokiej jakości systemów wczesnej edukacji i opieki nad dzieckiem,</w:t>
      </w:r>
    </w:p>
    <w:p w14:paraId="559C63DF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swoją rezolucję z dnia 21 stycznia 2021 r. w sprawie powszechnego dostępu do godnych i przystępnych cenowo mieszkań,</w:t>
      </w:r>
    </w:p>
    <w:p w14:paraId="6BB04151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swoją rezolucję z dnia 10 lutego 2021 r. w sprawie ograniczenia nierówności ze szczególnym uwzględnieniem ubóstwa osób pracujących,</w:t>
      </w:r>
    </w:p>
    <w:p w14:paraId="63C6C26D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swoją rezolucję z dnia 29 kwietnia 2021 r. w sprawie europejskiej gwarancji dla dzieci,</w:t>
      </w:r>
    </w:p>
    <w:p w14:paraId="5B1DAF21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lastRenderedPageBreak/>
        <w:t>–</w:t>
      </w:r>
      <w:r w:rsidRPr="00CD5C32">
        <w:tab/>
        <w:t>uwzględniając swoją rezolucję z dnia 21 listopada 2023 r. w sprawie ograniczenia nierówności i wspierania włączenia społecznego w czasach kryzysu z myślą o dzieciach i ich rodzinach,</w:t>
      </w:r>
    </w:p>
    <w:p w14:paraId="1CD47588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komunikat Komisji z 24 marca 2021 r. pt. „Strategia UE na rzecz praw dziecka”,</w:t>
      </w:r>
    </w:p>
    <w:p w14:paraId="1DADB581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zalecenie Rady (UE) 2021/1004 z dnia 14 czerwca 2021 r. w sprawie ustanowienia europejskiej gwarancji dla dzieci,</w:t>
      </w:r>
    </w:p>
    <w:p w14:paraId="2C18DA33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komunikat Komisji z 7 czerwca 2023 r. w sprawie kompleksowego podejścia do zdrowia psychicznego,</w:t>
      </w:r>
    </w:p>
    <w:p w14:paraId="5077A32E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komunikat Komisji z 5 marca 2020 r. pt. „Unia równości: strategia na rzecz równouprawnienia płci na lata 2020–2025”,</w:t>
      </w:r>
    </w:p>
    <w:p w14:paraId="18BBEE96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komunikat Komisji z 7 października 2020 r. pt. „Unia równości: unijne ramy strategiczne na rzecz równouprawnienia, włączenia społecznego i udziału Romów”,</w:t>
      </w:r>
    </w:p>
    <w:p w14:paraId="7CBC9FEB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komunikat Komisji z 3 marca 2021 r. pt. „Unia równości: strategia na rzecz praw osób z niepełnosprawnościami na lata 2021–2030”,</w:t>
      </w:r>
    </w:p>
    <w:p w14:paraId="6B4FF9BF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zalecenie Rady z 30 stycznia 2023 r. w sprawie odpowiedniego dochodu minimalnego zapewniającego aktywne włączenie,</w:t>
      </w:r>
    </w:p>
    <w:p w14:paraId="762D0C7E" w14:textId="1FD57C2D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projekt opinii Europejskiego Komitetu Regionów z 17 czerwca 2025 r. w sprawie strategii Unii Europejskiej na rzecz walki z ubóstwem,</w:t>
      </w:r>
    </w:p>
    <w:p w14:paraId="39454492" w14:textId="3D71B93A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sprawozdania specjalnego sprawozdawcy ONZ ds. skrajnego ubóstwa i praw człowieka;</w:t>
      </w:r>
    </w:p>
    <w:p w14:paraId="31646630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sprawozdanie Europejskiej Sieci Przeciwdziałania Ubóstwu (2025 r.) pt. „Towards the Eradication of Poverty” [W kierunku wyeliminowania ubóstwa],</w:t>
      </w:r>
    </w:p>
    <w:p w14:paraId="73B10E69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sprawozdanie organizacji ATD Fourth World (2025 r.) pt. „Paving the Way towards an EU Anti-Poverty Strategy!” [Torując drogę ku strategii UE na rzecz walki z ubóstwem],</w:t>
      </w:r>
    </w:p>
    <w:p w14:paraId="6A82BD37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sprawozdania organizacji Social Platform (2025 r.) zatytułowane „EU Anti-Poverty Strategy” [Strategia UE na rzecz walki z ubóstwem] i „A post-2027 Multiannual Financial Framework for Social Europe” [Wieloletnie ramy finansowe na rzecz Europy socjalnej na okres po 2027 r.],</w:t>
      </w:r>
    </w:p>
    <w:p w14:paraId="34A1D68D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 xml:space="preserve">uwzględniając raport Eurochild (2022 r.) pt. „(In)visible children – Eurochild 2022 report on children in need across Europe” [(Nie)widoczne dzieci – raport Eurochild z 2022 r. na temat dzieci w potrzebie w Europie], </w:t>
      </w:r>
    </w:p>
    <w:p w14:paraId="3FB0A475" w14:textId="77777777" w:rsidR="00BE7D08" w:rsidRPr="00CD5C32" w:rsidRDefault="00FE77F0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art. 55 Regulaminu,</w:t>
      </w:r>
    </w:p>
    <w:p w14:paraId="76A1F00C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t>–</w:t>
      </w:r>
      <w:r w:rsidRPr="00CD5C32">
        <w:tab/>
        <w:t>uwzględniając opinię przedstawioną przez Komisję Praw Kobiet i Równouprawnienia,</w:t>
      </w:r>
    </w:p>
    <w:p w14:paraId="3D82EA81" w14:textId="77777777" w:rsidR="00BE7D08" w:rsidRPr="00CD5C32" w:rsidRDefault="00BE7D08" w:rsidP="00724C82">
      <w:pPr>
        <w:pStyle w:val="NormalHanging12a"/>
        <w:rPr>
          <w:szCs w:val="24"/>
        </w:rPr>
      </w:pPr>
      <w:r w:rsidRPr="00CD5C32">
        <w:lastRenderedPageBreak/>
        <w:t>–</w:t>
      </w:r>
      <w:r w:rsidRPr="00CD5C32">
        <w:tab/>
        <w:t>uwzględniając sprawozdanie Komisji Zatrudnienia i Spraw Socjalnych (A10-000/2025),</w:t>
      </w:r>
    </w:p>
    <w:p w14:paraId="626B314D" w14:textId="4EDBBA37" w:rsidR="00BE7D08" w:rsidRPr="00CD5C32" w:rsidRDefault="00724C82" w:rsidP="009734EF">
      <w:pPr>
        <w:spacing w:after="240"/>
        <w:ind w:left="720" w:hanging="720"/>
        <w:rPr>
          <w:rFonts w:eastAsiaTheme="minorHAnsi"/>
          <w:szCs w:val="24"/>
        </w:rPr>
      </w:pPr>
      <w:r w:rsidRPr="00CD5C32">
        <w:t>A.</w:t>
      </w:r>
      <w:r w:rsidRPr="00CD5C32">
        <w:tab/>
        <w:t>mając na uwadze, że ubóstwo stanowi naruszenie praw człowieka i praw narodów, oraz mając na uwadze, że konieczność wyeliminowania ubóstwa wymaga bardziej sprawiedliwego podziału bogactwa i strategii politycznych gwarantujących niepodzielny i powszechny charakter praw politycznych, gospodarczych, społecznych i kulturalnych;</w:t>
      </w:r>
    </w:p>
    <w:p w14:paraId="454F3A07" w14:textId="77777777" w:rsidR="00BE7D08" w:rsidRPr="00CD5C32" w:rsidRDefault="00BE7D08" w:rsidP="00724C82">
      <w:pPr>
        <w:spacing w:after="240"/>
        <w:rPr>
          <w:i/>
          <w:szCs w:val="24"/>
        </w:rPr>
      </w:pPr>
      <w:r w:rsidRPr="00CD5C32">
        <w:rPr>
          <w:b/>
          <w:i/>
        </w:rPr>
        <w:t>W kierunku strategii na rzecz wyeliminowania ubóstwa</w:t>
      </w:r>
    </w:p>
    <w:p w14:paraId="0B71FD55" w14:textId="3DD2CAE1" w:rsidR="00BE7D08" w:rsidRPr="00CD5C32" w:rsidRDefault="0036264C" w:rsidP="009734EF">
      <w:pPr>
        <w:spacing w:after="240"/>
        <w:ind w:left="567" w:hanging="567"/>
        <w:rPr>
          <w:szCs w:val="24"/>
        </w:rPr>
      </w:pPr>
      <w:r w:rsidRPr="00CD5C32">
        <w:t xml:space="preserve">1. </w:t>
      </w:r>
      <w:r w:rsidRPr="00CD5C32">
        <w:tab/>
        <w:t>wzywa Komisję Europejską do przedstawienia strategii na rzecz walki z ubóstwem („strategia”) zawierającej jako wytyczne i cele ogólne:</w:t>
      </w:r>
    </w:p>
    <w:p w14:paraId="2F1050BD" w14:textId="5ABDDED2" w:rsidR="00BE7D08" w:rsidRPr="00CD5C32" w:rsidRDefault="00B968F8" w:rsidP="00724C82">
      <w:pPr>
        <w:tabs>
          <w:tab w:val="left" w:pos="0"/>
        </w:tabs>
        <w:ind w:left="720" w:hanging="360"/>
        <w:rPr>
          <w:szCs w:val="24"/>
        </w:rPr>
      </w:pPr>
      <w:r w:rsidRPr="00CD5C32">
        <w:t>a)</w:t>
      </w:r>
      <w:r w:rsidRPr="00CD5C32">
        <w:tab/>
        <w:t>uznanie ubóstwa za naruszenie praw człowieka i praw narodów;</w:t>
      </w:r>
    </w:p>
    <w:p w14:paraId="1FF6389B" w14:textId="1F087C5E" w:rsidR="00BE7D08" w:rsidRPr="00CD5C32" w:rsidRDefault="00B968F8" w:rsidP="00724C82">
      <w:pPr>
        <w:tabs>
          <w:tab w:val="left" w:pos="0"/>
        </w:tabs>
        <w:ind w:left="720" w:hanging="360"/>
        <w:rPr>
          <w:szCs w:val="24"/>
        </w:rPr>
      </w:pPr>
      <w:r w:rsidRPr="00CD5C32">
        <w:t>b)</w:t>
      </w:r>
      <w:r w:rsidRPr="00CD5C32">
        <w:tab/>
        <w:t>wyznaczenie celu pilnego wyeliminowania ubóstwa najpóźniej do 2035 r.;</w:t>
      </w:r>
    </w:p>
    <w:p w14:paraId="43E652E6" w14:textId="2FB9B8D9" w:rsidR="00BE7D08" w:rsidRPr="00CD5C32" w:rsidRDefault="00B968F8" w:rsidP="00724C82">
      <w:pPr>
        <w:tabs>
          <w:tab w:val="left" w:pos="0"/>
        </w:tabs>
        <w:ind w:left="720" w:hanging="360"/>
        <w:rPr>
          <w:szCs w:val="24"/>
        </w:rPr>
      </w:pPr>
      <w:r w:rsidRPr="00CD5C32">
        <w:t>c)</w:t>
      </w:r>
      <w:r w:rsidRPr="00CD5C32">
        <w:tab/>
        <w:t>odpowiednią koordynację między UE a państwami członkowskimi, a także z regionami, przy jednoczesnym poszanowaniu zasady pomocniczości, aby osiągnąć ten cel;</w:t>
      </w:r>
    </w:p>
    <w:p w14:paraId="76070B0E" w14:textId="1305E441" w:rsidR="00BE7D08" w:rsidRPr="00CD5C32" w:rsidRDefault="00B968F8" w:rsidP="00724C82">
      <w:pPr>
        <w:tabs>
          <w:tab w:val="left" w:pos="0"/>
        </w:tabs>
        <w:ind w:left="720" w:hanging="360"/>
        <w:rPr>
          <w:szCs w:val="24"/>
        </w:rPr>
      </w:pPr>
      <w:r w:rsidRPr="00CD5C32">
        <w:t>d)</w:t>
      </w:r>
      <w:r w:rsidRPr="00CD5C32">
        <w:tab/>
        <w:t>kompleksowe i zintegrowane podejście do strategii politycznych i środków walki z ubóstwem oraz cel wyeliminowania ubóstwa jako przekrojowe kryterium polityki sektorowej;</w:t>
      </w:r>
    </w:p>
    <w:p w14:paraId="07401F8F" w14:textId="2FFBEA33" w:rsidR="00BE7D08" w:rsidRPr="00CD5C32" w:rsidRDefault="00B968F8" w:rsidP="00724C82">
      <w:pPr>
        <w:tabs>
          <w:tab w:val="left" w:pos="0"/>
        </w:tabs>
        <w:ind w:left="720" w:hanging="360"/>
        <w:rPr>
          <w:szCs w:val="24"/>
        </w:rPr>
      </w:pPr>
      <w:r w:rsidRPr="00CD5C32">
        <w:t>e)</w:t>
      </w:r>
      <w:r w:rsidRPr="00CD5C32">
        <w:tab/>
        <w:t>udział osób dotkniętych ubóstwem w określaniu, wdrażaniu i ocenie ukierunkowanych na nich strategii politycznych w odpowiedni, skuteczny i przejrzysty sposób;</w:t>
      </w:r>
    </w:p>
    <w:p w14:paraId="42077403" w14:textId="3B0C1792" w:rsidR="00BE7D08" w:rsidRPr="00CD5C32" w:rsidRDefault="00BE7D08" w:rsidP="00724C82">
      <w:pPr>
        <w:pStyle w:val="Heading2"/>
        <w:spacing w:after="240"/>
        <w:rPr>
          <w:rFonts w:ascii="Times New Roman" w:hAnsi="Times New Roman"/>
          <w:szCs w:val="24"/>
        </w:rPr>
      </w:pPr>
      <w:r w:rsidRPr="00CD5C32">
        <w:rPr>
          <w:rFonts w:ascii="Times New Roman" w:hAnsi="Times New Roman"/>
        </w:rPr>
        <w:t>Sprawiedliwszy podział bogactwa</w:t>
      </w:r>
    </w:p>
    <w:p w14:paraId="32FA605F" w14:textId="23226341" w:rsidR="00BE7D08" w:rsidRPr="00CD5C32" w:rsidRDefault="0036264C" w:rsidP="009734EF">
      <w:pPr>
        <w:spacing w:after="240"/>
        <w:ind w:left="567" w:hanging="567"/>
        <w:rPr>
          <w:szCs w:val="24"/>
        </w:rPr>
      </w:pPr>
      <w:r w:rsidRPr="00CD5C32">
        <w:t xml:space="preserve">2. </w:t>
      </w:r>
      <w:r w:rsidRPr="00CD5C32">
        <w:tab/>
        <w:t>apeluje do Komisji i państw członkowskich, aby wdrożyły cel pełnego zatrudnienia jako wytyczną dla polityki gospodarczej i społecznej;</w:t>
      </w:r>
    </w:p>
    <w:p w14:paraId="4A4FE8B7" w14:textId="2246F027" w:rsidR="00BE7D08" w:rsidRPr="00CD5C32" w:rsidRDefault="0036264C" w:rsidP="009734EF">
      <w:pPr>
        <w:spacing w:after="240"/>
        <w:ind w:left="567" w:hanging="567"/>
        <w:rPr>
          <w:szCs w:val="24"/>
        </w:rPr>
      </w:pPr>
      <w:r w:rsidRPr="00CD5C32">
        <w:t xml:space="preserve">3. </w:t>
      </w:r>
      <w:r w:rsidRPr="00CD5C32">
        <w:tab/>
        <w:t>apeluje do Komisji i państw członkowskich, aby promowały politykę ochrony i propagowania praw pracowniczych oraz podnoszenia jakości zatrudnienia, w tym stabilne stosunki pracy, sprawiedliwe wynagrodzenia, godne i bezpieczne warunki pracy oraz dostęp do ochrony socjalnej;</w:t>
      </w:r>
    </w:p>
    <w:p w14:paraId="769F83E7" w14:textId="0BDC29CE" w:rsidR="00BE7D08" w:rsidRPr="00CD5C32" w:rsidRDefault="0036264C" w:rsidP="009734EF">
      <w:pPr>
        <w:spacing w:after="240"/>
        <w:ind w:left="567" w:hanging="567"/>
        <w:rPr>
          <w:szCs w:val="24"/>
        </w:rPr>
      </w:pPr>
      <w:r w:rsidRPr="00CD5C32">
        <w:t xml:space="preserve">4. </w:t>
      </w:r>
      <w:r w:rsidRPr="00CD5C32">
        <w:tab/>
        <w:t>zaleca, aby Komisja i państwa członkowskie przeanalizowały utworzenie instrumentu walki z ubóstwem przez powszechne urzeczywistnienie prawa do pracy i celu pełnego zatrudnienia, ze szczególnym uwzględnieniem walki z bezrobociem i niepełnym zatrudnieniem;</w:t>
      </w:r>
    </w:p>
    <w:p w14:paraId="6094236F" w14:textId="77777777" w:rsidR="00BE7D08" w:rsidRPr="00CD5C32" w:rsidRDefault="0036264C" w:rsidP="009734EF">
      <w:pPr>
        <w:spacing w:after="240"/>
        <w:ind w:left="567" w:hanging="567"/>
        <w:rPr>
          <w:szCs w:val="24"/>
        </w:rPr>
      </w:pPr>
      <w:r w:rsidRPr="00CD5C32">
        <w:t xml:space="preserve">5. </w:t>
      </w:r>
      <w:r w:rsidRPr="00CD5C32">
        <w:tab/>
        <w:t>wzywa Komisję do przedstawienia inicjatywy w sprawie odpowiedniego dochodu minimalnego zapewniającego aktywne włączenie społeczne i zawodowe oraz przyczyniającego się do wyeliminowania ubóstwa, przy jednoczesnym poszanowaniu kompetencji państw członkowskich, krajowej specyfiki systemów ochrony socjalnej i zasady pomocniczości;</w:t>
      </w:r>
    </w:p>
    <w:p w14:paraId="2E205688" w14:textId="77777777" w:rsidR="00BE7D08" w:rsidRPr="00CD5C32" w:rsidRDefault="00BE7D08" w:rsidP="00724C82">
      <w:pPr>
        <w:spacing w:after="240"/>
        <w:rPr>
          <w:i/>
          <w:szCs w:val="24"/>
        </w:rPr>
      </w:pPr>
      <w:r w:rsidRPr="00CD5C32">
        <w:rPr>
          <w:b/>
          <w:i/>
        </w:rPr>
        <w:t>Gwarancja niepodzielnego i uniwersalnego charakteru praw politycznych, gospodarczych, społecznych i kulturalnych</w:t>
      </w:r>
    </w:p>
    <w:p w14:paraId="29A466E4" w14:textId="77777777" w:rsidR="00BE7D08" w:rsidRPr="00CD5C32" w:rsidRDefault="007E3F57" w:rsidP="002445C5">
      <w:pPr>
        <w:spacing w:after="240"/>
        <w:ind w:left="567" w:hanging="567"/>
        <w:rPr>
          <w:szCs w:val="24"/>
        </w:rPr>
      </w:pPr>
      <w:r w:rsidRPr="00CD5C32">
        <w:t>6.</w:t>
      </w:r>
      <w:r w:rsidRPr="00CD5C32">
        <w:tab/>
        <w:t>wzywa Komisję i państwa członkowskie do zwalczania ubóstwa przez promowanie polityki zapewniającej niepodzielny i uniwersalny charakter praw politycznych, gospodarczych, społecznych i kulturalnych;</w:t>
      </w:r>
    </w:p>
    <w:p w14:paraId="230BF73F" w14:textId="62DC882E" w:rsidR="00BE7D08" w:rsidRPr="00CD5C32" w:rsidRDefault="007E3F57" w:rsidP="00CD5C32">
      <w:pPr>
        <w:spacing w:after="240"/>
        <w:ind w:left="567" w:hanging="567"/>
        <w:rPr>
          <w:szCs w:val="24"/>
        </w:rPr>
      </w:pPr>
      <w:r w:rsidRPr="00CD5C32">
        <w:lastRenderedPageBreak/>
        <w:t>7.</w:t>
      </w:r>
      <w:r w:rsidRPr="00CD5C32">
        <w:tab/>
        <w:t xml:space="preserve">apeluje do Komisji i państw członkowskich, aby znacznie zwiększyły inwestycje publiczne w strategie polityczne gwarantujące powszechne i bezpłatne usługi publiczne wysokiej jakości, biorąc pod uwagę ich wkład w przerwanie cykli ubóstwa, w tym w takich kwestiach jak edukacja, opieka zdrowotna, ochrona socjalna, a także powszechny dostęp do godnych warunków mieszkaniowych, wody i urządzeń sanitarnych, energii, transportu, form aktywności kulturalnej i rekreacyjnej; </w:t>
      </w:r>
    </w:p>
    <w:p w14:paraId="1D18EB21" w14:textId="4C6A029C" w:rsidR="00BE7D08" w:rsidRPr="00CD5C32" w:rsidRDefault="007E3F57" w:rsidP="002445C5">
      <w:pPr>
        <w:spacing w:after="240"/>
        <w:ind w:left="567" w:hanging="567"/>
        <w:rPr>
          <w:szCs w:val="24"/>
        </w:rPr>
      </w:pPr>
      <w:r w:rsidRPr="00CD5C32">
        <w:t>8.</w:t>
      </w:r>
      <w:r w:rsidRPr="00CD5C32">
        <w:tab/>
        <w:t>apeluje do Komisji, aby wspierała państwa członkowskie w promowaniu polityki mieszkaniowej zapewniającej powszechny dostęp do tego prawa i uwzględniającej w szczególny sposób kwestię osób w kryzysie bezdomności; wzywa Komisję do opracowania planu zaspokajania potrzeb mieszkaniowych wszystkich obywateli państw członkowskich UE, w tym do utworzenia dodatkowego i specjalnego funduszu UE na rozbudowę i renowację publicznych zasobów mieszkaniowych;</w:t>
      </w:r>
    </w:p>
    <w:p w14:paraId="60011027" w14:textId="4B15D298" w:rsidR="00BE7D08" w:rsidRPr="00CD5C32" w:rsidRDefault="007E3F57" w:rsidP="002445C5">
      <w:pPr>
        <w:spacing w:after="240"/>
        <w:ind w:left="567" w:hanging="567"/>
        <w:rPr>
          <w:szCs w:val="24"/>
        </w:rPr>
      </w:pPr>
      <w:r w:rsidRPr="00CD5C32">
        <w:t>9.</w:t>
      </w:r>
      <w:r w:rsidRPr="00CD5C32">
        <w:tab/>
        <w:t>apeluje do Komisji i państw członkowskich, aby przyjęły skuteczne środki służące wdrożeniu zasady równego wynagrodzenia za tę samą pracę, co przyczyni się do zwalczania nierówności i dyskryminacji zawodowej, w szczególności w odniesieniu do kobiet;</w:t>
      </w:r>
    </w:p>
    <w:p w14:paraId="23D586BB" w14:textId="77777777" w:rsidR="00BE7D08" w:rsidRPr="00CD5C32" w:rsidRDefault="007E3F57" w:rsidP="002445C5">
      <w:pPr>
        <w:spacing w:after="240"/>
        <w:ind w:left="567" w:hanging="567"/>
        <w:rPr>
          <w:szCs w:val="24"/>
        </w:rPr>
      </w:pPr>
      <w:r w:rsidRPr="00CD5C32">
        <w:t>10.</w:t>
      </w:r>
      <w:r w:rsidRPr="00CD5C32">
        <w:tab/>
        <w:t xml:space="preserve">wzywa państwa członkowskie do opracowania strategii politycznych wzmacniających prawa dotyczące macierzyństwa, ojcostwa i rodzicielstwa, aby promować równowagę między życiem zawodowym a prywatnym, ułatwić kobietom powrót do pracy po ciąży i urlopie macierzyńskim oraz zagwarantować odpowiednie warunki do karmienia piersią w miejscu pracy; </w:t>
      </w:r>
    </w:p>
    <w:p w14:paraId="519E7040" w14:textId="77777777" w:rsidR="00BE7D08" w:rsidRPr="00CD5C32" w:rsidRDefault="007E3F57" w:rsidP="002445C5">
      <w:pPr>
        <w:spacing w:after="240"/>
        <w:ind w:left="567" w:hanging="567"/>
        <w:rPr>
          <w:szCs w:val="24"/>
        </w:rPr>
      </w:pPr>
      <w:r w:rsidRPr="00CD5C32">
        <w:t>11.</w:t>
      </w:r>
      <w:r w:rsidRPr="00CD5C32">
        <w:tab/>
        <w:t>wzywa państwa członkowskie do zagwarantowania powszechnego dostępu do publicznej, przystępnej cenowo i charakteryzującej się wysoką jakością opieki zdrowotnej dla matek, noworodków i dzieci;</w:t>
      </w:r>
    </w:p>
    <w:p w14:paraId="4645298E" w14:textId="7C73C20B" w:rsidR="00BE7D08" w:rsidRPr="00CD5C32" w:rsidRDefault="007E3F57" w:rsidP="002445C5">
      <w:pPr>
        <w:spacing w:after="240"/>
        <w:ind w:left="567" w:hanging="567"/>
        <w:rPr>
          <w:szCs w:val="24"/>
        </w:rPr>
      </w:pPr>
      <w:r w:rsidRPr="00CD5C32">
        <w:t>12.</w:t>
      </w:r>
      <w:r w:rsidRPr="00CD5C32">
        <w:tab/>
        <w:t>apeluje do państw członkowskich, aby wzmocniły publiczne, powszechne i solidarne systemy zabezpieczenia społecznego w celu zagwarantowania pełnej i skutecznej ochrony socjalnej pracownikom i emerytom oraz zapobiegania ubóstwu;</w:t>
      </w:r>
    </w:p>
    <w:p w14:paraId="66581269" w14:textId="77777777" w:rsidR="00BE7D08" w:rsidRPr="00CD5C32" w:rsidRDefault="007E3F57" w:rsidP="002445C5">
      <w:pPr>
        <w:spacing w:after="240"/>
        <w:ind w:left="567" w:hanging="567"/>
        <w:rPr>
          <w:szCs w:val="24"/>
        </w:rPr>
      </w:pPr>
      <w:r w:rsidRPr="00CD5C32">
        <w:t>13.</w:t>
      </w:r>
      <w:r w:rsidRPr="00CD5C32">
        <w:tab/>
        <w:t>apeluje do Komisji i państw członkowskich, aby rozważyły tzw. ukryte aspekty ubóstwa, zwalczały stygmatyzację osób doświadczających ubóstwa i niekorzystanie z dostępnych świadczeń społecznych, a także uwzględniły fakt, że osoby starsze, osoby z niepełnosprawnością, osoby samotnie wychowujące dzieci, mniejszości etniczne lub migranci to grupy bardziej zagrożone ubóstwem i wykluczeniem społecznym;</w:t>
      </w:r>
    </w:p>
    <w:p w14:paraId="5BC74093" w14:textId="77777777" w:rsidR="00BE7D08" w:rsidRPr="00CD5C32" w:rsidRDefault="007E3F57" w:rsidP="002445C5">
      <w:pPr>
        <w:ind w:left="567" w:hanging="567"/>
        <w:rPr>
          <w:szCs w:val="24"/>
        </w:rPr>
      </w:pPr>
      <w:r w:rsidRPr="00CD5C32">
        <w:t>14.</w:t>
      </w:r>
      <w:r w:rsidRPr="00CD5C32">
        <w:tab/>
        <w:t>zaleca, aby państwa członkowskie zwiększyły wsparcie dla rodzin i osób znajdujących się w trudnej sytuacji za pomocą usług społecznych w zakresie zdrowia psychicznego i opieki psychologicznej;</w:t>
      </w:r>
    </w:p>
    <w:p w14:paraId="06053FF7" w14:textId="77777777" w:rsidR="00BE7D08" w:rsidRPr="00CD5C32" w:rsidRDefault="00BE7D08" w:rsidP="00724C82">
      <w:pPr>
        <w:pStyle w:val="Heading2"/>
        <w:spacing w:after="240"/>
        <w:rPr>
          <w:rFonts w:ascii="Times New Roman" w:hAnsi="Times New Roman"/>
          <w:szCs w:val="24"/>
        </w:rPr>
      </w:pPr>
      <w:r w:rsidRPr="00CD5C32">
        <w:rPr>
          <w:rFonts w:ascii="Times New Roman" w:hAnsi="Times New Roman"/>
        </w:rPr>
        <w:t>Walka z ubóstwem przez pogłębianie demokratycznego uczestnictwa politycznego</w:t>
      </w:r>
    </w:p>
    <w:p w14:paraId="1273A42D" w14:textId="08AC24E5" w:rsidR="00BE7D08" w:rsidRPr="00CD5C32" w:rsidRDefault="007E3F57" w:rsidP="002445C5">
      <w:pPr>
        <w:spacing w:after="240"/>
        <w:ind w:left="567" w:hanging="567"/>
        <w:rPr>
          <w:szCs w:val="24"/>
        </w:rPr>
      </w:pPr>
      <w:r w:rsidRPr="00CD5C32">
        <w:t>15.</w:t>
      </w:r>
      <w:r w:rsidRPr="00CD5C32">
        <w:tab/>
        <w:t>apeluje do Komisji i państw członkowskich, aby zapewniły odpowiednie, skuteczne i przejrzyste mechanizmy uczestnictwa politycznego osób doświadczających ubóstwa w podejmowaniu decyzji, wdrażaniu i ocenie skierowanych do nich strategii politycznych na różnych szczeblach procesu podejmowania decyzji;</w:t>
      </w:r>
    </w:p>
    <w:p w14:paraId="796E03B9" w14:textId="4F1012F9" w:rsidR="00BE7D08" w:rsidRPr="00CD5C32" w:rsidRDefault="007E3F57" w:rsidP="002445C5">
      <w:pPr>
        <w:spacing w:after="240"/>
        <w:ind w:left="567" w:hanging="567"/>
        <w:rPr>
          <w:szCs w:val="24"/>
        </w:rPr>
      </w:pPr>
      <w:r w:rsidRPr="00CD5C32">
        <w:t>16.</w:t>
      </w:r>
      <w:r w:rsidRPr="00CD5C32">
        <w:tab/>
        <w:t xml:space="preserve">zaleca organizację corocznej konferencji służącej ocenie wdrażania strategii, </w:t>
      </w:r>
      <w:r w:rsidRPr="00CD5C32">
        <w:lastRenderedPageBreak/>
        <w:t>skierowanej do szerokiego i zróżnicowanego grona odbiorców, w tym do osób doświadczających ubóstwa;</w:t>
      </w:r>
    </w:p>
    <w:p w14:paraId="0C91C4F3" w14:textId="19BD80AC" w:rsidR="00BE7D08" w:rsidRPr="00CD5C32" w:rsidRDefault="007E3F57" w:rsidP="002445C5">
      <w:pPr>
        <w:spacing w:after="240"/>
        <w:ind w:left="567" w:hanging="567"/>
        <w:rPr>
          <w:szCs w:val="24"/>
        </w:rPr>
      </w:pPr>
      <w:r w:rsidRPr="00CD5C32">
        <w:t>17.</w:t>
      </w:r>
      <w:r w:rsidRPr="00CD5C32">
        <w:tab/>
        <w:t>uważa, że Komisja powinna wzmocnić środki wspierania różnego rodzaju organizacji społecznych zaangażowanych w walkę z ubóstwem i zapobieganie mu;</w:t>
      </w:r>
    </w:p>
    <w:p w14:paraId="4F3D51C1" w14:textId="36B4B39F" w:rsidR="00BE7D08" w:rsidRPr="00CD5C32" w:rsidRDefault="00BE7D08" w:rsidP="009734EF">
      <w:pPr>
        <w:spacing w:after="240"/>
        <w:ind w:left="567" w:hanging="567"/>
        <w:rPr>
          <w:b/>
          <w:i/>
          <w:szCs w:val="24"/>
        </w:rPr>
      </w:pPr>
      <w:r w:rsidRPr="00CD5C32">
        <w:rPr>
          <w:b/>
          <w:i/>
        </w:rPr>
        <w:t>Właściwa koordynacja między instytucjami i odpowiednie zasoby budżetowe</w:t>
      </w:r>
    </w:p>
    <w:p w14:paraId="7E762AC8" w14:textId="4D5BBA72" w:rsidR="00BE7D08" w:rsidRPr="00CD5C32" w:rsidRDefault="007E3F57" w:rsidP="009734EF">
      <w:pPr>
        <w:spacing w:after="240"/>
        <w:ind w:left="567" w:hanging="567"/>
        <w:rPr>
          <w:szCs w:val="24"/>
        </w:rPr>
      </w:pPr>
      <w:r w:rsidRPr="00CD5C32">
        <w:t>18.</w:t>
      </w:r>
      <w:r w:rsidRPr="00CD5C32">
        <w:tab/>
        <w:t>uważa, że powodzenie strategii będzie również zależało od prawidłowej koordynacji na różnych poziomach podejmowania decyzji i działań;</w:t>
      </w:r>
    </w:p>
    <w:p w14:paraId="16543A69" w14:textId="21854F43" w:rsidR="00BE7D08" w:rsidRPr="00CD5C32" w:rsidRDefault="007E3F57" w:rsidP="009734EF">
      <w:pPr>
        <w:spacing w:after="240"/>
        <w:ind w:left="567" w:hanging="567"/>
        <w:rPr>
          <w:szCs w:val="24"/>
        </w:rPr>
      </w:pPr>
      <w:r w:rsidRPr="00CD5C32">
        <w:t>19.</w:t>
      </w:r>
      <w:r w:rsidRPr="00CD5C32">
        <w:tab/>
        <w:t>uważa, że należy odpowiednio określić zakres odpowiedzialności (na szczeblu UE, państw członkowskich i regionów) w odniesieniu do realizacji celu wyeliminowania ubóstwa, przy jednoczesnym poszanowaniu zasady pomocniczości;</w:t>
      </w:r>
    </w:p>
    <w:p w14:paraId="38519C72" w14:textId="123E826D" w:rsidR="00BE7D08" w:rsidRPr="00CD5C32" w:rsidRDefault="007E3F57" w:rsidP="009734EF">
      <w:pPr>
        <w:spacing w:after="240"/>
        <w:ind w:left="567" w:hanging="567"/>
        <w:rPr>
          <w:szCs w:val="24"/>
        </w:rPr>
      </w:pPr>
      <w:r w:rsidRPr="00CD5C32">
        <w:t>20.</w:t>
      </w:r>
      <w:r w:rsidRPr="00CD5C32">
        <w:tab/>
        <w:t>apeluje do Komisji, aby w strategii zawarła horyzontalną zasadę uwzględniania wpływu polityki sektorowej na ubóstwo, w tym obowiązkową analizę skutków ex ante;</w:t>
      </w:r>
    </w:p>
    <w:p w14:paraId="2DEB9423" w14:textId="3DB7A247" w:rsidR="00BE7D08" w:rsidRPr="00CD5C32" w:rsidRDefault="007E3F57" w:rsidP="009734EF">
      <w:pPr>
        <w:spacing w:after="240"/>
        <w:ind w:left="567" w:hanging="567"/>
        <w:rPr>
          <w:szCs w:val="24"/>
        </w:rPr>
      </w:pPr>
      <w:r w:rsidRPr="00CD5C32">
        <w:t>21.</w:t>
      </w:r>
      <w:r w:rsidRPr="00CD5C32">
        <w:tab/>
        <w:t>zaleca, aby w Komisji Europejskiej wyznaczono osobę odpowiedzialną za strategię, a także by każde państwo członkowskie wyznaczyło krajowego koordynatora i opracowało krajowy plan działania, angażując w jej realizację władze lokalne i regionalne oraz organizacje zaangażowane w walkę z ubóstwem i zapobieganie mu;</w:t>
      </w:r>
    </w:p>
    <w:p w14:paraId="419ECA92" w14:textId="12A83D64" w:rsidR="00BE7D08" w:rsidRPr="00CD5C32" w:rsidRDefault="007E3F57" w:rsidP="009734EF">
      <w:pPr>
        <w:spacing w:after="240"/>
        <w:ind w:left="567" w:hanging="567"/>
        <w:rPr>
          <w:szCs w:val="24"/>
        </w:rPr>
      </w:pPr>
      <w:r w:rsidRPr="00CD5C32">
        <w:t>22.</w:t>
      </w:r>
      <w:r w:rsidRPr="00CD5C32">
        <w:tab/>
        <w:t xml:space="preserve">wzywa do wzmocnienia kolejnych wieloletnich ram finansowych (WRF) oraz do lepszego wykorzystania EFS+, EFRR, FEAD i FAMI, tak aby wesprzeć strategie polityczne przyczyniające się do wyeliminowania ubóstwa; </w:t>
      </w:r>
    </w:p>
    <w:p w14:paraId="03CE244D" w14:textId="77777777" w:rsidR="00BE7D08" w:rsidRPr="00CD5C32" w:rsidRDefault="007E3F57" w:rsidP="009734EF">
      <w:pPr>
        <w:ind w:left="567" w:hanging="567"/>
        <w:rPr>
          <w:szCs w:val="24"/>
        </w:rPr>
      </w:pPr>
      <w:r w:rsidRPr="00CD5C32">
        <w:t>23.</w:t>
      </w:r>
      <w:r w:rsidRPr="00CD5C32">
        <w:tab/>
        <w:t>przypomina, że należy pilnie zwiększyć finansowanie gwarancji dla dzieci za pomocą specjalnego budżetu w wysokości co najmniej 20 mld euro; nalega na włączenie tego specjalnego budżetu do przyszłych WRF w ramach EFS+.</w:t>
      </w:r>
    </w:p>
    <w:p w14:paraId="1653489C" w14:textId="77777777" w:rsidR="00BE7D08" w:rsidRPr="00CD5C32" w:rsidRDefault="00BE7D08" w:rsidP="00724C82">
      <w:pPr>
        <w:pStyle w:val="NormalHanging12a"/>
        <w:rPr>
          <w:szCs w:val="24"/>
        </w:rPr>
      </w:pPr>
    </w:p>
    <w:p w14:paraId="141549B6" w14:textId="77777777" w:rsidR="00100069" w:rsidRPr="00CD5C32" w:rsidRDefault="00100069" w:rsidP="00724C82">
      <w:pPr>
        <w:pStyle w:val="NormalHanging12a"/>
      </w:pPr>
    </w:p>
    <w:p w14:paraId="0FB99812" w14:textId="77777777" w:rsidR="00276B35" w:rsidRPr="00CD5C32" w:rsidRDefault="00276B35" w:rsidP="00724C82">
      <w:pPr>
        <w:sectPr w:rsidR="00276B35" w:rsidRPr="00CD5C32" w:rsidSect="0015030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E0BB2EB" w14:textId="77777777" w:rsidR="00276B35" w:rsidRPr="00CD5C32" w:rsidRDefault="00020BE8" w:rsidP="00724C82">
      <w:pPr>
        <w:pStyle w:val="PageHeading"/>
      </w:pPr>
      <w:bookmarkStart w:id="2" w:name="_Toc201136924"/>
      <w:r w:rsidRPr="00CD5C32">
        <w:lastRenderedPageBreak/>
        <w:t>UZASADNIENIE</w:t>
      </w:r>
      <w:bookmarkEnd w:id="2"/>
    </w:p>
    <w:p w14:paraId="01DBCD0C" w14:textId="65B972B9" w:rsidR="00645EF4" w:rsidRPr="00CD5C32" w:rsidRDefault="00645EF4" w:rsidP="00724C82">
      <w:pPr>
        <w:spacing w:after="240"/>
      </w:pPr>
      <w:r w:rsidRPr="00CD5C32">
        <w:t>We wniosku dotyczącym sprawozdania uznano ubóstwo za naruszenie praw człowieka i praw narodów oraz stwierdzono, że prawa te – polityczne, gospodarcze, społeczne i kulturalne – muszą być w pełni przestrzegane, gdyż są uniwersalne, niepodzielne, współzależne i wzajemnie powiązane, co powinno stanowić centralny element polityki walki z ubóstwem.</w:t>
      </w:r>
    </w:p>
    <w:p w14:paraId="6855F982" w14:textId="1673176C" w:rsidR="00645EF4" w:rsidRPr="00CD5C32" w:rsidRDefault="00645EF4" w:rsidP="00724C82">
      <w:pPr>
        <w:spacing w:after="240"/>
      </w:pPr>
      <w:r w:rsidRPr="00CD5C32">
        <w:t>Ubóstwo i wykluczenie społeczne odzwierciedlają nierówny podział bogactwa, zarówno pod względem dochodów, jak i majątku.</w:t>
      </w:r>
    </w:p>
    <w:p w14:paraId="4551DA41" w14:textId="1274D9C9" w:rsidR="00645EF4" w:rsidRPr="00CD5C32" w:rsidRDefault="00645EF4" w:rsidP="00724C82">
      <w:pPr>
        <w:spacing w:after="240"/>
      </w:pPr>
      <w:r w:rsidRPr="00CD5C32">
        <w:t>Ze względu na wiele czynników leżących u podstaw ubóstwa oraz na jego wielowymiarowe przejawy potrzebna jest polityka ukierunkowana na spójność społeczną i zapobieganie pogłębianiu się nierówności. Skuteczna walka z ubóstwem wymaga zintegrowanego podejścia, działającego kompleksowo u źródeł tego zjawiska za pomocą strategii politycznych, które nie prowadzą do podziału ani fragmentacji ubóstwa i w których nie postrzega się go jako zjawiska społecznego występującego naturalnie czy nierozerwalnie.</w:t>
      </w:r>
    </w:p>
    <w:p w14:paraId="702EBAEA" w14:textId="77777777" w:rsidR="00645EF4" w:rsidRPr="00CD5C32" w:rsidRDefault="00645EF4" w:rsidP="00724C82">
      <w:pPr>
        <w:spacing w:after="240"/>
      </w:pPr>
      <w:r w:rsidRPr="00CD5C32">
        <w:t>W 2024 r. ubóstwo lub wykluczenie społeczne groziło 93,3 milionom osób w UE (21,0 % ludności). Ryzyko ubóstwa lub wykluczenia społecznego w UE było wyższe w przypadku kobiet (21,9 %) niż mężczyzn (20,0 %). W UE status zawodowy miał duży wpływ na wskaźnik zagrożenia ubóstwem lub wykluczeniem społecznym, który waha się od 10,9 % w przypadku pracowników najemnych do 66,6 % w przypadku bezrobotnych. W 2024 r. 21,9 % ludności UE żyjącej w gospodarstwach domowych z dziećmi na utrzymaniu było zagrożone ubóstwem lub wykluczeniem społecznym.</w:t>
      </w:r>
    </w:p>
    <w:p w14:paraId="4BC591E7" w14:textId="45EFD435" w:rsidR="00645EF4" w:rsidRPr="00CD5C32" w:rsidRDefault="00645EF4" w:rsidP="00724C82">
      <w:pPr>
        <w:spacing w:after="240"/>
      </w:pPr>
      <w:r w:rsidRPr="00CD5C32">
        <w:t>W ostatnich latach na szczeblu UE odnotowano regres w niektórych obszarach: wskaźniki dotyczące odsetka dzieci zagrożonych ubóstwem – ubóstwo dzieci wzrosło z 23,6 % w 2019 r. do 24,2 % w 2024 r., a także skuteczność ochrony socjalnej w ograniczaniu ubóstwa – zmniejszyła się ona w latach 2021–2024 z 37,1 % do 34,4 %.</w:t>
      </w:r>
    </w:p>
    <w:p w14:paraId="757B1E29" w14:textId="55036852" w:rsidR="00645EF4" w:rsidRPr="00CD5C32" w:rsidRDefault="00645EF4" w:rsidP="00724C82">
      <w:pPr>
        <w:spacing w:after="240"/>
      </w:pPr>
      <w:r w:rsidRPr="00CD5C32">
        <w:t>W Planie działania na rzecz Europejskiego filaru praw socjalnych, przyjętym w 2021 r., wyznaczono ograniczony cel zmniejszenia do 2030 r. liczby osób doświadczających ubóstwa o 15 mln, w tym o 5 mln w przypadku dzieci. Gdyby uwzględnić tylko ten cel, około 78 mln osób, w tym 15 mln dzieci w UE, nadal byłoby wówczas zagrożonych ubóstwem i wykluczeniem społecznym.</w:t>
      </w:r>
    </w:p>
    <w:p w14:paraId="0F410388" w14:textId="0D402AE2" w:rsidR="00645EF4" w:rsidRPr="00CD5C32" w:rsidRDefault="00645EF4" w:rsidP="00724C82">
      <w:pPr>
        <w:spacing w:after="240"/>
      </w:pPr>
      <w:r w:rsidRPr="00CD5C32">
        <w:t>Zdaniem sprawozdawcy istotne jest zatem, aby na szczeblu państw członkowskich i Unii Europejskiej wyeliminowanie ubóstwa zostało uznane za cel polityczny postępu społecznego, czy to w strategii Unii Europejskiej na rzecz walki z ubóstwem i związanych z nią krajowych planach działania, czy też podczas przeglądu Europejskiego filaru praw socjalnych.</w:t>
      </w:r>
    </w:p>
    <w:p w14:paraId="4C313CF7" w14:textId="02161982" w:rsidR="00645EF4" w:rsidRPr="00CD5C32" w:rsidRDefault="00645EF4" w:rsidP="00724C82">
      <w:pPr>
        <w:spacing w:after="240"/>
      </w:pPr>
      <w:r w:rsidRPr="00CD5C32">
        <w:t>Uznaje się również, że cel ten należy w pełni uwzględnić we wszystkich politykach sektorowych. Należy wziąć pod uwagę konkretny wpływ, jaki decyzje sektorowe mogą mieć na ubóstwo, a także na potrzebę ich koordynacji. W związku z tym za istotne uznaje się wprowadzenie analizy ex ante wpływu polityk sektorowych na ubóstwo.</w:t>
      </w:r>
    </w:p>
    <w:p w14:paraId="17FCB14A" w14:textId="77777777" w:rsidR="00645EF4" w:rsidRPr="00CD5C32" w:rsidRDefault="00645EF4" w:rsidP="00724C82">
      <w:pPr>
        <w:spacing w:after="240"/>
      </w:pPr>
      <w:r w:rsidRPr="00CD5C32">
        <w:t>Dane statystyczne potwierdzają, że dostęp do zatrudnienia, sprawiedliwe wynagrodzenia i transfery socjalne mają znaczący wpływ na zmniejszenie zagrożenia ubóstwem.</w:t>
      </w:r>
    </w:p>
    <w:p w14:paraId="542A2A64" w14:textId="77777777" w:rsidR="00645EF4" w:rsidRPr="00CD5C32" w:rsidRDefault="00645EF4" w:rsidP="00724C82">
      <w:pPr>
        <w:spacing w:after="240"/>
      </w:pPr>
      <w:r w:rsidRPr="00CD5C32">
        <w:t xml:space="preserve">Ujawniają one jednak również trudną sytuację pracowników dotkniętych ubóstwem ze </w:t>
      </w:r>
      <w:r w:rsidRPr="00CD5C32">
        <w:lastRenderedPageBreak/>
        <w:t>względu na niskie płace, niepewność zatrudnienia, brak ciągłości w wykonywaniu pracy lub jej niepełny charakter.</w:t>
      </w:r>
    </w:p>
    <w:p w14:paraId="70A9153E" w14:textId="58EB1183" w:rsidR="00645EF4" w:rsidRPr="00CD5C32" w:rsidRDefault="00645EF4" w:rsidP="00724C82">
      <w:pPr>
        <w:spacing w:after="240"/>
      </w:pPr>
      <w:r w:rsidRPr="00CD5C32">
        <w:t>Ponadto podkreślają, że w przypadku kobiet poziom ubóstwa jest wyższy niż w przypadku mężczyzn w wyniku dyskryminacji i nierówności, na przykład ze względu na większe trudności w dostępie do zatrudnienia, rozpiętości płacowe, mniejszą intensywność pracy, krótszą karierę zawodową, różnice w wartości emerytur i świadczeń socjalnych, nierówny podział obowiązków opiekuńczych i domowych oraz trudności w dostępie do konkretnej opieki zdrowotnej.</w:t>
      </w:r>
    </w:p>
    <w:p w14:paraId="21A0E057" w14:textId="525AC05E" w:rsidR="00645EF4" w:rsidRPr="00CD5C32" w:rsidRDefault="00645EF4" w:rsidP="00724C82">
      <w:pPr>
        <w:spacing w:after="240"/>
      </w:pPr>
      <w:r w:rsidRPr="00CD5C32">
        <w:t>Zdaniem sprawozdawcy pod wpływem strategii Komisja i państwa członkowskie powinny uznać cel pełnego zatrudnienia za wytyczną dla polityki gospodarczej i społecznej.</w:t>
      </w:r>
    </w:p>
    <w:p w14:paraId="33CB23FA" w14:textId="7E92AC50" w:rsidR="00645EF4" w:rsidRPr="00CD5C32" w:rsidRDefault="00645EF4" w:rsidP="00724C82">
      <w:pPr>
        <w:spacing w:after="240"/>
      </w:pPr>
      <w:r w:rsidRPr="00CD5C32">
        <w:t>W tym kontekście należy promować i wspierać strategie polityczne mające na celu poprawę jakości zatrudnienia i warunków pracy, przeanalizować stworzenie instrumentu walki z ubóstwem przez umożliwienie powszechnego korzystania z prawa do pracy oraz realizację celu pełnego zatrudnienia, a także przedstawić inicjatywę w następstwie zalecenia Rady w sprawie odpowiedniego dochodu minimalnego zapewniającego aktywne włączenie społeczne i zawodowe oraz przyczyniającego się do wyeliminowania ubóstwa.</w:t>
      </w:r>
    </w:p>
    <w:p w14:paraId="132FF468" w14:textId="5A81F80F" w:rsidR="00645EF4" w:rsidRPr="00CD5C32" w:rsidRDefault="00645EF4" w:rsidP="00724C82">
      <w:pPr>
        <w:spacing w:after="240"/>
      </w:pPr>
      <w:r w:rsidRPr="00CD5C32">
        <w:t>Aby zapewnić pełną i skuteczną ochronę socjalną pracowników oraz zapobiegać ubóstwu, państwa członkowskie powinny wzmocnić publiczne, powszechne i solidarne systemy zabezpieczenia społecznego.</w:t>
      </w:r>
    </w:p>
    <w:p w14:paraId="31BFF14E" w14:textId="393CD7C1" w:rsidR="00645EF4" w:rsidRPr="00CD5C32" w:rsidRDefault="00645EF4" w:rsidP="00724C82">
      <w:pPr>
        <w:spacing w:after="240"/>
      </w:pPr>
      <w:r w:rsidRPr="00CD5C32">
        <w:t>Zarówno Komisja, jak i państwa członkowskie powinny przyjąć skuteczne środki służące wdrożeniu zasady równego wynagrodzenia za tę samą pracę, co przyczyni się do zwalczania nierówności i dyskryminacji zawodowej, w szczególności w odniesieniu do kobiet.</w:t>
      </w:r>
    </w:p>
    <w:p w14:paraId="2B9907AB" w14:textId="77777777" w:rsidR="00645EF4" w:rsidRPr="00CD5C32" w:rsidRDefault="00645EF4" w:rsidP="00724C82">
      <w:pPr>
        <w:spacing w:after="240"/>
      </w:pPr>
      <w:r w:rsidRPr="00CD5C32">
        <w:t>Państwa członkowskie powinny zwrócić szczególną uwagę na gwarancję powszechnego dostępu do publicznej, przystępnej cenowo i charakteryzującej się wysoką jakością opieki zdrowotnej dla matek, noworodków i dzieci, a także na opracowywanie strategii politycznych wzmacniających prawa dotyczące macierzyństwa, ojcostwa i rodzicielstwa, aby promować równowagę między życiem zawodowym a prywatnym, ułatwić kobietom powrót do pracy po ciąży i urlopie macierzyńskim oraz zagwarantować odpowiednie warunki do karmienia piersią w miejscu pracy.</w:t>
      </w:r>
    </w:p>
    <w:p w14:paraId="28C7E5CB" w14:textId="6E2DD9D5" w:rsidR="00645EF4" w:rsidRPr="00CD5C32" w:rsidRDefault="00645EF4" w:rsidP="00724C82">
      <w:pPr>
        <w:spacing w:after="240"/>
      </w:pPr>
      <w:r w:rsidRPr="00CD5C32">
        <w:t>Należy również wziąć pod uwagę, że osoby starsze, osoby z niepełnosprawnością, osoby samotnie wychowujące dzieci, mniejszości etniczne lub migranci to grupy bardziej zagrożone ubóstwem i wykluczeniem społecznym, a dzieci migrantów są nadmiernie reprezentowane w grupie zagrożonej ubóstwem, co wymaga uwzględnienia ich szczególnej sytuacji w działaniach na rzecz przeciwdziałania i zapobiegania ubóstwu.</w:t>
      </w:r>
    </w:p>
    <w:p w14:paraId="17C758D7" w14:textId="77777777" w:rsidR="00645EF4" w:rsidRPr="00CD5C32" w:rsidRDefault="00645EF4" w:rsidP="00724C82">
      <w:pPr>
        <w:spacing w:after="240"/>
      </w:pPr>
      <w:r w:rsidRPr="00CD5C32">
        <w:t>Ubóstwo dzieci wynika z ubóstwa rodzin, a brak kompleksowego rozwiązania prowadzi do obecności ubóstwa przez całe życie (najpierw w dzieciństwie, później w pracy i wreszcie na emeryturze) i zwiększa prawdopodobieństwo międzypokoleniowego utrwalenia się ubóstwa.</w:t>
      </w:r>
    </w:p>
    <w:p w14:paraId="55A7FD81" w14:textId="7A647F9B" w:rsidR="00645EF4" w:rsidRPr="00CD5C32" w:rsidRDefault="001763D6" w:rsidP="00724C82">
      <w:pPr>
        <w:spacing w:after="240"/>
      </w:pPr>
      <w:r w:rsidRPr="00CD5C32">
        <w:t xml:space="preserve">14 czerwca 2021 r. Rada przyjęła zalecenie w sprawie europejskiej gwarancji dla dzieci, aby zapewnić dzieciom w potrzebie dostęp do kluczowych usług, na przykład bezpłatnych usług opieki i edukacji we wczesnym dzieciństwie, bezpłatnej edukacji (w tym dodatkowych zajęć w szkołach i co najmniej jednego zdrowego posiłku w ciągu dnia szkolnego), bezpłatnej opieki zdrowotnej, zdrowego żywienia i odpowiednich warunków mieszkaniowych. </w:t>
      </w:r>
    </w:p>
    <w:p w14:paraId="28B5300E" w14:textId="63FA00B6" w:rsidR="00645EF4" w:rsidRPr="00CD5C32" w:rsidRDefault="00645EF4" w:rsidP="00724C82">
      <w:pPr>
        <w:spacing w:after="240"/>
      </w:pPr>
      <w:r w:rsidRPr="00CD5C32">
        <w:lastRenderedPageBreak/>
        <w:t>Zdaniem sprawozdawcy temu istotnemu aspektowi walki z ubóstwem dzieci w UE musi towarzyszyć specjalny przydział środków budżetowych w przyszłych wieloletnich ramach finansowych w wysokości co najmniej 20 mld EUR, co zapewni środki finansowe z budżetu UE na wsparcie krajowych planów działania dotyczących gwarancji dla dzieci.</w:t>
      </w:r>
    </w:p>
    <w:p w14:paraId="4A015C08" w14:textId="77777777" w:rsidR="00645EF4" w:rsidRPr="00CD5C32" w:rsidRDefault="00645EF4" w:rsidP="00724C82">
      <w:pPr>
        <w:spacing w:after="240"/>
      </w:pPr>
      <w:r w:rsidRPr="00CD5C32">
        <w:t>Innym problemem, który należy rozważyć, jest przeciwdziałanie stygmatyzacji i dyskryminacji osób doświadczających ubóstwa.</w:t>
      </w:r>
    </w:p>
    <w:p w14:paraId="31347BAB" w14:textId="7F24661C" w:rsidR="00645EF4" w:rsidRPr="00CD5C32" w:rsidRDefault="00645EF4" w:rsidP="00724C82">
      <w:pPr>
        <w:spacing w:after="240"/>
      </w:pPr>
      <w:r w:rsidRPr="00CD5C32">
        <w:t>Nierzadko walka z ubóstwem napotyka przeszkody takie jak koncepcje polityczne stygmatyzujące i dyskryminujące osoby doświadczające ubóstwa. Osoby te wskazuje się – niezgodnie z prawdą – jako korzystające z przywilejów i praw, których rzekomo odmawia się innym obywatelom. Często słyszy się, że konkretne strategie polityczne i środki na rzecz walki z ubóstwem w różnych jego wymiarach to dowód przywileju, z którego miałyby korzystać osoby doświadczające ubóstwa.</w:t>
      </w:r>
    </w:p>
    <w:p w14:paraId="45792404" w14:textId="77777777" w:rsidR="00645EF4" w:rsidRPr="00CD5C32" w:rsidRDefault="00645EF4" w:rsidP="00724C82">
      <w:pPr>
        <w:spacing w:after="240"/>
      </w:pPr>
      <w:r w:rsidRPr="00CD5C32">
        <w:t>W innych sytuacjach to właśnie rozwiązania służące zwalczaniu ubóstwa prowadzą do stygmatyzacji osób doświadczających ubóstwa. Przykładem tego jest częsta gettoizacja w odniesieniu do osób doświadczających ubóstwa odbywająca się w dzielnicach społecznych, co nawet pod względem zagospodarowania przestrzennego i organizacji miast przyczynia się do ich wykluczenia społecznego.</w:t>
      </w:r>
    </w:p>
    <w:p w14:paraId="53677F93" w14:textId="77777777" w:rsidR="00645EF4" w:rsidRPr="00CD5C32" w:rsidRDefault="00645EF4" w:rsidP="00724C82">
      <w:pPr>
        <w:spacing w:after="240"/>
      </w:pPr>
      <w:r w:rsidRPr="00CD5C32">
        <w:t>Ustanowienie strategii UE na rzecz walki z ubóstwem powinno obejmować środki służące przeciwdziałaniu stygmatyzacji i dyskryminacji osób doświadczających ubóstwa oraz zagwarantowaniu, że walka z ubóstwem ma na celu ich integrację społeczną przez rozwiązanie kwestii tzw. ukrytych aspektów ubóstwa i niekorzystania z dostępnych świadczeń społecznych.</w:t>
      </w:r>
    </w:p>
    <w:p w14:paraId="4496073D" w14:textId="77777777" w:rsidR="00645EF4" w:rsidRPr="00CD5C32" w:rsidRDefault="00645EF4" w:rsidP="00724C82">
      <w:pPr>
        <w:spacing w:after="240"/>
      </w:pPr>
      <w:r w:rsidRPr="00CD5C32">
        <w:t>Podstawą walki z ubóstwem musi być promowanie polityki zapewniającej niepodzielny i uniwersalny charakter praw politycznych, gospodarczych, społecznych i kulturalnych. Polityka ta zapewnia rozwiązania strukturalne mające ogólny wpływ na spójność społeczną oraz przeciwdziałające stygmatyzacji i dyskryminacji osób doświadczających ubóstwa, a także niewłaściwym podejściom, takim jak kryminalizacja ubóstwa. Rozwiązaniom tym powinny towarzyszyć natychmiastowe lub jednorazowe środki wsparcia, jeżeli jest to konieczne, aby odpowiednio uwzględnić specyfikę słabszych grup społecznych.</w:t>
      </w:r>
    </w:p>
    <w:p w14:paraId="4AA08B06" w14:textId="326E4E89" w:rsidR="00645EF4" w:rsidRPr="00CD5C32" w:rsidRDefault="00645EF4" w:rsidP="00724C82">
      <w:pPr>
        <w:spacing w:after="240"/>
      </w:pPr>
      <w:r w:rsidRPr="00CD5C32">
        <w:t>W tym kontekście należy zapewnić inwestycje publiczne w strategie polityczne gwarantujące powszechne i bezpłatne usługi publiczne wysokiej jakości, biorąc pod uwagę ich wkład w przerwanie cykli ubóstwa, w tym w takich kwestiach jak edukacja, opieka zdrowotna, usługi społeczne, woda i urządzenia sanitarne, a także powszechny dostęp do godnych warunków mieszkaniowych, energii, transportu, żywności, form aktywności kulturalnej i rekreacyjnej.</w:t>
      </w:r>
    </w:p>
    <w:p w14:paraId="0C02332F" w14:textId="4CC7BC1B" w:rsidR="00645EF4" w:rsidRPr="00CD5C32" w:rsidRDefault="00645EF4" w:rsidP="00724C82">
      <w:pPr>
        <w:spacing w:after="240"/>
      </w:pPr>
      <w:r w:rsidRPr="00CD5C32">
        <w:t>Komisja powinna wspierać państwa członkowskie w promowaniu polityki mieszkaniowej zapewniającej powszechny dostęp do tego prawa, z uwzględnieniem konkretnych środków na rzecz osób w kryzysie bezdomności. Komisja powinna opracować plan na rzecz zaspokajania potrzeb mieszkaniowych wszystkich obywateli UE, obejmujący utworzenie dodatkowego i specjalnego funduszu UE na rozbudowę i renowację publicznych zasobów mieszkaniowych.</w:t>
      </w:r>
    </w:p>
    <w:p w14:paraId="4B7248EC" w14:textId="48FC7DD0" w:rsidR="00645EF4" w:rsidRPr="00CD5C32" w:rsidRDefault="00645EF4" w:rsidP="00724C82">
      <w:pPr>
        <w:spacing w:after="240"/>
      </w:pPr>
      <w:r w:rsidRPr="00CD5C32">
        <w:t>Sprawozdawca uważa, że problemy psychologiczne wynikające z ubóstwa i wykluczenia społecznego nie zostały w wystarczającym stopniu uwzględnione w strategii Komisji w zakresie zdrowia psychicznego i w krajowych planach działania. W związku z tym zaleca państwom członkowskim podjęcie konkretnych działań w tym zakresie.</w:t>
      </w:r>
    </w:p>
    <w:p w14:paraId="7A645E12" w14:textId="19737333" w:rsidR="00645EF4" w:rsidRPr="00CD5C32" w:rsidRDefault="00645EF4" w:rsidP="00724C82">
      <w:pPr>
        <w:spacing w:after="240"/>
      </w:pPr>
      <w:r w:rsidRPr="00CD5C32">
        <w:lastRenderedPageBreak/>
        <w:t xml:space="preserve">Opierając się na założeniu, że ubóstwo stanowi naruszenie praw człowieka, kluczowe znaczenie ma ustanowienie mechanizmów uczestnictwa osób doświadczających ubóstwa w określaniu, wdrażaniu i ocenie skierowanych do nich strategii politycznych. Ustanowienie takich mechanizmów powinno mieć na celu zwiększenie zaangażowania demokratycznego, upodmiotowienia i pozycji społecznej osób doświadczających ubóstwa, a także zagwarantowanie bardziej skutecznych i sprawiedliwych wyników tych strategii politycznych. </w:t>
      </w:r>
    </w:p>
    <w:p w14:paraId="7779DEA8" w14:textId="6B28D222" w:rsidR="00645EF4" w:rsidRPr="00CD5C32" w:rsidRDefault="00645EF4" w:rsidP="00724C82">
      <w:pPr>
        <w:spacing w:after="240"/>
      </w:pPr>
      <w:r w:rsidRPr="00CD5C32">
        <w:t>Sprawozdawca uważa również, że powodzenie strategii będzie zależało od prawidłowej koordynacji na różnych poziomach podejmowania decyzji i działań, a zatem należy jasno i odpowiednio określić zakres odpowiedzialności (na szczeblu UE, państw członkowskich i regionów) w odniesieniu do realizacji celu wyeliminowania ubóstwa, przy poszanowaniu zasady pomocniczości.</w:t>
      </w:r>
    </w:p>
    <w:p w14:paraId="195FD8A2" w14:textId="18124449" w:rsidR="00645EF4" w:rsidRPr="00CD5C32" w:rsidRDefault="00645EF4" w:rsidP="00724C82">
      <w:pPr>
        <w:spacing w:after="240"/>
      </w:pPr>
      <w:r w:rsidRPr="00CD5C32">
        <w:t>Sprawozdawca sugeruje organizację corocznej konferencji służącej ocenie wdrażania strategii, skierowanej do szerokiego i zróżnicowanego grona odbiorców, w tym do osób doświadczających ubóstwa.</w:t>
      </w:r>
    </w:p>
    <w:p w14:paraId="0D066D3C" w14:textId="15DC8869" w:rsidR="00645EF4" w:rsidRPr="00CD5C32" w:rsidRDefault="00645EF4" w:rsidP="00724C82">
      <w:pPr>
        <w:spacing w:after="240"/>
      </w:pPr>
      <w:r w:rsidRPr="00CD5C32">
        <w:t>W oparciu o pozytywne doświadczenia związane z gwarancją dla dzieci zaleca się, aby w Komisji Europejskiej wyznaczono osobę odpowiedzialną za strategię, a także by każde państwo członkowskie wyznaczyło krajowego koordynatora i opracowało krajowy plan działania, angażując w jej realizację władze lokalne i regionalne oraz organizacje zaangażowane w walkę z ubóstwem i zapobieganie mu.</w:t>
      </w:r>
    </w:p>
    <w:p w14:paraId="4A995AFB" w14:textId="233655C2" w:rsidR="00645EF4" w:rsidRPr="00CD5C32" w:rsidRDefault="00645EF4" w:rsidP="00724C82">
      <w:pPr>
        <w:spacing w:after="240"/>
      </w:pPr>
      <w:r w:rsidRPr="00CD5C32">
        <w:t>W strategii UE na rzecz walki z ubóstwem należy dostrzec i wspierać działania różnego rodzaju organizacji społecznych zaangażowanych w zwalczanie ubóstwa i zapobieganie mu, w tym bezpośrednie wsparcie dla osób doświadczających ubóstwa.</w:t>
      </w:r>
    </w:p>
    <w:p w14:paraId="78443442" w14:textId="629B5612" w:rsidR="00645EF4" w:rsidRPr="00CD5C32" w:rsidRDefault="00645EF4" w:rsidP="00724C82">
      <w:r w:rsidRPr="00CD5C32">
        <w:t>Następne wieloletnie ramy finansowe powinny odegrać ważną rolę we wzmacnianiu strategii politycznych i pomocy społecznej, co przyczyni się do wyeliminowania ubóstwa przez znaczne wzmocnienie i lepsze wykorzystanie EFS+, EFRR, FEAD i FAMI.</w:t>
      </w:r>
    </w:p>
    <w:p w14:paraId="6B95C973" w14:textId="77777777" w:rsidR="00276B35" w:rsidRPr="00CD5C32" w:rsidRDefault="00276B35" w:rsidP="00276B35">
      <w:pPr>
        <w:pStyle w:val="Normal12a"/>
      </w:pPr>
    </w:p>
    <w:sectPr w:rsidR="00276B35" w:rsidRPr="00CD5C32" w:rsidSect="00135AD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1C20B" w14:textId="77777777" w:rsidR="00020BE8" w:rsidRPr="00150306" w:rsidRDefault="00020BE8">
      <w:r w:rsidRPr="00150306">
        <w:separator/>
      </w:r>
    </w:p>
  </w:endnote>
  <w:endnote w:type="continuationSeparator" w:id="0">
    <w:p w14:paraId="08A445CB" w14:textId="77777777" w:rsidR="00020BE8" w:rsidRPr="00150306" w:rsidRDefault="00020BE8">
      <w:r w:rsidRPr="001503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8ECB8" w14:textId="485BE679" w:rsidR="00150306" w:rsidRPr="00150306" w:rsidRDefault="00150306" w:rsidP="00150306">
    <w:pPr>
      <w:pStyle w:val="EPFooter"/>
    </w:pPr>
    <w:r w:rsidRPr="00150306">
      <w:t>PE</w:t>
    </w:r>
    <w:r w:rsidRPr="00150306">
      <w:rPr>
        <w:rStyle w:val="HideTWBExt"/>
      </w:rPr>
      <w:t>&lt;NoPE&gt;</w:t>
    </w:r>
    <w:r w:rsidRPr="00150306">
      <w:t>774.256</w:t>
    </w:r>
    <w:r w:rsidRPr="00150306">
      <w:rPr>
        <w:rStyle w:val="HideTWBExt"/>
      </w:rPr>
      <w:t>&lt;/NoPE&gt;&lt;Version&gt;</w:t>
    </w:r>
    <w:r w:rsidRPr="00150306">
      <w:t>v01-00</w:t>
    </w:r>
    <w:r w:rsidRPr="00150306">
      <w:rPr>
        <w:rStyle w:val="HideTWBExt"/>
      </w:rPr>
      <w:t>&lt;/Version&gt;</w:t>
    </w:r>
    <w:r w:rsidRPr="00150306">
      <w:tab/>
    </w:r>
    <w:r w:rsidRPr="00150306">
      <w:fldChar w:fldCharType="begin"/>
    </w:r>
    <w:r w:rsidRPr="00150306">
      <w:instrText xml:space="preserve"> PAGE  \* MERGEFORMAT </w:instrText>
    </w:r>
    <w:r w:rsidRPr="00150306">
      <w:fldChar w:fldCharType="separate"/>
    </w:r>
    <w:r w:rsidR="00CD5C32">
      <w:rPr>
        <w:noProof/>
      </w:rPr>
      <w:t>8</w:t>
    </w:r>
    <w:r w:rsidRPr="00150306">
      <w:fldChar w:fldCharType="end"/>
    </w:r>
    <w:r w:rsidRPr="00150306">
      <w:t>/</w:t>
    </w:r>
    <w:fldSimple w:instr=" NUMPAGES  \* MERGEFORMAT ">
      <w:r w:rsidR="00CD5C32">
        <w:rPr>
          <w:noProof/>
        </w:rPr>
        <w:t>11</w:t>
      </w:r>
    </w:fldSimple>
    <w:r w:rsidRPr="00150306">
      <w:tab/>
    </w:r>
    <w:r w:rsidRPr="00150306">
      <w:rPr>
        <w:rStyle w:val="HideTWBExt"/>
      </w:rPr>
      <w:t>&lt;PathFdR&gt;</w:t>
    </w:r>
    <w:r w:rsidRPr="00150306">
      <w:t>PR\1321832PL.docx</w:t>
    </w:r>
    <w:r w:rsidRPr="00150306">
      <w:rPr>
        <w:rStyle w:val="HideTWBExt"/>
      </w:rPr>
      <w:t>&lt;/PathFdR&gt;</w:t>
    </w:r>
  </w:p>
  <w:p w14:paraId="4EA5072D" w14:textId="385F378C" w:rsidR="00100069" w:rsidRPr="00150306" w:rsidRDefault="00150306" w:rsidP="00150306">
    <w:pPr>
      <w:pStyle w:val="EPFooter2"/>
    </w:pPr>
    <w:r w:rsidRPr="00150306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7B13E" w14:textId="68DC0B97" w:rsidR="00150306" w:rsidRPr="00150306" w:rsidRDefault="00150306" w:rsidP="00150306">
    <w:pPr>
      <w:pStyle w:val="EPFooter"/>
    </w:pPr>
    <w:r w:rsidRPr="00150306">
      <w:rPr>
        <w:rStyle w:val="HideTWBExt"/>
      </w:rPr>
      <w:t>&lt;PathFdR&gt;</w:t>
    </w:r>
    <w:r w:rsidRPr="00150306">
      <w:t>PR\1321832PL.docx</w:t>
    </w:r>
    <w:r w:rsidRPr="00150306">
      <w:rPr>
        <w:rStyle w:val="HideTWBExt"/>
      </w:rPr>
      <w:t>&lt;/PathFdR&gt;</w:t>
    </w:r>
    <w:r w:rsidRPr="00150306">
      <w:tab/>
    </w:r>
    <w:r w:rsidRPr="00150306">
      <w:fldChar w:fldCharType="begin"/>
    </w:r>
    <w:r w:rsidRPr="00150306">
      <w:instrText xml:space="preserve"> PAGE  \* MERGEFORMAT </w:instrText>
    </w:r>
    <w:r w:rsidRPr="00150306">
      <w:fldChar w:fldCharType="separate"/>
    </w:r>
    <w:r w:rsidR="00CD5C32">
      <w:rPr>
        <w:noProof/>
      </w:rPr>
      <w:t>7</w:t>
    </w:r>
    <w:r w:rsidRPr="00150306">
      <w:fldChar w:fldCharType="end"/>
    </w:r>
    <w:r w:rsidRPr="00150306">
      <w:t>/</w:t>
    </w:r>
    <w:fldSimple w:instr=" NUMPAGES  \* MERGEFORMAT ">
      <w:r w:rsidR="00CD5C32">
        <w:rPr>
          <w:noProof/>
        </w:rPr>
        <w:t>11</w:t>
      </w:r>
    </w:fldSimple>
    <w:r w:rsidRPr="00150306">
      <w:tab/>
      <w:t>PE</w:t>
    </w:r>
    <w:r w:rsidRPr="00150306">
      <w:rPr>
        <w:rStyle w:val="HideTWBExt"/>
      </w:rPr>
      <w:t>&lt;NoPE&gt;</w:t>
    </w:r>
    <w:r w:rsidRPr="00150306">
      <w:t>774.256</w:t>
    </w:r>
    <w:r w:rsidRPr="00150306">
      <w:rPr>
        <w:rStyle w:val="HideTWBExt"/>
      </w:rPr>
      <w:t>&lt;/NoPE&gt;&lt;Version&gt;</w:t>
    </w:r>
    <w:r w:rsidRPr="00150306">
      <w:t>v01-00</w:t>
    </w:r>
    <w:r w:rsidRPr="00150306">
      <w:rPr>
        <w:rStyle w:val="HideTWBExt"/>
      </w:rPr>
      <w:t>&lt;/Version&gt;</w:t>
    </w:r>
  </w:p>
  <w:p w14:paraId="318C3F53" w14:textId="764BB90F" w:rsidR="00100069" w:rsidRPr="00150306" w:rsidRDefault="00150306" w:rsidP="00150306">
    <w:pPr>
      <w:pStyle w:val="EPFooter2"/>
    </w:pPr>
    <w:r w:rsidRPr="00150306">
      <w:tab/>
    </w:r>
    <w:r w:rsidRPr="00150306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53280" w14:textId="77777777" w:rsidR="00150306" w:rsidRPr="00150306" w:rsidRDefault="00150306" w:rsidP="00150306">
    <w:pPr>
      <w:pStyle w:val="EPFooter"/>
    </w:pPr>
    <w:r w:rsidRPr="00150306">
      <w:rPr>
        <w:rStyle w:val="HideTWBExt"/>
      </w:rPr>
      <w:t>&lt;PathFdR&gt;</w:t>
    </w:r>
    <w:r w:rsidRPr="00150306">
      <w:t>PR\1321832PL.docx</w:t>
    </w:r>
    <w:r w:rsidRPr="00150306">
      <w:rPr>
        <w:rStyle w:val="HideTWBExt"/>
      </w:rPr>
      <w:t>&lt;/PathFdR&gt;</w:t>
    </w:r>
    <w:r w:rsidRPr="00150306">
      <w:tab/>
    </w:r>
    <w:r w:rsidRPr="00150306">
      <w:tab/>
      <w:t>PE</w:t>
    </w:r>
    <w:r w:rsidRPr="00150306">
      <w:rPr>
        <w:rStyle w:val="HideTWBExt"/>
      </w:rPr>
      <w:t>&lt;NoPE&gt;</w:t>
    </w:r>
    <w:r w:rsidRPr="00150306">
      <w:t>774.256</w:t>
    </w:r>
    <w:r w:rsidRPr="00150306">
      <w:rPr>
        <w:rStyle w:val="HideTWBExt"/>
      </w:rPr>
      <w:t>&lt;/NoPE&gt;&lt;Version&gt;</w:t>
    </w:r>
    <w:r w:rsidRPr="00150306">
      <w:t>v01-00</w:t>
    </w:r>
    <w:r w:rsidRPr="00150306">
      <w:rPr>
        <w:rStyle w:val="HideTWBExt"/>
      </w:rPr>
      <w:t>&lt;/Version&gt;</w:t>
    </w:r>
  </w:p>
  <w:p w14:paraId="37DAEACE" w14:textId="62A17D01" w:rsidR="00100069" w:rsidRPr="00150306" w:rsidRDefault="00150306" w:rsidP="00150306">
    <w:pPr>
      <w:pStyle w:val="EPFooter2"/>
    </w:pPr>
    <w:r w:rsidRPr="00150306">
      <w:t>PL</w:t>
    </w:r>
    <w:r w:rsidRPr="00150306">
      <w:tab/>
    </w:r>
    <w:r w:rsidRPr="00150306">
      <w:rPr>
        <w:b w:val="0"/>
        <w:i/>
        <w:color w:val="C0C0C0"/>
        <w:sz w:val="22"/>
      </w:rPr>
      <w:t>Zjednoczona w różnorodności</w:t>
    </w:r>
    <w:r w:rsidRPr="00150306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08D85" w14:textId="77777777" w:rsidR="00020BE8" w:rsidRPr="00150306" w:rsidRDefault="00020BE8">
      <w:r w:rsidRPr="00150306">
        <w:separator/>
      </w:r>
    </w:p>
  </w:footnote>
  <w:footnote w:type="continuationSeparator" w:id="0">
    <w:p w14:paraId="6725FE6B" w14:textId="77777777" w:rsidR="00020BE8" w:rsidRPr="00150306" w:rsidRDefault="00020BE8">
      <w:r w:rsidRPr="001503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58C98" w14:textId="77777777" w:rsidR="00CD5C32" w:rsidRDefault="00CD5C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1FEF6" w14:textId="77777777" w:rsidR="00CD5C32" w:rsidRDefault="00CD5C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94BA6" w14:textId="77777777" w:rsidR="00CD5C32" w:rsidRDefault="00CD5C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5F171DE"/>
    <w:multiLevelType w:val="multilevel"/>
    <w:tmpl w:val="440615A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6217361"/>
    <w:multiLevelType w:val="hybridMultilevel"/>
    <w:tmpl w:val="B68209E2"/>
    <w:lvl w:ilvl="0" w:tplc="995E43C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MNU" w:val=" 1"/>
    <w:docVar w:name="COMKEY" w:val="EMPL"/>
    <w:docVar w:name="CopyToNetwork" w:val="-1"/>
    <w:docVar w:name="LastEditedSection" w:val=" 1"/>
    <w:docVar w:name="MOTIONMNU" w:val=" 3"/>
    <w:docVar w:name="RULEMNU" w:val=" 1"/>
    <w:docVar w:name="strDocTypeID" w:val="PR_INI"/>
    <w:docVar w:name="strSubDir" w:val="1321"/>
    <w:docVar w:name="TITLEMNU" w:val=" 1"/>
    <w:docVar w:name="TXTLANGUE" w:val="PT"/>
    <w:docVar w:name="TXTLANGUEMIN" w:val="pt"/>
    <w:docVar w:name="TXTNRINI" w:val="2025/2095"/>
    <w:docVar w:name="TXTNRPE" w:val="774.256"/>
    <w:docVar w:name="TXTPEorAP" w:val="PE"/>
    <w:docVar w:name="TXTROUTE" w:val="PR\1321832PT.docx"/>
    <w:docVar w:name="TXTTITLE" w:val="Elaborar uma nova estratégia da UE de combate à pobreza"/>
    <w:docVar w:name="TXTVERSION" w:val="01-00"/>
  </w:docVars>
  <w:rsids>
    <w:rsidRoot w:val="00020BE8"/>
    <w:rsid w:val="00020BE8"/>
    <w:rsid w:val="00040EAC"/>
    <w:rsid w:val="00064102"/>
    <w:rsid w:val="0007541B"/>
    <w:rsid w:val="00082B37"/>
    <w:rsid w:val="000C172E"/>
    <w:rsid w:val="000D2631"/>
    <w:rsid w:val="000D73DB"/>
    <w:rsid w:val="00100069"/>
    <w:rsid w:val="001046B1"/>
    <w:rsid w:val="00105C44"/>
    <w:rsid w:val="00135ADC"/>
    <w:rsid w:val="00150306"/>
    <w:rsid w:val="001520AD"/>
    <w:rsid w:val="001763D6"/>
    <w:rsid w:val="001B207D"/>
    <w:rsid w:val="00211892"/>
    <w:rsid w:val="0023245A"/>
    <w:rsid w:val="002445C5"/>
    <w:rsid w:val="002544DF"/>
    <w:rsid w:val="00276B35"/>
    <w:rsid w:val="002B067A"/>
    <w:rsid w:val="00335F69"/>
    <w:rsid w:val="0036264C"/>
    <w:rsid w:val="00391A5A"/>
    <w:rsid w:val="00395A66"/>
    <w:rsid w:val="003E4507"/>
    <w:rsid w:val="003E6413"/>
    <w:rsid w:val="004016B4"/>
    <w:rsid w:val="004200B3"/>
    <w:rsid w:val="00432B50"/>
    <w:rsid w:val="00455003"/>
    <w:rsid w:val="00466A1A"/>
    <w:rsid w:val="004F4329"/>
    <w:rsid w:val="005178FF"/>
    <w:rsid w:val="00531F4C"/>
    <w:rsid w:val="00584A07"/>
    <w:rsid w:val="006272CD"/>
    <w:rsid w:val="00645EF4"/>
    <w:rsid w:val="006559D4"/>
    <w:rsid w:val="00697A61"/>
    <w:rsid w:val="00705D44"/>
    <w:rsid w:val="00724C82"/>
    <w:rsid w:val="00726C82"/>
    <w:rsid w:val="0079609D"/>
    <w:rsid w:val="007963C6"/>
    <w:rsid w:val="007E3F57"/>
    <w:rsid w:val="00865656"/>
    <w:rsid w:val="008C4C65"/>
    <w:rsid w:val="0090583E"/>
    <w:rsid w:val="0095316A"/>
    <w:rsid w:val="0095536F"/>
    <w:rsid w:val="00956282"/>
    <w:rsid w:val="009734EF"/>
    <w:rsid w:val="00996AC6"/>
    <w:rsid w:val="009C4E01"/>
    <w:rsid w:val="009E4ABB"/>
    <w:rsid w:val="00A45202"/>
    <w:rsid w:val="00A81450"/>
    <w:rsid w:val="00AB1DFA"/>
    <w:rsid w:val="00AC0E3D"/>
    <w:rsid w:val="00AD0B32"/>
    <w:rsid w:val="00AF310F"/>
    <w:rsid w:val="00B17532"/>
    <w:rsid w:val="00B968F8"/>
    <w:rsid w:val="00BA2A57"/>
    <w:rsid w:val="00BA5076"/>
    <w:rsid w:val="00BB70F1"/>
    <w:rsid w:val="00BC7C60"/>
    <w:rsid w:val="00BE7D08"/>
    <w:rsid w:val="00C00074"/>
    <w:rsid w:val="00C21C5F"/>
    <w:rsid w:val="00C93A60"/>
    <w:rsid w:val="00CD2B78"/>
    <w:rsid w:val="00CD3E8A"/>
    <w:rsid w:val="00CD5C32"/>
    <w:rsid w:val="00CE60E7"/>
    <w:rsid w:val="00D31D25"/>
    <w:rsid w:val="00D40CAD"/>
    <w:rsid w:val="00D47BB0"/>
    <w:rsid w:val="00D8484E"/>
    <w:rsid w:val="00DB4680"/>
    <w:rsid w:val="00DD7B9D"/>
    <w:rsid w:val="00E155CA"/>
    <w:rsid w:val="00E3537C"/>
    <w:rsid w:val="00E61690"/>
    <w:rsid w:val="00EC7952"/>
    <w:rsid w:val="00F076A5"/>
    <w:rsid w:val="00F3651F"/>
    <w:rsid w:val="00F714A9"/>
    <w:rsid w:val="00FD3897"/>
    <w:rsid w:val="00FE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DAB5A6"/>
  <w15:chartTrackingRefBased/>
  <w15:docId w15:val="{83F3DF31-8E49-4A70-B43B-404355EF9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customStyle="1" w:styleId="Normal12a">
    <w:name w:val="Normal12a"/>
    <w:basedOn w:val="Normal"/>
    <w:rsid w:val="00276B35"/>
    <w:pPr>
      <w:spacing w:after="240"/>
    </w:pPr>
  </w:style>
  <w:style w:type="paragraph" w:customStyle="1" w:styleId="CoverNormal12a">
    <w:name w:val="CoverNormal12a"/>
    <w:basedOn w:val="Normal"/>
    <w:rsid w:val="00C21C5F"/>
    <w:pPr>
      <w:spacing w:after="240"/>
      <w:ind w:left="1418"/>
    </w:p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BE7D08"/>
    <w:rPr>
      <w:rFonts w:ascii="Arial" w:hAnsi="Arial"/>
      <w:b/>
      <w:i/>
      <w:sz w:val="24"/>
      <w:lang w:val="pl-PL"/>
    </w:rPr>
  </w:style>
  <w:style w:type="paragraph" w:styleId="NormalWeb">
    <w:name w:val="Normal (Web)"/>
    <w:basedOn w:val="Normal"/>
    <w:uiPriority w:val="99"/>
    <w:unhideWhenUsed/>
    <w:qFormat/>
    <w:rsid w:val="00BE7D08"/>
    <w:pPr>
      <w:widowControl/>
      <w:suppressAutoHyphens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BE7D08"/>
    <w:pPr>
      <w:widowControl/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oceo-line-height-base">
    <w:name w:val="doceo-line-height-base"/>
    <w:basedOn w:val="Normal"/>
    <w:uiPriority w:val="99"/>
    <w:qFormat/>
    <w:rsid w:val="00BE7D08"/>
    <w:pPr>
      <w:widowControl/>
      <w:suppressAutoHyphens/>
      <w:spacing w:before="100" w:beforeAutospacing="1" w:after="100" w:afterAutospacing="1"/>
    </w:pPr>
    <w:rPr>
      <w:szCs w:val="24"/>
    </w:rPr>
  </w:style>
  <w:style w:type="character" w:customStyle="1" w:styleId="doceo-font-family-base">
    <w:name w:val="doceo-font-family-base"/>
    <w:basedOn w:val="DefaultParagraphFont"/>
    <w:qFormat/>
    <w:rsid w:val="00BE7D08"/>
  </w:style>
  <w:style w:type="paragraph" w:styleId="Footer">
    <w:name w:val="footer"/>
    <w:basedOn w:val="Normal"/>
    <w:link w:val="FooterChar"/>
    <w:semiHidden/>
    <w:rsid w:val="00B968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968F8"/>
    <w:rPr>
      <w:sz w:val="24"/>
      <w:lang w:val="pl-PL"/>
    </w:rPr>
  </w:style>
  <w:style w:type="paragraph" w:styleId="BalloonText">
    <w:name w:val="Balloon Text"/>
    <w:basedOn w:val="Normal"/>
    <w:link w:val="BalloonTextChar"/>
    <w:semiHidden/>
    <w:unhideWhenUsed/>
    <w:rsid w:val="00724C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4C82"/>
    <w:rPr>
      <w:rFonts w:ascii="Segoe UI" w:hAnsi="Segoe UI" w:cs="Segoe UI"/>
      <w:sz w:val="18"/>
      <w:szCs w:val="18"/>
      <w:lang w:val="pl-PL"/>
    </w:rPr>
  </w:style>
  <w:style w:type="paragraph" w:styleId="Revision">
    <w:name w:val="Revision"/>
    <w:hidden/>
    <w:uiPriority w:val="99"/>
    <w:semiHidden/>
    <w:rsid w:val="00AB1DF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3135</Words>
  <Characters>20790</Characters>
  <Application>Microsoft Office Word</Application>
  <DocSecurity>0</DocSecurity>
  <Lines>352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23786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subject/>
  <dc:creator>TROCH Nicolas</dc:creator>
  <cp:keywords/>
  <dc:description/>
  <cp:lastModifiedBy>PERNAK Anna</cp:lastModifiedBy>
  <cp:revision>2</cp:revision>
  <cp:lastPrinted>2004-12-08T15:27:00Z</cp:lastPrinted>
  <dcterms:created xsi:type="dcterms:W3CDTF">2025-06-18T09:01:00Z</dcterms:created>
  <dcterms:modified xsi:type="dcterms:W3CDTF">2025-06-18T09:01:00Z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10.1.0 Build [20250401]</vt:lpwstr>
  </property>
  <property fmtid="{D5CDD505-2E9C-101B-9397-08002B2CF9AE}" pid="4" name="LastEdited with">
    <vt:lpwstr>10.1.1 Build [20250421]</vt:lpwstr>
  </property>
  <property fmtid="{D5CDD505-2E9C-101B-9397-08002B2CF9AE}" pid="5" name="&lt;FdR&gt;">
    <vt:lpwstr>1321832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\\eiciBRUpr1\pdocep$\DocEP\DOCS\General\PR\PR_NonLeg\INI\PR_INI.dotx(18/02/2025 09:53:03)</vt:lpwstr>
  </property>
  <property fmtid="{D5CDD505-2E9C-101B-9397-08002B2CF9AE}" pid="8" name="&lt;ModelTra&gt;">
    <vt:lpwstr>\\eiciBRUpr1\pdocep$\DocEP\TRANSFIL\PT\PR_INI.PT(18/02/2025 09:54:09)</vt:lpwstr>
  </property>
  <property fmtid="{D5CDD505-2E9C-101B-9397-08002B2CF9AE}" pid="9" name="&lt;Model&gt;">
    <vt:lpwstr>PR_INI</vt:lpwstr>
  </property>
  <property fmtid="{D5CDD505-2E9C-101B-9397-08002B2CF9AE}" pid="10" name="FooterPath">
    <vt:lpwstr>PR\1321832PL.docx</vt:lpwstr>
  </property>
  <property fmtid="{D5CDD505-2E9C-101B-9397-08002B2CF9AE}" pid="11" name="PE number">
    <vt:lpwstr>774.256</vt:lpwstr>
  </property>
  <property fmtid="{D5CDD505-2E9C-101B-9397-08002B2CF9AE}" pid="12" name="SendToEpades">
    <vt:lpwstr>OK - 2025/06/03 12:01</vt:lpwstr>
  </property>
  <property fmtid="{D5CDD505-2E9C-101B-9397-08002B2CF9AE}" pid="13" name="SDLStudio">
    <vt:lpwstr/>
  </property>
  <property fmtid="{D5CDD505-2E9C-101B-9397-08002B2CF9AE}" pid="14" name="Bookout">
    <vt:lpwstr>OK - 2025/06/18 11:01</vt:lpwstr>
  </property>
</Properties>
</file>