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D64FC5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93A60" w:rsidRPr="00CC3657" w:rsidRDefault="00576074" w:rsidP="00C85D0F">
            <w:pPr>
              <w:pStyle w:val="EPName"/>
            </w:pPr>
            <w:bookmarkStart w:id="0" w:name="_GoBack"/>
            <w:bookmarkEnd w:id="0"/>
            <w:r>
              <w:t>Parlamentul European</w:t>
            </w:r>
          </w:p>
          <w:p w:rsidR="00C93A60" w:rsidRPr="00CC3657" w:rsidRDefault="00576074" w:rsidP="00064102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:rsidR="00C93A60" w:rsidRPr="00CC3657" w:rsidRDefault="00576074" w:rsidP="00C85D0F">
            <w:pPr>
              <w:pStyle w:val="EPLogo"/>
            </w:pPr>
            <w:r w:rsidRPr="00CC365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3537C" w:rsidRPr="00CC3657" w:rsidRDefault="00E3537C" w:rsidP="00E3537C">
      <w:pPr>
        <w:pStyle w:val="LineTop"/>
      </w:pPr>
    </w:p>
    <w:p w:rsidR="00E3537C" w:rsidRPr="00CC3657" w:rsidRDefault="00576074" w:rsidP="00E3537C">
      <w:pPr>
        <w:pStyle w:val="EPBody"/>
      </w:pPr>
      <w:r>
        <w:rPr>
          <w:rStyle w:val="HideTWBExt"/>
          <w:i w:val="0"/>
        </w:rPr>
        <w:t>&lt;Commission&gt;</w:t>
      </w:r>
      <w:r>
        <w:rPr>
          <w:rStyle w:val="HideTWBInt"/>
          <w:color w:val="auto"/>
        </w:rPr>
        <w:t>{EMPL}</w:t>
      </w:r>
      <w:r>
        <w:t>Comisia pentru ocuparea forț</w:t>
      </w:r>
      <w:r>
        <w:t>ei de muncă ș</w:t>
      </w:r>
      <w:r>
        <w:t>i afaceri sociale</w:t>
      </w:r>
      <w:r>
        <w:rPr>
          <w:rStyle w:val="HideTWBExt"/>
          <w:i w:val="0"/>
        </w:rPr>
        <w:t>&lt;/Commission&gt;</w:t>
      </w:r>
    </w:p>
    <w:p w:rsidR="00E3537C" w:rsidRPr="00CC3657" w:rsidRDefault="00E3537C" w:rsidP="00E3537C">
      <w:pPr>
        <w:pStyle w:val="LineBottom"/>
      </w:pPr>
    </w:p>
    <w:p w:rsidR="00100069" w:rsidRPr="00CC3657" w:rsidRDefault="00576074">
      <w:pPr>
        <w:pStyle w:val="CoverReference"/>
      </w:pPr>
      <w:r>
        <w:rPr>
          <w:rStyle w:val="HideTWBExt"/>
          <w:b w:val="0"/>
        </w:rPr>
        <w:t>&lt;RefProc&gt;</w:t>
      </w:r>
      <w:r>
        <w:t>2025/2095</w:t>
      </w:r>
      <w:r>
        <w:rPr>
          <w:rStyle w:val="HideTWBExt"/>
          <w:b w:val="0"/>
        </w:rPr>
        <w:t>&lt;/RefProc&gt;&lt;RefTypeProc&gt;</w:t>
      </w:r>
      <w:r>
        <w:t>(INI)</w:t>
      </w:r>
      <w:r>
        <w:rPr>
          <w:rStyle w:val="HideTWBExt"/>
          <w:b w:val="0"/>
        </w:rPr>
        <w:t>&lt;/RefTypeProc&gt;</w:t>
      </w:r>
    </w:p>
    <w:p w:rsidR="00100069" w:rsidRPr="00CC3657" w:rsidRDefault="00576074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{03/06/2025}</w:t>
      </w:r>
      <w:r>
        <w:t>3.6.2025</w:t>
      </w:r>
      <w:r>
        <w:rPr>
          <w:rStyle w:val="HideTWBExt"/>
        </w:rPr>
        <w:t>&lt;/Date&gt;</w:t>
      </w:r>
    </w:p>
    <w:p w:rsidR="00100069" w:rsidRPr="00CC3657" w:rsidRDefault="00576074">
      <w:pPr>
        <w:pStyle w:val="CoverDocType24a"/>
      </w:pPr>
      <w:r>
        <w:rPr>
          <w:rStyle w:val="HideTWBExt"/>
          <w:b w:val="0"/>
        </w:rPr>
        <w:t>&lt;TitreType&gt;</w:t>
      </w:r>
      <w:r>
        <w:t>PROIECT DE RAPORT</w:t>
      </w:r>
      <w:r>
        <w:rPr>
          <w:rStyle w:val="HideTWBExt"/>
          <w:b w:val="0"/>
        </w:rPr>
        <w:t>&lt;/TitreType&gt;</w:t>
      </w:r>
    </w:p>
    <w:p w:rsidR="00100069" w:rsidRPr="00CC3657" w:rsidRDefault="00576074">
      <w:pPr>
        <w:pStyle w:val="CoverNormal"/>
      </w:pPr>
      <w:r>
        <w:rPr>
          <w:rStyle w:val="HideTWBExt"/>
        </w:rPr>
        <w:t>&lt;Titre&gt;</w:t>
      </w:r>
      <w:r>
        <w:t>referitor la elaborarea unei noi strategii a UE de combatere a sărăciei</w:t>
      </w:r>
      <w:r>
        <w:rPr>
          <w:rStyle w:val="HideTWBExt"/>
        </w:rPr>
        <w:t>&lt;/Titre&gt;</w:t>
      </w:r>
    </w:p>
    <w:p w:rsidR="00100069" w:rsidRPr="00CC3657" w:rsidRDefault="00576074">
      <w:pPr>
        <w:pStyle w:val="CoverNormal24a"/>
      </w:pPr>
      <w:r>
        <w:rPr>
          <w:rStyle w:val="HideTWBExt"/>
        </w:rPr>
        <w:t>&lt;DocRef&gt;</w:t>
      </w:r>
      <w:r>
        <w:t>(2025/2095(INI))</w:t>
      </w:r>
      <w:r>
        <w:rPr>
          <w:rStyle w:val="HideTWBExt"/>
        </w:rPr>
        <w:t>&lt;/DocRef&gt;</w:t>
      </w:r>
    </w:p>
    <w:p w:rsidR="00100069" w:rsidRPr="00CC3657" w:rsidRDefault="00576074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  <w:color w:val="auto"/>
        </w:rPr>
        <w:t>{EMPL}</w:t>
      </w:r>
      <w:r>
        <w:t>Comisia pentru ocuparea forț</w:t>
      </w:r>
      <w:r>
        <w:t>ei de muncă ș</w:t>
      </w:r>
      <w:r>
        <w:t>i afaceri sociale</w:t>
      </w:r>
      <w:r>
        <w:rPr>
          <w:rStyle w:val="HideTWBExt"/>
        </w:rPr>
        <w:t>&lt;/Commission&gt;</w:t>
      </w:r>
    </w:p>
    <w:p w:rsidR="00100069" w:rsidRPr="00CC3657" w:rsidRDefault="00576074">
      <w:pPr>
        <w:pStyle w:val="CoverNormal24a"/>
      </w:pPr>
      <w:r>
        <w:t xml:space="preserve">Raportor: </w:t>
      </w:r>
      <w:r>
        <w:rPr>
          <w:rStyle w:val="HideTWBExt"/>
        </w:rPr>
        <w:t>&lt;Depute&gt;</w:t>
      </w:r>
      <w:r>
        <w:t>João Oliveira</w:t>
      </w:r>
      <w:r>
        <w:rPr>
          <w:rStyle w:val="HideTWBExt"/>
        </w:rPr>
        <w:t>&lt;</w:t>
      </w:r>
      <w:r>
        <w:rPr>
          <w:rStyle w:val="HideTWBExt"/>
        </w:rPr>
        <w:t>/Depute&gt;</w:t>
      </w:r>
    </w:p>
    <w:p w:rsidR="00100069" w:rsidRPr="00CC3657" w:rsidRDefault="00576074" w:rsidP="002544DF">
      <w:pPr>
        <w:widowControl/>
        <w:tabs>
          <w:tab w:val="center" w:pos="4677"/>
        </w:tabs>
      </w:pPr>
      <w:r>
        <w:br w:type="page"/>
      </w:r>
      <w:r>
        <w:lastRenderedPageBreak/>
        <w:t>PR_INI</w:t>
      </w:r>
    </w:p>
    <w:p w:rsidR="00100069" w:rsidRPr="00CC3657" w:rsidRDefault="00576074">
      <w:pPr>
        <w:pStyle w:val="TOCHeading"/>
      </w:pPr>
      <w:r>
        <w:t>CUPRINS</w:t>
      </w:r>
    </w:p>
    <w:p w:rsidR="00100069" w:rsidRPr="00CC3657" w:rsidRDefault="00576074">
      <w:pPr>
        <w:pStyle w:val="TOCPage"/>
      </w:pPr>
      <w:r>
        <w:t>Pagina</w:t>
      </w:r>
    </w:p>
    <w:p w:rsidR="00576074" w:rsidRDefault="00576074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CC3657">
        <w:rPr>
          <w:b/>
        </w:rPr>
        <w:fldChar w:fldCharType="begin"/>
      </w:r>
      <w:r w:rsidRPr="00CC3657">
        <w:rPr>
          <w:b/>
        </w:rPr>
        <w:instrText xml:space="preserve"> TOC \t "PageHeading</w:instrText>
      </w:r>
      <w:r w:rsidR="00FE77F0" w:rsidRPr="00CC3657">
        <w:rPr>
          <w:b/>
        </w:rPr>
        <w:instrText>;</w:instrText>
      </w:r>
      <w:r w:rsidRPr="00CC3657">
        <w:rPr>
          <w:b/>
        </w:rPr>
        <w:instrText xml:space="preserve">1" </w:instrText>
      </w:r>
      <w:r w:rsidRPr="00CC3657">
        <w:rPr>
          <w:b/>
        </w:rPr>
        <w:fldChar w:fldCharType="separate"/>
      </w:r>
      <w:r>
        <w:rPr>
          <w:noProof/>
        </w:rPr>
        <w:t>PROPUNERE DE REZOLUȚIE A PARLAMENTULUI EUROPEAN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_Toc201136236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76074" w:rsidRDefault="00576074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EXPUNERE DE MOTIVE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_Toc201136237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155CA" w:rsidRPr="00CC3657" w:rsidRDefault="00576074" w:rsidP="0023245A">
      <w:r w:rsidRPr="00CC3657">
        <w:rPr>
          <w:b/>
        </w:rPr>
        <w:fldChar w:fldCharType="end"/>
      </w:r>
    </w:p>
    <w:p w:rsidR="00100069" w:rsidRPr="00CC3657" w:rsidRDefault="00576074">
      <w:pPr>
        <w:pStyle w:val="PageHeading"/>
      </w:pPr>
      <w:r>
        <w:br w:type="page"/>
      </w:r>
      <w:bookmarkStart w:id="1" w:name="_Toc201136236"/>
      <w:r>
        <w:lastRenderedPageBreak/>
        <w:t>PROPUNERE DE REZOLUȚ</w:t>
      </w:r>
      <w:r>
        <w:t>IE A PARLAMENTULUI EUROPEAN</w:t>
      </w:r>
      <w:bookmarkEnd w:id="1"/>
    </w:p>
    <w:p w:rsidR="00100069" w:rsidRPr="00CC3657" w:rsidRDefault="00576074">
      <w:pPr>
        <w:pStyle w:val="NormalBold"/>
        <w:rPr>
          <w:szCs w:val="24"/>
        </w:rPr>
      </w:pPr>
      <w:r>
        <w:t>referitoare la elaborarea unei noi strategii a UE de combatere a sărăciei</w:t>
      </w:r>
    </w:p>
    <w:p w:rsidR="00100069" w:rsidRPr="00CC3657" w:rsidRDefault="00576074" w:rsidP="00335F69">
      <w:pPr>
        <w:pStyle w:val="NormalBold"/>
        <w:rPr>
          <w:szCs w:val="24"/>
        </w:rPr>
      </w:pPr>
      <w:r>
        <w:t>(2025/2095(INI))</w:t>
      </w:r>
    </w:p>
    <w:p w:rsidR="00100069" w:rsidRPr="00CC3657" w:rsidRDefault="00576074" w:rsidP="00724C82">
      <w:pPr>
        <w:pStyle w:val="EPComma"/>
        <w:rPr>
          <w:szCs w:val="24"/>
        </w:rPr>
      </w:pPr>
      <w:r>
        <w:rPr>
          <w:i/>
          <w:iCs/>
        </w:rPr>
        <w:t>Parlamentul European</w:t>
      </w:r>
      <w:r>
        <w:t>,</w:t>
      </w:r>
    </w:p>
    <w:p w:rsidR="00BE7D08" w:rsidRPr="00CC3657" w:rsidRDefault="00576074" w:rsidP="00724C82">
      <w:pPr>
        <w:pStyle w:val="NormalHanging12a"/>
        <w:rPr>
          <w:szCs w:val="24"/>
        </w:rPr>
      </w:pPr>
      <w:r>
        <w:rPr>
          <w:rStyle w:val="doceo-font-family-base"/>
          <w:shd w:val="clear" w:color="auto" w:fill="FFFFFF"/>
        </w:rPr>
        <w:t>–</w:t>
      </w:r>
      <w:r>
        <w:rPr>
          <w:rStyle w:val="doceo-font-family-base"/>
          <w:shd w:val="clear" w:color="auto" w:fill="FFFFFF"/>
        </w:rPr>
        <w:tab/>
      </w:r>
      <w:r>
        <w:t>având în vedere Carta d</w:t>
      </w:r>
      <w:r>
        <w:t xml:space="preserve">repturilor fundamentale a Uniunii Europene, </w:t>
      </w:r>
    </w:p>
    <w:p w:rsidR="00BE7D08" w:rsidRPr="00CC3657" w:rsidRDefault="00576074" w:rsidP="00724C82">
      <w:pPr>
        <w:pStyle w:val="NormalHanging12a"/>
        <w:rPr>
          <w:szCs w:val="24"/>
        </w:rPr>
      </w:pPr>
      <w:r>
        <w:t>–</w:t>
      </w:r>
      <w:r>
        <w:tab/>
        <w:t>având în vedere Pilonul european al drepturilor sociale (PEDS) ș</w:t>
      </w:r>
      <w:r>
        <w:t>i planul său de acț</w:t>
      </w:r>
      <w:r>
        <w:t>iune, cu obiectivele pentru 2030, ș</w:t>
      </w:r>
      <w:r>
        <w:t>i tabloul de bord social al UE,</w:t>
      </w:r>
    </w:p>
    <w:p w:rsidR="00BE7D08" w:rsidRPr="00CC3657" w:rsidRDefault="00576074" w:rsidP="00724C82">
      <w:pPr>
        <w:pStyle w:val="NormalHanging12a"/>
        <w:rPr>
          <w:szCs w:val="24"/>
        </w:rPr>
      </w:pPr>
      <w:r>
        <w:t>–</w:t>
      </w:r>
      <w:r>
        <w:tab/>
        <w:t>având în vedere Declaraț</w:t>
      </w:r>
      <w:r>
        <w:t>ia de la Porto din 8 mai 2021, an</w:t>
      </w:r>
      <w:r>
        <w:t>gajamentele reînnoite în cadrul Forumului social de la Porto din 2023 ș</w:t>
      </w:r>
      <w:r>
        <w:t>i Declaraț</w:t>
      </w:r>
      <w:r>
        <w:t>ia de la</w:t>
      </w:r>
      <w:r>
        <w:t xml:space="preserve"> La</w:t>
      </w:r>
      <w:r>
        <w:t xml:space="preserve"> Hulpe din 16 aprilie 2024,</w:t>
      </w:r>
    </w:p>
    <w:p w:rsidR="00BE7D08" w:rsidRPr="00CC3657" w:rsidRDefault="00576074" w:rsidP="00724C82">
      <w:pPr>
        <w:pStyle w:val="NormalHanging12a"/>
        <w:rPr>
          <w:szCs w:val="24"/>
        </w:rPr>
      </w:pPr>
      <w:r>
        <w:t>–</w:t>
      </w:r>
      <w:r>
        <w:tab/>
        <w:t>având în vedere obiectivele de dezvoltare durabilă ale Agendei 2030 pentru dezvoltare durabilă, adoptată la New York în septembrie 201</w:t>
      </w:r>
      <w:r>
        <w:t>5,</w:t>
      </w:r>
    </w:p>
    <w:p w:rsidR="00BE7D08" w:rsidRPr="00CC3657" w:rsidRDefault="00576074" w:rsidP="00724C82">
      <w:pPr>
        <w:pStyle w:val="NormalHanging12a"/>
        <w:rPr>
          <w:szCs w:val="24"/>
        </w:rPr>
      </w:pPr>
      <w:r>
        <w:t>–</w:t>
      </w:r>
      <w:r>
        <w:tab/>
        <w:t>având în vedere Convenț</w:t>
      </w:r>
      <w:r>
        <w:t>ia ONU cu privire la drepturile copilului (CDC), adoptată la New York la 20 noiembrie 1989,</w:t>
      </w:r>
    </w:p>
    <w:p w:rsidR="00BE7D08" w:rsidRPr="00CC3657" w:rsidRDefault="00576074" w:rsidP="00724C82">
      <w:pPr>
        <w:pStyle w:val="NormalHanging12a"/>
        <w:rPr>
          <w:szCs w:val="24"/>
        </w:rPr>
      </w:pPr>
      <w:r>
        <w:t>–</w:t>
      </w:r>
      <w:r>
        <w:tab/>
        <w:t>având în vedere Pactul ONU cu privire la drepturile economice, sociale ș</w:t>
      </w:r>
      <w:r>
        <w:t>i culturale, adoptat la New York la 16 decembrie 1966,</w:t>
      </w:r>
    </w:p>
    <w:p w:rsidR="00BE7D08" w:rsidRPr="00CC3657" w:rsidRDefault="00576074" w:rsidP="00724C82">
      <w:pPr>
        <w:pStyle w:val="NormalHanging12a"/>
        <w:rPr>
          <w:szCs w:val="24"/>
        </w:rPr>
      </w:pPr>
      <w:r>
        <w:t>–</w:t>
      </w:r>
      <w:r>
        <w:tab/>
        <w:t>având</w:t>
      </w:r>
      <w:r>
        <w:t xml:space="preserve"> în vedere Carta socială europeană, adoptată la Torino în 1961,</w:t>
      </w:r>
    </w:p>
    <w:p w:rsidR="00BE7D08" w:rsidRPr="00CC3657" w:rsidRDefault="00576074" w:rsidP="00724C82">
      <w:pPr>
        <w:pStyle w:val="NormalHanging12a"/>
        <w:rPr>
          <w:szCs w:val="24"/>
        </w:rPr>
      </w:pPr>
      <w:r>
        <w:t>–</w:t>
      </w:r>
      <w:r>
        <w:tab/>
        <w:t>având în vedere Convenț</w:t>
      </w:r>
      <w:r>
        <w:t>ia ONU privind drepturile persoanelor cu dizabilit</w:t>
      </w:r>
      <w:r w:rsidR="00A17A4A">
        <w:t>ă</w:t>
      </w:r>
      <w:r>
        <w:t>ț</w:t>
      </w:r>
      <w:r w:rsidR="00A17A4A">
        <w:t>i, adoptată la New York la 13 decembrie </w:t>
      </w:r>
      <w:r>
        <w:t>2006,</w:t>
      </w:r>
    </w:p>
    <w:p w:rsidR="00BE7D08" w:rsidRPr="00CC3657" w:rsidRDefault="00576074" w:rsidP="00724C82">
      <w:pPr>
        <w:pStyle w:val="NormalHanging12a"/>
        <w:rPr>
          <w:szCs w:val="24"/>
        </w:rPr>
      </w:pPr>
      <w:r>
        <w:t>–</w:t>
      </w:r>
      <w:r>
        <w:tab/>
        <w:t>având în vedere Rezoluț</w:t>
      </w:r>
      <w:r>
        <w:t>ia Organizaț</w:t>
      </w:r>
      <w:r>
        <w:t>iei Naț</w:t>
      </w:r>
      <w:r>
        <w:t>iunilor Unite din 18 dece</w:t>
      </w:r>
      <w:r>
        <w:t>mbrie 2019 privind drepturile copilului,</w:t>
      </w:r>
    </w:p>
    <w:p w:rsidR="00BE7D08" w:rsidRPr="00CC3657" w:rsidRDefault="00576074" w:rsidP="00724C82">
      <w:pPr>
        <w:pStyle w:val="NormalHanging12a"/>
        <w:rPr>
          <w:szCs w:val="24"/>
        </w:rPr>
      </w:pPr>
      <w:r>
        <w:t>–</w:t>
      </w:r>
      <w:r>
        <w:tab/>
        <w:t>având în vedere Directiva (UE) 2019/1158 a Parlamentului European ș</w:t>
      </w:r>
      <w:r>
        <w:t>i a Consiliului din 20 iunie 2019 privind echilibrul dintre viaț</w:t>
      </w:r>
      <w:r>
        <w:t>a profesională ș</w:t>
      </w:r>
      <w:r>
        <w:t>i cea privată a părinț</w:t>
      </w:r>
      <w:r>
        <w:t>ilor ș</w:t>
      </w:r>
      <w:r>
        <w:t>i îngrijitorilor,</w:t>
      </w:r>
    </w:p>
    <w:p w:rsidR="00BE7D08" w:rsidRPr="00CC3657" w:rsidRDefault="00576074" w:rsidP="00724C82">
      <w:pPr>
        <w:pStyle w:val="NormalHanging12a"/>
        <w:rPr>
          <w:szCs w:val="24"/>
        </w:rPr>
      </w:pPr>
      <w:r>
        <w:t>–</w:t>
      </w:r>
      <w:r>
        <w:tab/>
        <w:t>având în vedere Re</w:t>
      </w:r>
      <w:r>
        <w:t>comandarea 2013/112/UE a Comisiei din 20 februarie 2013 intitulată „Investiț</w:t>
      </w:r>
      <w:r>
        <w:t>ia în copii: ruperea cercului vicios al defavorizării”,</w:t>
      </w:r>
    </w:p>
    <w:p w:rsidR="00BE7D08" w:rsidRPr="00CC3657" w:rsidRDefault="00576074" w:rsidP="00724C82">
      <w:pPr>
        <w:pStyle w:val="NormalHanging12a"/>
        <w:rPr>
          <w:szCs w:val="24"/>
        </w:rPr>
      </w:pPr>
      <w:r>
        <w:t>–</w:t>
      </w:r>
      <w:r>
        <w:tab/>
        <w:t>având în vedere Recomandarea Consiliului din 22 mai 2019 privind sisteme de înaltă calitate de educaț</w:t>
      </w:r>
      <w:r>
        <w:t>ie ș</w:t>
      </w:r>
      <w:r>
        <w:t>i îngrijire timpu</w:t>
      </w:r>
      <w:r>
        <w:t>rie a copiilor,</w:t>
      </w:r>
    </w:p>
    <w:p w:rsidR="00BE7D08" w:rsidRPr="00CC3657" w:rsidRDefault="00576074" w:rsidP="00724C82">
      <w:pPr>
        <w:pStyle w:val="NormalHanging12a"/>
        <w:rPr>
          <w:szCs w:val="24"/>
        </w:rPr>
      </w:pPr>
      <w:r>
        <w:t>–</w:t>
      </w:r>
      <w:r>
        <w:tab/>
        <w:t>având în vedere rezoluț</w:t>
      </w:r>
      <w:r>
        <w:t>ia sa din 21 ianuarie 2021 referitoare la accesul la locuinț</w:t>
      </w:r>
      <w:r>
        <w:t>e decente ș</w:t>
      </w:r>
      <w:r>
        <w:t>i la preț</w:t>
      </w:r>
      <w:r>
        <w:t>uri abordabile pentru toț</w:t>
      </w:r>
      <w:r>
        <w:t>i,</w:t>
      </w:r>
    </w:p>
    <w:p w:rsidR="00BE7D08" w:rsidRPr="00CC3657" w:rsidRDefault="00576074" w:rsidP="00724C82">
      <w:pPr>
        <w:pStyle w:val="NormalHanging12a"/>
        <w:rPr>
          <w:szCs w:val="24"/>
        </w:rPr>
      </w:pPr>
      <w:r>
        <w:t>–</w:t>
      </w:r>
      <w:r>
        <w:tab/>
        <w:t>având în vedere rezoluț</w:t>
      </w:r>
      <w:r>
        <w:t>ia sa din 10 februarie 2021 referitoare la reducerea inegalităț</w:t>
      </w:r>
      <w:r>
        <w:t>ilor, cu accent spe</w:t>
      </w:r>
      <w:r>
        <w:t>cial asupra sărăciei persoanelor încadrate în muncă,</w:t>
      </w:r>
    </w:p>
    <w:p w:rsidR="00BE7D08" w:rsidRPr="00CC3657" w:rsidRDefault="00576074" w:rsidP="00724C82">
      <w:pPr>
        <w:pStyle w:val="NormalHanging12a"/>
        <w:rPr>
          <w:szCs w:val="24"/>
        </w:rPr>
      </w:pPr>
      <w:r>
        <w:t>–</w:t>
      </w:r>
      <w:r>
        <w:tab/>
        <w:t>având în vedere rezoluț</w:t>
      </w:r>
      <w:r>
        <w:t>ia sa din 29 aprilie 2021 referitoare la Garanț</w:t>
      </w:r>
      <w:r>
        <w:t>ia europeană pentru copii,</w:t>
      </w:r>
    </w:p>
    <w:p w:rsidR="00BE7D08" w:rsidRPr="00CC3657" w:rsidRDefault="00576074" w:rsidP="00724C82">
      <w:pPr>
        <w:pStyle w:val="NormalHanging12a"/>
        <w:rPr>
          <w:szCs w:val="24"/>
        </w:rPr>
      </w:pPr>
      <w:r>
        <w:lastRenderedPageBreak/>
        <w:t>–</w:t>
      </w:r>
      <w:r>
        <w:tab/>
        <w:t>având în vedere rezoluț</w:t>
      </w:r>
      <w:r>
        <w:t>ia sa din 21 noiembrie 2023 referitoare la reducerea inegalităț</w:t>
      </w:r>
      <w:r>
        <w:t>ilor ș</w:t>
      </w:r>
      <w:r>
        <w:t xml:space="preserve">i </w:t>
      </w:r>
      <w:r>
        <w:t>promovarea incluziunii sociale în perioade de criză pentru copii ș</w:t>
      </w:r>
      <w:r>
        <w:t>i familiile acestora,</w:t>
      </w:r>
    </w:p>
    <w:p w:rsidR="00BE7D08" w:rsidRPr="00CC3657" w:rsidRDefault="00576074" w:rsidP="00724C82">
      <w:pPr>
        <w:pStyle w:val="NormalHanging12a"/>
        <w:rPr>
          <w:szCs w:val="24"/>
        </w:rPr>
      </w:pPr>
      <w:r>
        <w:t>–</w:t>
      </w:r>
      <w:r>
        <w:tab/>
        <w:t>având în vedere Comunicarea Comisiei din 24 martie 2021 privind strategia UE privind drepturile copilului,</w:t>
      </w:r>
    </w:p>
    <w:p w:rsidR="00BE7D08" w:rsidRPr="00CC3657" w:rsidRDefault="00576074" w:rsidP="00724C82">
      <w:pPr>
        <w:pStyle w:val="NormalHanging12a"/>
        <w:rPr>
          <w:szCs w:val="24"/>
        </w:rPr>
      </w:pPr>
      <w:r>
        <w:t>–</w:t>
      </w:r>
      <w:r>
        <w:tab/>
        <w:t>având în vedere Recomandarea (UE) 2021/1004 a Consiliului</w:t>
      </w:r>
      <w:r>
        <w:t xml:space="preserve"> din 14 iunie 2021 de instituire a unei Garanț</w:t>
      </w:r>
      <w:r>
        <w:t>ii europene pentru copii,</w:t>
      </w:r>
    </w:p>
    <w:p w:rsidR="00BE7D08" w:rsidRPr="00CC3657" w:rsidRDefault="00576074" w:rsidP="00724C82">
      <w:pPr>
        <w:pStyle w:val="NormalHanging12a"/>
        <w:rPr>
          <w:szCs w:val="24"/>
        </w:rPr>
      </w:pPr>
      <w:r>
        <w:t>–</w:t>
      </w:r>
      <w:r>
        <w:tab/>
        <w:t>având în vedere Comunicarea Comisiei din 7 iunie 2023 privind o abordare cuprinzătoare cu privire la sănătatea mintală,</w:t>
      </w:r>
    </w:p>
    <w:p w:rsidR="00BE7D08" w:rsidRPr="00CC3657" w:rsidRDefault="00576074" w:rsidP="00724C82">
      <w:pPr>
        <w:pStyle w:val="NormalHanging12a"/>
        <w:rPr>
          <w:szCs w:val="24"/>
        </w:rPr>
      </w:pPr>
      <w:r>
        <w:t>–</w:t>
      </w:r>
      <w:r>
        <w:tab/>
        <w:t>având în vedere comunicarea Comisiei din 5 martie 2020 intit</w:t>
      </w:r>
      <w:r>
        <w:t>ulată „O Uniune a egalităț</w:t>
      </w:r>
      <w:r>
        <w:t>ii: Strategia privind egalitatea de gen 2020-2025”,</w:t>
      </w:r>
    </w:p>
    <w:p w:rsidR="00BE7D08" w:rsidRPr="00CC3657" w:rsidRDefault="00576074" w:rsidP="00724C82">
      <w:pPr>
        <w:pStyle w:val="NormalHanging12a"/>
        <w:rPr>
          <w:szCs w:val="24"/>
        </w:rPr>
      </w:pPr>
      <w:r>
        <w:t>–</w:t>
      </w:r>
      <w:r>
        <w:tab/>
        <w:t>având în vedere comunicarea Comisiei din 7 octombrie 2020 intitulată „O Uniune a egalităț</w:t>
      </w:r>
      <w:r>
        <w:t>ii: Cadrul strategic al UE pentru egalitatea, incluziunea ș</w:t>
      </w:r>
      <w:r>
        <w:t>i participarea romilor”;</w:t>
      </w:r>
    </w:p>
    <w:p w:rsidR="00BE7D08" w:rsidRPr="00CC3657" w:rsidRDefault="00576074" w:rsidP="00724C82">
      <w:pPr>
        <w:pStyle w:val="NormalHanging12a"/>
        <w:rPr>
          <w:szCs w:val="24"/>
        </w:rPr>
      </w:pPr>
      <w:r>
        <w:t>–</w:t>
      </w:r>
      <w:r>
        <w:tab/>
      </w:r>
      <w:r>
        <w:t>având în vedere comunicarea Comisiei din 3 martie 2021 intitulată „O Uniune a egalităț</w:t>
      </w:r>
      <w:r>
        <w:t>ii: Strategia privind drepturile persoanelor cu handicap 2021-2030”,</w:t>
      </w:r>
    </w:p>
    <w:p w:rsidR="00BE7D08" w:rsidRPr="00CC3657" w:rsidRDefault="00576074" w:rsidP="00724C82">
      <w:pPr>
        <w:pStyle w:val="NormalHanging12a"/>
        <w:rPr>
          <w:szCs w:val="24"/>
        </w:rPr>
      </w:pPr>
      <w:r>
        <w:t>–</w:t>
      </w:r>
      <w:r>
        <w:tab/>
        <w:t>având în vedere Recomandarea Consiliului din 30 ianuarie 2023 privind un venit minim adecvat care s</w:t>
      </w:r>
      <w:r>
        <w:t>ă asigure incluziunea activă,</w:t>
      </w:r>
    </w:p>
    <w:p w:rsidR="00BE7D08" w:rsidRPr="00CC3657" w:rsidRDefault="00576074" w:rsidP="00724C82">
      <w:pPr>
        <w:pStyle w:val="NormalHanging12a"/>
        <w:rPr>
          <w:szCs w:val="24"/>
        </w:rPr>
      </w:pPr>
      <w:r>
        <w:t>–</w:t>
      </w:r>
      <w:r>
        <w:tab/>
        <w:t>având în vedere proiectul de aviz al Comitetului European al Regiunilor din 17 iunie 2025 privind o strategie a Uniunii Europene de combatere a sărăciei,</w:t>
      </w:r>
    </w:p>
    <w:p w:rsidR="00BE7D08" w:rsidRPr="00CC3657" w:rsidRDefault="00576074" w:rsidP="00724C82">
      <w:pPr>
        <w:pStyle w:val="NormalHanging12a"/>
        <w:rPr>
          <w:szCs w:val="24"/>
        </w:rPr>
      </w:pPr>
      <w:r>
        <w:t>–</w:t>
      </w:r>
      <w:r>
        <w:tab/>
        <w:t>având în vedere rapoartele relevante ale raportorului special al ONU</w:t>
      </w:r>
      <w:r>
        <w:t xml:space="preserve"> privind sărăcia extremă ș</w:t>
      </w:r>
      <w:r>
        <w:t>i drepturile omului,</w:t>
      </w:r>
    </w:p>
    <w:p w:rsidR="00BE7D08" w:rsidRPr="00CC3657" w:rsidRDefault="00576074" w:rsidP="00724C82">
      <w:pPr>
        <w:pStyle w:val="NormalHanging12a"/>
        <w:rPr>
          <w:szCs w:val="24"/>
        </w:rPr>
      </w:pPr>
      <w:r>
        <w:t>–</w:t>
      </w:r>
      <w:r>
        <w:tab/>
        <w:t>având în vedere raportul Reț</w:t>
      </w:r>
      <w:r>
        <w:t>elei europene pentru combaterea sărăciei (2025) intitulat „Towards the Eradication of Poverty” (Către eradicarea sărăciei),</w:t>
      </w:r>
    </w:p>
    <w:p w:rsidR="00BE7D08" w:rsidRPr="00CC3657" w:rsidRDefault="00576074" w:rsidP="00724C82">
      <w:pPr>
        <w:pStyle w:val="NormalHanging12a"/>
        <w:rPr>
          <w:szCs w:val="24"/>
        </w:rPr>
      </w:pPr>
      <w:r>
        <w:t>–</w:t>
      </w:r>
      <w:r>
        <w:tab/>
        <w:t>având în vedere raportul ATD Fourth World (20225) int</w:t>
      </w:r>
      <w:r>
        <w:t>itulat „Paving the Way towards an EU Anti-Poverty Strategy!” (Pregătirea terenului pentru o strategie a UE de combatere a sărăciei),</w:t>
      </w:r>
    </w:p>
    <w:p w:rsidR="00BE7D08" w:rsidRPr="00CC3657" w:rsidRDefault="00576074" w:rsidP="00724C82">
      <w:pPr>
        <w:pStyle w:val="NormalHanging12a"/>
        <w:rPr>
          <w:szCs w:val="24"/>
        </w:rPr>
      </w:pPr>
      <w:r>
        <w:t>–</w:t>
      </w:r>
      <w:r>
        <w:tab/>
        <w:t>având în vedere rapoartele Platformei sociale (2025) intitulate „EU Anti-Poverty Strategy” (Strategia UE de combatere a s</w:t>
      </w:r>
      <w:r>
        <w:t>ărăciei) ș</w:t>
      </w:r>
      <w:r>
        <w:t>i „A post-2027 Multiannual Financial Framework for Social Europe” (Un cadru financiar multianual post-2027 pentru Europa socială),</w:t>
      </w:r>
    </w:p>
    <w:p w:rsidR="00BE7D08" w:rsidRPr="00CC3657" w:rsidRDefault="00576074" w:rsidP="00724C82">
      <w:pPr>
        <w:pStyle w:val="NormalHanging12a"/>
        <w:rPr>
          <w:szCs w:val="24"/>
        </w:rPr>
      </w:pPr>
      <w:r>
        <w:t>–</w:t>
      </w:r>
      <w:r>
        <w:tab/>
        <w:t xml:space="preserve">având în vedere raportul Eurochild (2022) intitulat „(In)visible children – Eurochild 2022 report on children in </w:t>
      </w:r>
      <w:r>
        <w:t>need across Europe” [Copiii (in)vizibili - Raportul Eurochild pe 2022 privind copiii aflaț</w:t>
      </w:r>
      <w:r>
        <w:t>i în dificultate din întreaga Europă),</w:t>
      </w:r>
    </w:p>
    <w:p w:rsidR="00BE7D08" w:rsidRPr="00CC3657" w:rsidRDefault="00576074" w:rsidP="00724C82">
      <w:pPr>
        <w:pStyle w:val="NormalHanging12a"/>
        <w:rPr>
          <w:szCs w:val="24"/>
        </w:rPr>
      </w:pPr>
      <w:r>
        <w:t>–</w:t>
      </w:r>
      <w:r>
        <w:tab/>
        <w:t>având în vedere articolul 55 din Regulamentul său de procedură,</w:t>
      </w:r>
    </w:p>
    <w:p w:rsidR="00BE7D08" w:rsidRPr="00CC3657" w:rsidRDefault="00576074" w:rsidP="00724C82">
      <w:pPr>
        <w:pStyle w:val="NormalHanging12a"/>
        <w:rPr>
          <w:szCs w:val="24"/>
        </w:rPr>
      </w:pPr>
      <w:r>
        <w:t>–</w:t>
      </w:r>
      <w:r>
        <w:tab/>
        <w:t>având în vedere avizul Comisiei pentru drepturile femeilor ș</w:t>
      </w:r>
      <w:r>
        <w:t>i egalitatea de gen,</w:t>
      </w:r>
    </w:p>
    <w:p w:rsidR="00BE7D08" w:rsidRPr="00CC3657" w:rsidRDefault="00576074" w:rsidP="00724C82">
      <w:pPr>
        <w:pStyle w:val="NormalHanging12a"/>
        <w:rPr>
          <w:szCs w:val="24"/>
        </w:rPr>
      </w:pPr>
      <w:r>
        <w:t>–</w:t>
      </w:r>
      <w:r>
        <w:tab/>
        <w:t>având în vedere raportul Comisiei pentru ocuparea forț</w:t>
      </w:r>
      <w:r>
        <w:t>ei de muncă ș</w:t>
      </w:r>
      <w:r>
        <w:t>i afaceri sociale (A10-000/2025),</w:t>
      </w:r>
    </w:p>
    <w:p w:rsidR="00BE7D08" w:rsidRPr="00CC3657" w:rsidRDefault="00576074" w:rsidP="009734EF">
      <w:pPr>
        <w:spacing w:after="240"/>
        <w:ind w:left="720" w:hanging="720"/>
        <w:rPr>
          <w:rFonts w:eastAsiaTheme="minorHAnsi"/>
          <w:szCs w:val="24"/>
        </w:rPr>
      </w:pPr>
      <w:r>
        <w:lastRenderedPageBreak/>
        <w:t>A.</w:t>
      </w:r>
      <w:r>
        <w:tab/>
        <w:t>întrucât sărăcia reprezintă o încălcare a drepturilor omului ș</w:t>
      </w:r>
      <w:r>
        <w:t>i ale popoarelor ș</w:t>
      </w:r>
      <w:r>
        <w:t xml:space="preserve">i întrucât necesitatea de a o eradica implică o </w:t>
      </w:r>
      <w:r>
        <w:t>distribuț</w:t>
      </w:r>
      <w:r>
        <w:t>ie mai echitabilă a bogăț</w:t>
      </w:r>
      <w:r>
        <w:t>iei ș</w:t>
      </w:r>
      <w:r>
        <w:t>i politici care să garanteze caracterul indivizibil ș</w:t>
      </w:r>
      <w:r>
        <w:t xml:space="preserve">i universal al drepturilor politice, </w:t>
      </w:r>
      <w:r w:rsidR="00CB3D25">
        <w:t xml:space="preserve">economice, sociale </w:t>
      </w:r>
      <w:r>
        <w:t>ș</w:t>
      </w:r>
      <w:r w:rsidR="00CB3D25">
        <w:t>i culturale,</w:t>
      </w:r>
    </w:p>
    <w:p w:rsidR="00BE7D08" w:rsidRPr="00CC3657" w:rsidRDefault="00576074" w:rsidP="00724C82">
      <w:pPr>
        <w:spacing w:after="240"/>
        <w:rPr>
          <w:i/>
          <w:szCs w:val="24"/>
        </w:rPr>
      </w:pPr>
      <w:r>
        <w:rPr>
          <w:b/>
          <w:i/>
        </w:rPr>
        <w:t>Pentru o strategie orientată către eradicarea sărăciei</w:t>
      </w:r>
    </w:p>
    <w:p w:rsidR="00BE7D08" w:rsidRPr="00CC3657" w:rsidRDefault="00576074" w:rsidP="009734EF">
      <w:pPr>
        <w:spacing w:after="240"/>
        <w:ind w:left="567" w:hanging="567"/>
        <w:rPr>
          <w:szCs w:val="24"/>
        </w:rPr>
      </w:pPr>
      <w:r>
        <w:t xml:space="preserve">1. </w:t>
      </w:r>
      <w:r>
        <w:tab/>
        <w:t>invită Comisia Europeană să prezint</w:t>
      </w:r>
      <w:r>
        <w:t>e o strategie de combatere a sărăciei (denumită în continuare „strategia”), care să includă ca orientări ș</w:t>
      </w:r>
      <w:r>
        <w:t>i obiective generale:</w:t>
      </w:r>
    </w:p>
    <w:p w:rsidR="00BE7D08" w:rsidRPr="00CC3657" w:rsidRDefault="00576074" w:rsidP="00724C82">
      <w:pPr>
        <w:tabs>
          <w:tab w:val="left" w:pos="0"/>
        </w:tabs>
        <w:ind w:left="720" w:hanging="360"/>
        <w:rPr>
          <w:szCs w:val="24"/>
        </w:rPr>
      </w:pPr>
      <w:r>
        <w:t>(a)</w:t>
      </w:r>
      <w:r>
        <w:tab/>
        <w:t>recunoaș</w:t>
      </w:r>
      <w:r>
        <w:t>terea sărăciei ca fiind o încălcare a drepturilor omului ș</w:t>
      </w:r>
      <w:r>
        <w:t>i ale popoarelor;</w:t>
      </w:r>
    </w:p>
    <w:p w:rsidR="00BE7D08" w:rsidRPr="00CC3657" w:rsidRDefault="00576074" w:rsidP="00724C82">
      <w:pPr>
        <w:tabs>
          <w:tab w:val="left" w:pos="0"/>
        </w:tabs>
        <w:ind w:left="720" w:hanging="360"/>
        <w:rPr>
          <w:szCs w:val="24"/>
        </w:rPr>
      </w:pPr>
      <w:r>
        <w:t>(b)</w:t>
      </w:r>
      <w:r>
        <w:tab/>
        <w:t>stabilirea obiectivului de eradicare</w:t>
      </w:r>
      <w:r>
        <w:t xml:space="preserve"> urgentă a sărăciei până cel târziu în 2035;</w:t>
      </w:r>
    </w:p>
    <w:p w:rsidR="00BE7D08" w:rsidRPr="00CC3657" w:rsidRDefault="00576074" w:rsidP="00724C82">
      <w:pPr>
        <w:tabs>
          <w:tab w:val="left" w:pos="0"/>
        </w:tabs>
        <w:ind w:left="720" w:hanging="360"/>
        <w:rPr>
          <w:szCs w:val="24"/>
        </w:rPr>
      </w:pPr>
      <w:r>
        <w:t>(c)</w:t>
      </w:r>
      <w:r>
        <w:tab/>
        <w:t>o coordonare adecvată între UE ș</w:t>
      </w:r>
      <w:r>
        <w:t>i statele membre, precum ș</w:t>
      </w:r>
      <w:r>
        <w:t>i cu regiunile, respectând totodată principiul subsidiarităț</w:t>
      </w:r>
      <w:r>
        <w:t>ii, în vederea atingerii acestui obiectiv;</w:t>
      </w:r>
    </w:p>
    <w:p w:rsidR="00BE7D08" w:rsidRPr="00CC3657" w:rsidRDefault="00576074" w:rsidP="00724C82">
      <w:pPr>
        <w:tabs>
          <w:tab w:val="left" w:pos="0"/>
        </w:tabs>
        <w:ind w:left="720" w:hanging="360"/>
        <w:rPr>
          <w:szCs w:val="24"/>
        </w:rPr>
      </w:pPr>
      <w:r>
        <w:t>(d)</w:t>
      </w:r>
      <w:r>
        <w:tab/>
        <w:t>abordarea cuprinzătoare ș</w:t>
      </w:r>
      <w:r>
        <w:t>i integrată a pol</w:t>
      </w:r>
      <w:r>
        <w:t>iticilor ș</w:t>
      </w:r>
      <w:r>
        <w:t>i măsurilor de combatere a sărăciei ș</w:t>
      </w:r>
      <w:r>
        <w:t>i obiectivul eradicării sărăciei ca criteriu transversal pentru politicile sectoriale;</w:t>
      </w:r>
    </w:p>
    <w:p w:rsidR="00BE7D08" w:rsidRPr="00CC3657" w:rsidRDefault="00576074" w:rsidP="00724C82">
      <w:pPr>
        <w:tabs>
          <w:tab w:val="left" w:pos="0"/>
        </w:tabs>
        <w:ind w:left="720" w:hanging="360"/>
        <w:rPr>
          <w:szCs w:val="24"/>
        </w:rPr>
      </w:pPr>
      <w:r>
        <w:t>(e)</w:t>
      </w:r>
      <w:r>
        <w:tab/>
        <w:t>participarea persoanelor care se confruntă cu sărăcia la definirea, punerea în aplicare ș</w:t>
      </w:r>
      <w:r>
        <w:t xml:space="preserve">i evaluarea politicilor care </w:t>
      </w:r>
      <w:r>
        <w:t>le vizează, într-un mod adecvat, real ș</w:t>
      </w:r>
      <w:r>
        <w:t>i transparent;</w:t>
      </w:r>
    </w:p>
    <w:p w:rsidR="00BE7D08" w:rsidRPr="00CC3657" w:rsidRDefault="00576074" w:rsidP="00724C82">
      <w:pPr>
        <w:pStyle w:val="Heading2"/>
        <w:spacing w:after="240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>O distribuț</w:t>
      </w:r>
      <w:r>
        <w:rPr>
          <w:rFonts w:ascii="Times New Roman" w:hAnsi="Times New Roman"/>
        </w:rPr>
        <w:t>ie mai echitabilă a bogăț</w:t>
      </w:r>
      <w:r>
        <w:rPr>
          <w:rFonts w:ascii="Times New Roman" w:hAnsi="Times New Roman"/>
        </w:rPr>
        <w:t>iei</w:t>
      </w:r>
    </w:p>
    <w:p w:rsidR="00BE7D08" w:rsidRPr="00CC3657" w:rsidRDefault="00576074" w:rsidP="009734EF">
      <w:pPr>
        <w:spacing w:after="240"/>
        <w:ind w:left="567" w:hanging="567"/>
        <w:rPr>
          <w:szCs w:val="24"/>
        </w:rPr>
      </w:pPr>
      <w:r>
        <w:t xml:space="preserve">2. </w:t>
      </w:r>
      <w:r>
        <w:tab/>
        <w:t>invită Comisia ș</w:t>
      </w:r>
      <w:r>
        <w:t>i statele membre să includă obiectivul ocupării integrale a forț</w:t>
      </w:r>
      <w:r>
        <w:t>ei de muncă ca orientare pentru politicile economice ș</w:t>
      </w:r>
      <w:r>
        <w:t>i sociale;</w:t>
      </w:r>
    </w:p>
    <w:p w:rsidR="00BE7D08" w:rsidRPr="00CC3657" w:rsidRDefault="00576074" w:rsidP="009734EF">
      <w:pPr>
        <w:spacing w:after="240"/>
        <w:ind w:left="567" w:hanging="567"/>
        <w:rPr>
          <w:szCs w:val="24"/>
        </w:rPr>
      </w:pPr>
      <w:r>
        <w:t xml:space="preserve">3. </w:t>
      </w:r>
      <w:r>
        <w:tab/>
        <w:t>invită Co</w:t>
      </w:r>
      <w:r>
        <w:t>misia ș</w:t>
      </w:r>
      <w:r>
        <w:t>i statele membre să promoveze politici de protejare ș</w:t>
      </w:r>
      <w:r>
        <w:t>i promovare a drepturilor lucrătorilor ș</w:t>
      </w:r>
      <w:r>
        <w:t>i de îmbunătăț</w:t>
      </w:r>
      <w:r>
        <w:t>ire a calităț</w:t>
      </w:r>
      <w:r>
        <w:t>ii locurilor de muncă, incluzând relaț</w:t>
      </w:r>
      <w:r>
        <w:t>ii de muncă stabile, salarii echitabile, condiț</w:t>
      </w:r>
      <w:r>
        <w:t>ii de muncă decente ș</w:t>
      </w:r>
      <w:r>
        <w:t>i sigure ș</w:t>
      </w:r>
      <w:r>
        <w:t xml:space="preserve">i a acces la </w:t>
      </w:r>
      <w:r>
        <w:t>protecț</w:t>
      </w:r>
      <w:r>
        <w:t>ie socială;</w:t>
      </w:r>
    </w:p>
    <w:p w:rsidR="00BE7D08" w:rsidRPr="00CC3657" w:rsidRDefault="00576074" w:rsidP="009734EF">
      <w:pPr>
        <w:spacing w:after="240"/>
        <w:ind w:left="567" w:hanging="567"/>
        <w:rPr>
          <w:szCs w:val="24"/>
        </w:rPr>
      </w:pPr>
      <w:r>
        <w:t xml:space="preserve">4. </w:t>
      </w:r>
      <w:r>
        <w:tab/>
        <w:t>recomandă Comisiei ș</w:t>
      </w:r>
      <w:r>
        <w:t>i statelor membre să studieze crearea unui instrument de combatere a sărăciei prin concretizarea universală a dreptului la muncă ș</w:t>
      </w:r>
      <w:r>
        <w:t>i a obiectivului de ocupare integrală a forț</w:t>
      </w:r>
      <w:r>
        <w:t xml:space="preserve">ei de muncă, cu un accent principal pe </w:t>
      </w:r>
      <w:r>
        <w:t>combaterea ș</w:t>
      </w:r>
      <w:r>
        <w:t>omajului ș</w:t>
      </w:r>
      <w:r>
        <w:t>i a subocupării forț</w:t>
      </w:r>
      <w:r>
        <w:t>ei de muncă;</w:t>
      </w:r>
    </w:p>
    <w:p w:rsidR="00BE7D08" w:rsidRPr="00CC3657" w:rsidRDefault="00576074" w:rsidP="009734EF">
      <w:pPr>
        <w:spacing w:after="240"/>
        <w:ind w:left="567" w:hanging="567"/>
        <w:rPr>
          <w:szCs w:val="24"/>
        </w:rPr>
      </w:pPr>
      <w:r>
        <w:t xml:space="preserve">5. </w:t>
      </w:r>
      <w:r>
        <w:tab/>
        <w:t>solicită Comisiei să prezinte o iniț</w:t>
      </w:r>
      <w:r>
        <w:t>iativă privind un venit minim adecvat care să garanteze incluziunea socială ș</w:t>
      </w:r>
      <w:r>
        <w:t>i profesională activă ș</w:t>
      </w:r>
      <w:r>
        <w:t>i să contribuie la eradicarea sărăciei, respectând totodată c</w:t>
      </w:r>
      <w:r>
        <w:t>ompetenț</w:t>
      </w:r>
      <w:r>
        <w:t>ele statelor membre, particularităț</w:t>
      </w:r>
      <w:r>
        <w:t>ile naț</w:t>
      </w:r>
      <w:r>
        <w:t>ionale ale sistemelor de protecț</w:t>
      </w:r>
      <w:r>
        <w:t>ie socială ș</w:t>
      </w:r>
      <w:r>
        <w:t>i principiul subsidiarităț</w:t>
      </w:r>
      <w:r>
        <w:t>ii;</w:t>
      </w:r>
    </w:p>
    <w:p w:rsidR="00BE7D08" w:rsidRPr="00CC3657" w:rsidRDefault="00576074" w:rsidP="00724C82">
      <w:pPr>
        <w:spacing w:after="240"/>
        <w:rPr>
          <w:i/>
          <w:szCs w:val="24"/>
        </w:rPr>
      </w:pPr>
      <w:r>
        <w:rPr>
          <w:b/>
          <w:i/>
        </w:rPr>
        <w:t>Garantarea caracterului indivizibil ș</w:t>
      </w:r>
      <w:r>
        <w:rPr>
          <w:b/>
          <w:i/>
        </w:rPr>
        <w:t>i universal al drepturilor politice, economice, sociale ș</w:t>
      </w:r>
      <w:r>
        <w:rPr>
          <w:b/>
          <w:i/>
        </w:rPr>
        <w:t>i culturale</w:t>
      </w:r>
    </w:p>
    <w:p w:rsidR="00BE7D08" w:rsidRPr="00CC3657" w:rsidRDefault="00576074" w:rsidP="002445C5">
      <w:pPr>
        <w:spacing w:after="240"/>
        <w:ind w:left="567" w:hanging="567"/>
        <w:rPr>
          <w:szCs w:val="24"/>
        </w:rPr>
      </w:pPr>
      <w:r>
        <w:t>6.</w:t>
      </w:r>
      <w:r>
        <w:tab/>
        <w:t>cere Comisiei ș</w:t>
      </w:r>
      <w:r>
        <w:t>i statel</w:t>
      </w:r>
      <w:r>
        <w:t>or membre să combată sărăcia prin promovarea unor politici care să asigure caracterul indivizibil ș</w:t>
      </w:r>
      <w:r>
        <w:t>i universal al drepturilor politice, economice, sociale ș</w:t>
      </w:r>
      <w:r>
        <w:t>i culturale;</w:t>
      </w:r>
    </w:p>
    <w:p w:rsidR="00BE7D08" w:rsidRPr="00CC3657" w:rsidRDefault="00576074" w:rsidP="002445C5">
      <w:pPr>
        <w:spacing w:after="240"/>
        <w:ind w:left="567" w:hanging="720"/>
        <w:rPr>
          <w:szCs w:val="24"/>
        </w:rPr>
      </w:pPr>
      <w:r>
        <w:t>7.</w:t>
      </w:r>
      <w:r>
        <w:tab/>
        <w:t>invită Comisia ș</w:t>
      </w:r>
      <w:r>
        <w:t>i statele membre să mărească semnificativ investiț</w:t>
      </w:r>
      <w:r>
        <w:t>iile publice în po</w:t>
      </w:r>
      <w:r>
        <w:t>liticile care garantează servicii publice universale, gratuite ș</w:t>
      </w:r>
      <w:r>
        <w:t>i de înaltă calitate, având în vedere contribuț</w:t>
      </w:r>
      <w:r>
        <w:t>ia acestora la întreruperea cercului vicios al sărăciei, inclusiv în ceea ce priveș</w:t>
      </w:r>
      <w:r>
        <w:t>te aspecte precum educaț</w:t>
      </w:r>
      <w:r>
        <w:t>ia, asistenț</w:t>
      </w:r>
      <w:r>
        <w:t>a medicală, protecț</w:t>
      </w:r>
      <w:r>
        <w:t>ia soci</w:t>
      </w:r>
      <w:r>
        <w:t>ală, precum ș</w:t>
      </w:r>
      <w:r>
        <w:t>i accesul universal la locuinț</w:t>
      </w:r>
      <w:r>
        <w:t>e decente, apă ș</w:t>
      </w:r>
      <w:r>
        <w:t>i salubritate, energie, transport ș</w:t>
      </w:r>
      <w:r>
        <w:t>i activităț</w:t>
      </w:r>
      <w:r>
        <w:t xml:space="preserve">i </w:t>
      </w:r>
      <w:r>
        <w:lastRenderedPageBreak/>
        <w:t>culturale ș</w:t>
      </w:r>
      <w:r>
        <w:t xml:space="preserve">i recreative; </w:t>
      </w:r>
    </w:p>
    <w:p w:rsidR="00BE7D08" w:rsidRPr="00CC3657" w:rsidRDefault="00576074" w:rsidP="002445C5">
      <w:pPr>
        <w:spacing w:after="240"/>
        <w:ind w:left="567" w:hanging="567"/>
        <w:rPr>
          <w:szCs w:val="24"/>
        </w:rPr>
      </w:pPr>
      <w:r>
        <w:t>8.</w:t>
      </w:r>
      <w:r>
        <w:tab/>
        <w:t>invită Comisia să sprijine statele membre în promovarea unei politici în domeniul locuinț</w:t>
      </w:r>
      <w:r>
        <w:t>elor care să asigure accesul un</w:t>
      </w:r>
      <w:r>
        <w:t>iversal la acest drept ș</w:t>
      </w:r>
      <w:r>
        <w:t>i să ț</w:t>
      </w:r>
      <w:r>
        <w:t>ină seama în mod specific de situaț</w:t>
      </w:r>
      <w:r>
        <w:t>ia persoanelor fără adăpost; invită Comisia să elaboreze un plan pentru a răspunde nevoilor în materie de locuinț</w:t>
      </w:r>
      <w:r>
        <w:t>e ale tuturor cetăț</w:t>
      </w:r>
      <w:r>
        <w:t>enilor din ț</w:t>
      </w:r>
      <w:r>
        <w:t>ările UE, incluzând introducerea unei finanț</w:t>
      </w:r>
      <w:r>
        <w:t>ări</w:t>
      </w:r>
      <w:r>
        <w:t xml:space="preserve"> suplimentare ș</w:t>
      </w:r>
      <w:r>
        <w:t>i specifice din partea UE pentru extinderea ș</w:t>
      </w:r>
      <w:r>
        <w:t>i renovarea parcurilor de locuinț</w:t>
      </w:r>
      <w:r>
        <w:t>e publice;</w:t>
      </w:r>
    </w:p>
    <w:p w:rsidR="00BE7D08" w:rsidRPr="00CC3657" w:rsidRDefault="00576074" w:rsidP="002445C5">
      <w:pPr>
        <w:spacing w:after="240"/>
        <w:ind w:left="567" w:hanging="567"/>
        <w:rPr>
          <w:szCs w:val="24"/>
        </w:rPr>
      </w:pPr>
      <w:r>
        <w:t>9.</w:t>
      </w:r>
      <w:r>
        <w:tab/>
        <w:t>îndeamnă Comisia ș</w:t>
      </w:r>
      <w:r>
        <w:t>i statele membre să adopte măsuri eficiente care să vizeze punerea în aplicare a principiului remuneraț</w:t>
      </w:r>
      <w:r>
        <w:t>iei egale pentru muncă egală</w:t>
      </w:r>
      <w:r>
        <w:t>, combătând inegalităț</w:t>
      </w:r>
      <w:r>
        <w:t>ile ș</w:t>
      </w:r>
      <w:r>
        <w:t>i discriminarea la locul de muncă, în special pe cele care afectează femeile;</w:t>
      </w:r>
    </w:p>
    <w:p w:rsidR="00BE7D08" w:rsidRPr="00CC3657" w:rsidRDefault="00576074" w:rsidP="002445C5">
      <w:pPr>
        <w:spacing w:after="240"/>
        <w:ind w:left="567" w:hanging="567"/>
        <w:rPr>
          <w:szCs w:val="24"/>
        </w:rPr>
      </w:pPr>
      <w:r>
        <w:t>10.</w:t>
      </w:r>
      <w:r>
        <w:tab/>
        <w:t>îndeamnă statele membre să elaboreze politici de consolidare a drepturilor legate de maternitate, paternitate ș</w:t>
      </w:r>
      <w:r>
        <w:t>i a drepturilor parentale, promovând</w:t>
      </w:r>
      <w:r>
        <w:t xml:space="preserve"> echilibrul dintre viaț</w:t>
      </w:r>
      <w:r>
        <w:t>a profesională ș</w:t>
      </w:r>
      <w:r>
        <w:t>i viaț</w:t>
      </w:r>
      <w:r>
        <w:t>a de familie, facilitând revenirea femeilor la locul de muncă după sarcină ș</w:t>
      </w:r>
      <w:r>
        <w:t>i concediul de maternitate ș</w:t>
      </w:r>
      <w:r>
        <w:t>i asigurând condiț</w:t>
      </w:r>
      <w:r>
        <w:t xml:space="preserve">ii adecvate pentru alăptarea la locul de muncă; </w:t>
      </w:r>
    </w:p>
    <w:p w:rsidR="00BE7D08" w:rsidRPr="00CC3657" w:rsidRDefault="00576074" w:rsidP="002445C5">
      <w:pPr>
        <w:spacing w:after="240"/>
        <w:ind w:left="567" w:hanging="567"/>
        <w:rPr>
          <w:szCs w:val="24"/>
        </w:rPr>
      </w:pPr>
      <w:r>
        <w:t>11.</w:t>
      </w:r>
      <w:r>
        <w:tab/>
        <w:t xml:space="preserve">solicită statelor membre să asigure </w:t>
      </w:r>
      <w:r>
        <w:t>accesul universal la asistenț</w:t>
      </w:r>
      <w:r>
        <w:t>ă medicală maternă, neonatală ș</w:t>
      </w:r>
      <w:r>
        <w:t>i pediatrică publică, accesibilă ș</w:t>
      </w:r>
      <w:r>
        <w:t>i de calitate;</w:t>
      </w:r>
    </w:p>
    <w:p w:rsidR="00BE7D08" w:rsidRPr="00CC3657" w:rsidRDefault="00576074" w:rsidP="002445C5">
      <w:pPr>
        <w:spacing w:after="240"/>
        <w:ind w:left="567" w:hanging="567"/>
        <w:rPr>
          <w:szCs w:val="24"/>
        </w:rPr>
      </w:pPr>
      <w:r>
        <w:t>12.</w:t>
      </w:r>
      <w:r>
        <w:tab/>
        <w:t>îndeamnă statele membre să consolideze sistemele de securitate socială publice, universale ș</w:t>
      </w:r>
      <w:r>
        <w:t>i bazate pe solidaritate pentru a garanta o protecț</w:t>
      </w:r>
      <w:r>
        <w:t>ie socială deplină ș</w:t>
      </w:r>
      <w:r>
        <w:t>i eficace pentru lucrători ș</w:t>
      </w:r>
      <w:r>
        <w:t>i pensionari ș</w:t>
      </w:r>
      <w:r>
        <w:t>i pentru a preveni sărăcia;</w:t>
      </w:r>
    </w:p>
    <w:p w:rsidR="00BE7D08" w:rsidRPr="00CC3657" w:rsidRDefault="00576074" w:rsidP="002445C5">
      <w:pPr>
        <w:spacing w:after="240"/>
        <w:ind w:left="567" w:hanging="567"/>
        <w:rPr>
          <w:szCs w:val="24"/>
        </w:rPr>
      </w:pPr>
      <w:r>
        <w:t>13.</w:t>
      </w:r>
      <w:r>
        <w:tab/>
        <w:t>îndeamnă Comisia ș</w:t>
      </w:r>
      <w:r>
        <w:t>i statele membre să ț</w:t>
      </w:r>
      <w:r>
        <w:t>ină seama de aș</w:t>
      </w:r>
      <w:r>
        <w:t>a-numitele fenomene ascunse ale sărăciei, să combată stigmatizarea persoanelor care se confruntă cu sărăcia ș</w:t>
      </w:r>
      <w:r>
        <w:t>i situaț</w:t>
      </w:r>
      <w:r>
        <w:t>iile în care acestea nu recurg la prestaț</w:t>
      </w:r>
      <w:r>
        <w:t>iile sociale disponibile, precum ș</w:t>
      </w:r>
      <w:r>
        <w:t>i să ia în considerare faptul că persoanele în vârstă, persoanele cu dizabilităț</w:t>
      </w:r>
      <w:r>
        <w:t>i, familiile monoparentale, minorităț</w:t>
      </w:r>
      <w:r>
        <w:t>ile etnice sau migranț</w:t>
      </w:r>
      <w:r>
        <w:t>ii sunt grupuri mai vulnerabile l</w:t>
      </w:r>
      <w:r>
        <w:t>a sărăcie ș</w:t>
      </w:r>
      <w:r>
        <w:t>i excluziune socială;</w:t>
      </w:r>
    </w:p>
    <w:p w:rsidR="00BE7D08" w:rsidRPr="00CC3657" w:rsidRDefault="00576074" w:rsidP="002445C5">
      <w:pPr>
        <w:ind w:left="567" w:hanging="567"/>
        <w:rPr>
          <w:szCs w:val="24"/>
        </w:rPr>
      </w:pPr>
      <w:r>
        <w:t>14.</w:t>
      </w:r>
      <w:r>
        <w:tab/>
        <w:t>recomandă statelor membre să mărească sprijinul acordat familiilor ș</w:t>
      </w:r>
      <w:r>
        <w:t>i persoanelor aflate în situaț</w:t>
      </w:r>
      <w:r>
        <w:t>ii vulnerabile prin intermediul serviciilor sociale de sănătate mintală ș</w:t>
      </w:r>
      <w:r>
        <w:t>i al sprijinului psihosocial;</w:t>
      </w:r>
    </w:p>
    <w:p w:rsidR="00BE7D08" w:rsidRPr="00CC3657" w:rsidRDefault="00576074" w:rsidP="00724C82">
      <w:pPr>
        <w:pStyle w:val="Heading2"/>
        <w:spacing w:after="240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 xml:space="preserve">Combaterea </w:t>
      </w:r>
      <w:r>
        <w:rPr>
          <w:rFonts w:ascii="Times New Roman" w:hAnsi="Times New Roman"/>
        </w:rPr>
        <w:t>sărăciei prin consolidarea participării politice democratice</w:t>
      </w:r>
    </w:p>
    <w:p w:rsidR="00BE7D08" w:rsidRPr="00CC3657" w:rsidRDefault="00576074" w:rsidP="002445C5">
      <w:pPr>
        <w:spacing w:after="240"/>
        <w:ind w:left="567" w:hanging="567"/>
        <w:rPr>
          <w:szCs w:val="24"/>
        </w:rPr>
      </w:pPr>
      <w:r>
        <w:t>15.</w:t>
      </w:r>
      <w:r>
        <w:tab/>
        <w:t>îndeamnă Comisia ș</w:t>
      </w:r>
      <w:r>
        <w:t>i statele membre să asigure mecanisme adecvate, eficiente ș</w:t>
      </w:r>
      <w:r>
        <w:t>i transparente pentru participarea politică a persoanelor care se confruntă cu sărăcia la luarea deciziilor, puner</w:t>
      </w:r>
      <w:r>
        <w:t>ea în aplicare ș</w:t>
      </w:r>
      <w:r>
        <w:t>i evaluarea politicilor care le vizează, la diferite niveluri ale procesului decizional;</w:t>
      </w:r>
    </w:p>
    <w:p w:rsidR="00BE7D08" w:rsidRPr="00CC3657" w:rsidRDefault="00576074" w:rsidP="002445C5">
      <w:pPr>
        <w:spacing w:after="240"/>
        <w:ind w:left="567" w:hanging="567"/>
        <w:rPr>
          <w:szCs w:val="24"/>
        </w:rPr>
      </w:pPr>
      <w:r>
        <w:t>16.</w:t>
      </w:r>
      <w:r>
        <w:tab/>
        <w:t>recomandă organizarea unei conferinț</w:t>
      </w:r>
      <w:r>
        <w:t>e anuale pentru a evalua punerea în aplicare a strategiei, cu o componenț</w:t>
      </w:r>
      <w:r>
        <w:t>ă largă ș</w:t>
      </w:r>
      <w:r>
        <w:t>i diversă, incluzând persoane</w:t>
      </w:r>
      <w:r>
        <w:t xml:space="preserve"> care se confruntă cu sărăcia;</w:t>
      </w:r>
    </w:p>
    <w:p w:rsidR="00BE7D08" w:rsidRPr="00CC3657" w:rsidRDefault="00576074" w:rsidP="002445C5">
      <w:pPr>
        <w:spacing w:after="240"/>
        <w:ind w:left="567" w:hanging="567"/>
        <w:rPr>
          <w:szCs w:val="24"/>
        </w:rPr>
      </w:pPr>
      <w:r>
        <w:t>17.</w:t>
      </w:r>
      <w:r>
        <w:tab/>
        <w:t>consideră că Comisia ar trebui să consolideze mijloacele de sprijinire a organizaț</w:t>
      </w:r>
      <w:r>
        <w:t>iilor sociale de diferite tipuri implicate în combaterea ș</w:t>
      </w:r>
      <w:r>
        <w:t>i prevenirea sărăciei;</w:t>
      </w:r>
    </w:p>
    <w:p w:rsidR="00BE7D08" w:rsidRPr="00CC3657" w:rsidRDefault="00576074" w:rsidP="009734EF">
      <w:pPr>
        <w:spacing w:after="240"/>
        <w:ind w:left="567" w:hanging="567"/>
        <w:rPr>
          <w:b/>
          <w:i/>
          <w:szCs w:val="24"/>
        </w:rPr>
      </w:pPr>
      <w:r>
        <w:rPr>
          <w:b/>
          <w:i/>
        </w:rPr>
        <w:lastRenderedPageBreak/>
        <w:t>O coordonare instituț</w:t>
      </w:r>
      <w:r>
        <w:rPr>
          <w:b/>
          <w:i/>
        </w:rPr>
        <w:t>ională potrivită ș</w:t>
      </w:r>
      <w:r>
        <w:rPr>
          <w:b/>
          <w:i/>
        </w:rPr>
        <w:t xml:space="preserve">i resurse bugetare </w:t>
      </w:r>
      <w:r>
        <w:rPr>
          <w:b/>
          <w:i/>
        </w:rPr>
        <w:t>adecvate</w:t>
      </w:r>
    </w:p>
    <w:p w:rsidR="00BE7D08" w:rsidRPr="00CC3657" w:rsidRDefault="00576074" w:rsidP="009734EF">
      <w:pPr>
        <w:spacing w:after="240"/>
        <w:ind w:left="567" w:hanging="567"/>
        <w:rPr>
          <w:szCs w:val="24"/>
        </w:rPr>
      </w:pPr>
      <w:r>
        <w:t>18.</w:t>
      </w:r>
      <w:r>
        <w:tab/>
        <w:t>consideră că succesul strategiei va depinde ș</w:t>
      </w:r>
      <w:r>
        <w:t>i de coordonarea adecvată dintre diferitele niveluri de luare a deciziilor ș</w:t>
      </w:r>
      <w:r>
        <w:t>i de intervenț</w:t>
      </w:r>
      <w:r>
        <w:t>ie;</w:t>
      </w:r>
    </w:p>
    <w:p w:rsidR="00BE7D08" w:rsidRPr="00CC3657" w:rsidRDefault="00576074" w:rsidP="009734EF">
      <w:pPr>
        <w:spacing w:after="240"/>
        <w:ind w:left="567" w:hanging="567"/>
        <w:rPr>
          <w:szCs w:val="24"/>
        </w:rPr>
      </w:pPr>
      <w:r>
        <w:t>19.</w:t>
      </w:r>
      <w:r>
        <w:tab/>
        <w:t>consideră că sfera responsabilităț</w:t>
      </w:r>
      <w:r>
        <w:t>ilor la nivelul UE, al statelor membre ș</w:t>
      </w:r>
      <w:r>
        <w:t>i al regiunilor pentru rea</w:t>
      </w:r>
      <w:r>
        <w:t>lizarea obiectivului de eradicare a sărăciei ar trebui definită corespunzător, respectându-se principiul subsidiarităț</w:t>
      </w:r>
      <w:r>
        <w:t>ii;</w:t>
      </w:r>
    </w:p>
    <w:p w:rsidR="00BE7D08" w:rsidRPr="00CC3657" w:rsidRDefault="00576074" w:rsidP="009734EF">
      <w:pPr>
        <w:spacing w:after="240"/>
        <w:ind w:left="567" w:hanging="567"/>
        <w:rPr>
          <w:szCs w:val="24"/>
        </w:rPr>
      </w:pPr>
      <w:r>
        <w:t>20.</w:t>
      </w:r>
      <w:r>
        <w:tab/>
        <w:t>îndeamnă Comisia să introducă în strategie un principiu orizontal privind luarea în considerare a impactului politicilor sectorial</w:t>
      </w:r>
      <w:r>
        <w:t xml:space="preserve">e asupra sărăciei, care să includă realizarea obligatorie a unei analize de impact </w:t>
      </w:r>
      <w:r>
        <w:rPr>
          <w:i/>
        </w:rPr>
        <w:t>ex ante</w:t>
      </w:r>
      <w:r>
        <w:t>;</w:t>
      </w:r>
    </w:p>
    <w:p w:rsidR="00BE7D08" w:rsidRPr="00CC3657" w:rsidRDefault="00576074" w:rsidP="009734EF">
      <w:pPr>
        <w:spacing w:after="240"/>
        <w:ind w:left="567" w:hanging="567"/>
        <w:rPr>
          <w:szCs w:val="24"/>
        </w:rPr>
      </w:pPr>
      <w:r>
        <w:t>21.</w:t>
      </w:r>
      <w:r>
        <w:tab/>
        <w:t>recomandă să existe un responsabil pentru strategie la nivelul Comisiei Europene ș</w:t>
      </w:r>
      <w:r>
        <w:t>i ca fiecare stat membru să desemneze un coordonator naț</w:t>
      </w:r>
      <w:r>
        <w:t>ional ș</w:t>
      </w:r>
      <w:r>
        <w:t xml:space="preserve">i să elaboreze </w:t>
      </w:r>
      <w:r>
        <w:t>un plan naț</w:t>
      </w:r>
      <w:r>
        <w:t>ional de acț</w:t>
      </w:r>
      <w:r>
        <w:t>iune, implicând în punerea sa în aplicare autorităț</w:t>
      </w:r>
      <w:r>
        <w:t>ile locale ș</w:t>
      </w:r>
      <w:r>
        <w:t>i regionale ș</w:t>
      </w:r>
      <w:r>
        <w:t>i organizaț</w:t>
      </w:r>
      <w:r>
        <w:t>iile din domeniul combaterii ș</w:t>
      </w:r>
      <w:r>
        <w:t>i prevenirii sărăciei;</w:t>
      </w:r>
    </w:p>
    <w:p w:rsidR="00BE7D08" w:rsidRPr="00CC3657" w:rsidRDefault="00576074" w:rsidP="009734EF">
      <w:pPr>
        <w:spacing w:after="240"/>
        <w:ind w:left="567" w:hanging="567"/>
        <w:rPr>
          <w:szCs w:val="24"/>
        </w:rPr>
      </w:pPr>
      <w:r>
        <w:t>22.</w:t>
      </w:r>
      <w:r>
        <w:tab/>
        <w:t>solicită consolidarea următorului cadru financiar multianual (CFM) ș</w:t>
      </w:r>
      <w:r>
        <w:t>i o mai bună utilizar</w:t>
      </w:r>
      <w:r>
        <w:t>e a FSE+, FEDR, FEAD ș</w:t>
      </w:r>
      <w:r>
        <w:t xml:space="preserve">i FAMI, pentru a consolida politicile care contribuie la eradicarea sărăciei; </w:t>
      </w:r>
    </w:p>
    <w:p w:rsidR="00BE7D08" w:rsidRPr="00CC3657" w:rsidRDefault="00576074" w:rsidP="009734EF">
      <w:pPr>
        <w:ind w:left="567" w:hanging="567"/>
        <w:rPr>
          <w:szCs w:val="24"/>
        </w:rPr>
      </w:pPr>
      <w:r>
        <w:t>23.</w:t>
      </w:r>
      <w:r>
        <w:tab/>
        <w:t>reafirmă că este necesar să se majoreze de urgenț</w:t>
      </w:r>
      <w:r>
        <w:t>ă finanț</w:t>
      </w:r>
      <w:r>
        <w:t>area Garanț</w:t>
      </w:r>
      <w:r>
        <w:t>iei pentru copii, cu un buget specific de cel puț</w:t>
      </w:r>
      <w:r>
        <w:t xml:space="preserve">in 20 de miliarde EUR; insistă ca </w:t>
      </w:r>
      <w:r>
        <w:t>acest buget dedicat să fie integrat în următorul CFM ș</w:t>
      </w:r>
      <w:r>
        <w:t>i în domeniul de aplicare al FSE+.</w:t>
      </w:r>
    </w:p>
    <w:p w:rsidR="00BE7D08" w:rsidRPr="00CC3657" w:rsidRDefault="00BE7D08" w:rsidP="00724C82">
      <w:pPr>
        <w:pStyle w:val="NormalHanging12a"/>
        <w:rPr>
          <w:szCs w:val="24"/>
        </w:rPr>
      </w:pPr>
    </w:p>
    <w:p w:rsidR="00100069" w:rsidRPr="00CC3657" w:rsidRDefault="00100069" w:rsidP="00724C82">
      <w:pPr>
        <w:pStyle w:val="NormalHanging12a"/>
      </w:pPr>
    </w:p>
    <w:p w:rsidR="00276B35" w:rsidRPr="00CC3657" w:rsidRDefault="00276B35" w:rsidP="00724C82">
      <w:pPr>
        <w:sectPr w:rsidR="00276B35" w:rsidRPr="00CC3657" w:rsidSect="00C3713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276B35" w:rsidRPr="00CC3657" w:rsidRDefault="00576074" w:rsidP="00724C82">
      <w:pPr>
        <w:pStyle w:val="PageHeading"/>
      </w:pPr>
      <w:bookmarkStart w:id="2" w:name="_Toc201136237"/>
      <w:r>
        <w:lastRenderedPageBreak/>
        <w:t>EXPUNERE DE MOTIVE</w:t>
      </w:r>
      <w:bookmarkEnd w:id="2"/>
    </w:p>
    <w:p w:rsidR="00645EF4" w:rsidRPr="00CC3657" w:rsidRDefault="00576074" w:rsidP="00724C82">
      <w:pPr>
        <w:spacing w:after="240"/>
      </w:pPr>
      <w:r>
        <w:t>Propunerea de raport consideră sărăcia o încălcare a drepturilor omului ș</w:t>
      </w:r>
      <w:r>
        <w:t>i ale popoarelor ș</w:t>
      </w:r>
      <w:r>
        <w:t>i consideră că aceste drepturi – politice, economice, so</w:t>
      </w:r>
      <w:r>
        <w:t>ciale ș</w:t>
      </w:r>
      <w:r>
        <w:t>i culturale – trebuie respectate pe deplin, fiind universale, indivizibile, interdependente ș</w:t>
      </w:r>
      <w:r>
        <w:t>i interconectate, iar acest lucru trebuie să se afle în centrul politicilor de combatere a sărăciei.</w:t>
      </w:r>
    </w:p>
    <w:p w:rsidR="00645EF4" w:rsidRPr="00CC3657" w:rsidRDefault="00576074" w:rsidP="00724C82">
      <w:pPr>
        <w:spacing w:after="240"/>
      </w:pPr>
      <w:r>
        <w:t>Sărăcia ș</w:t>
      </w:r>
      <w:r>
        <w:t>i excluziunea socială reflectă distribuț</w:t>
      </w:r>
      <w:r>
        <w:t>ia ine</w:t>
      </w:r>
      <w:r>
        <w:t>gală a bogăț</w:t>
      </w:r>
      <w:r>
        <w:t>iei, în ceea ce priveș</w:t>
      </w:r>
      <w:r>
        <w:t>te atât veniturile, cât ș</w:t>
      </w:r>
      <w:r>
        <w:t>i proprietatea.</w:t>
      </w:r>
    </w:p>
    <w:p w:rsidR="00645EF4" w:rsidRPr="00CC3657" w:rsidRDefault="00576074" w:rsidP="00724C82">
      <w:pPr>
        <w:spacing w:after="240"/>
      </w:pPr>
      <w:r>
        <w:t>Originea sărăciei, care are la bază factori multipli, ș</w:t>
      </w:r>
      <w:r>
        <w:t>i expresia sa multidimensională necesită politici care să vizeze coeziunea socială ș</w:t>
      </w:r>
      <w:r>
        <w:t>i să evite accentuarea inegalităț</w:t>
      </w:r>
      <w:r>
        <w:t>ilor. Com</w:t>
      </w:r>
      <w:r>
        <w:t>baterea eficace a sărăciei necesită o abordare integrată care să atace sărăcia global, la rădăcinile sale profunde, prin politici care nu o compartimentează, nu o segmentează ș</w:t>
      </w:r>
      <w:r>
        <w:t>i nu o percep ca pe un fenomen social natural sau inexorabil.</w:t>
      </w:r>
    </w:p>
    <w:p w:rsidR="00645EF4" w:rsidRPr="00CC3657" w:rsidRDefault="00576074" w:rsidP="00724C82">
      <w:pPr>
        <w:spacing w:after="240"/>
      </w:pPr>
      <w:r>
        <w:t>În 2024, 93,3 mili</w:t>
      </w:r>
      <w:r>
        <w:t>oane de persoane din UE (21 % din populaț</w:t>
      </w:r>
      <w:r>
        <w:t>ie) se aflau în situaț</w:t>
      </w:r>
      <w:r>
        <w:t>ie de risc de sărăcie sau de excluziune socială; riscul de sărăcie sau de excluziune socială în UE era mai mare în cazul femeilor decât al bărbaț</w:t>
      </w:r>
      <w:r>
        <w:t>ilor (21,9 % faț</w:t>
      </w:r>
      <w:r>
        <w:t>ă de 20,0 %); la nivelul UE, sta</w:t>
      </w:r>
      <w:r>
        <w:t>tutul profesional influenț</w:t>
      </w:r>
      <w:r>
        <w:t>a puternic rata riscului de sărăcie sau de excluziune socială, variind de la 10,9 % pentru angajaț</w:t>
      </w:r>
      <w:r>
        <w:t>i la 66,6 % pentru ș</w:t>
      </w:r>
      <w:r>
        <w:t>omeri; În 2024, 21,9 % din populaț</w:t>
      </w:r>
      <w:r>
        <w:t>ia UE care trăia în gospodării cu copii în întreț</w:t>
      </w:r>
      <w:r>
        <w:t xml:space="preserve">inere era expusă riscului de </w:t>
      </w:r>
      <w:r>
        <w:t>sărăcie sau de excluziune socială.</w:t>
      </w:r>
    </w:p>
    <w:p w:rsidR="00645EF4" w:rsidRPr="00CC3657" w:rsidRDefault="00576074" w:rsidP="00724C82">
      <w:pPr>
        <w:spacing w:after="240"/>
      </w:pPr>
      <w:r>
        <w:t>În ultimii ani, s-au înregistrat regrese la nivelul UE în unele domenii: au crescut indicatorii privind rata copiilor expuș</w:t>
      </w:r>
      <w:r>
        <w:t>i riscului de sărăcie – sărăcia în rândul copiilor a crescut de la 23,6 % în 2019 la 24,2 % în 202</w:t>
      </w:r>
      <w:r>
        <w:t>4 –, iar eficacitatea protecț</w:t>
      </w:r>
      <w:r>
        <w:t>iei sociale în reducerea sărăciei a scăzut în perioada 2021-2024 de la 37,1 % la 34,4 %.</w:t>
      </w:r>
    </w:p>
    <w:p w:rsidR="00645EF4" w:rsidRPr="00CC3657" w:rsidRDefault="00576074" w:rsidP="00724C82">
      <w:pPr>
        <w:spacing w:after="240"/>
      </w:pPr>
      <w:r>
        <w:t>Planul de acț</w:t>
      </w:r>
      <w:r>
        <w:t>iune privind Pilonul european al drepturilor sociale, adoptat în 2021, stabileș</w:t>
      </w:r>
      <w:r>
        <w:t xml:space="preserve">te obiectivul limitat de reducere a numărului </w:t>
      </w:r>
      <w:r>
        <w:t>persoanelor care se confruntă cu sărăcia cu 15 milioane, incluzând 5 milioane de copii, până în 2030. Dacă ț</w:t>
      </w:r>
      <w:r>
        <w:t>inem seama numai de acest lucru, ar însemna că aproximativ 78 de milioane de persoane, inclusiv 15 milioane de copii din UE, ar fi în continuare exp</w:t>
      </w:r>
      <w:r>
        <w:t>use riscului de sărăcie ș</w:t>
      </w:r>
      <w:r>
        <w:t>i de excluziune socială la momentul respectiv.</w:t>
      </w:r>
    </w:p>
    <w:p w:rsidR="00645EF4" w:rsidRPr="00CC3657" w:rsidRDefault="00576074" w:rsidP="00724C82">
      <w:pPr>
        <w:spacing w:after="240"/>
      </w:pPr>
      <w:r>
        <w:t>În opinia raportorului, este, prin urmare, esenț</w:t>
      </w:r>
      <w:r>
        <w:t>ial ca, la nivelul statelor membre ș</w:t>
      </w:r>
      <w:r>
        <w:t>i al Uniunii Europene, eradicarea sărăciei să fie stabilită ca obiectiv politic pentru progresul soc</w:t>
      </w:r>
      <w:r>
        <w:t>ial, fie în strategia Uniunii Europene de combatere a sărăciei ș</w:t>
      </w:r>
      <w:r>
        <w:t>i în planurile naț</w:t>
      </w:r>
      <w:r>
        <w:t>ionale de acț</w:t>
      </w:r>
      <w:r>
        <w:t>iune aferente, fie în contextul revizuirii Pilonului european al drepturilor sociale.</w:t>
      </w:r>
    </w:p>
    <w:p w:rsidR="00645EF4" w:rsidRPr="00CC3657" w:rsidRDefault="00576074" w:rsidP="00724C82">
      <w:pPr>
        <w:spacing w:after="240"/>
      </w:pPr>
      <w:r>
        <w:t>De asemenea, considerăm că acest obiectiv trebuie avut în vedere în mod glo</w:t>
      </w:r>
      <w:r>
        <w:t>bal în toate politicile sectoriale. Trebuie să se ț</w:t>
      </w:r>
      <w:r>
        <w:t>ină seama de impactul specific pe care deciziile sectoriale îl pot avea asupra sărăciei, dar ș</w:t>
      </w:r>
      <w:r>
        <w:t>i de necesitatea coordonării acestor decizii. Din acest motiv, considerăm că este important să se introducă o a</w:t>
      </w:r>
      <w:r>
        <w:t xml:space="preserve">naliză </w:t>
      </w:r>
      <w:r>
        <w:rPr>
          <w:i/>
        </w:rPr>
        <w:t>ex ante</w:t>
      </w:r>
      <w:r>
        <w:t xml:space="preserve"> a impactului politicilor sectoriale asupra sărăciei.</w:t>
      </w:r>
    </w:p>
    <w:p w:rsidR="00645EF4" w:rsidRPr="00CC3657" w:rsidRDefault="00576074" w:rsidP="00724C82">
      <w:pPr>
        <w:spacing w:after="240"/>
      </w:pPr>
      <w:r>
        <w:t>Datele statistice confirmă impactul semnificativ al accesului la locuri de muncă, al salariilor echitabile ș</w:t>
      </w:r>
      <w:r>
        <w:t>i al transferurilor sociale asupra reducerii riscului de sărăcie.</w:t>
      </w:r>
    </w:p>
    <w:p w:rsidR="00645EF4" w:rsidRPr="00CC3657" w:rsidRDefault="00576074" w:rsidP="00724C82">
      <w:pPr>
        <w:spacing w:after="240"/>
      </w:pPr>
      <w:r>
        <w:t>Însă ele expun</w:t>
      </w:r>
      <w:r>
        <w:t xml:space="preserve"> ș</w:t>
      </w:r>
      <w:r>
        <w:t xml:space="preserve">i realitatea gravă a lucrătorilor care se confruntă cu sărăcia din cauza salariilor </w:t>
      </w:r>
      <w:r>
        <w:lastRenderedPageBreak/>
        <w:t>mici, a precarităț</w:t>
      </w:r>
      <w:r>
        <w:t>ii locului de muncă, a muncii intermitente sau cu fracț</w:t>
      </w:r>
      <w:r>
        <w:t>iune de normă.</w:t>
      </w:r>
    </w:p>
    <w:p w:rsidR="00645EF4" w:rsidRPr="00CC3657" w:rsidRDefault="00576074" w:rsidP="00724C82">
      <w:pPr>
        <w:spacing w:after="240"/>
      </w:pPr>
      <w:r>
        <w:t>În plus, ele evidenț</w:t>
      </w:r>
      <w:r>
        <w:t>iază că femeile se confruntă cu niveluri mai ridicate de sărăc</w:t>
      </w:r>
      <w:r>
        <w:t>ie ca urmare a discriminării ș</w:t>
      </w:r>
      <w:r>
        <w:t>i a inegalităț</w:t>
      </w:r>
      <w:r>
        <w:t>ilor în comparaț</w:t>
      </w:r>
      <w:r>
        <w:t>ie cu bărbaț</w:t>
      </w:r>
      <w:r>
        <w:t>ii, de exemplu, dificultatea mai mare în accesul la un loc de muncă, diferenț</w:t>
      </w:r>
      <w:r>
        <w:t>a de remunerare, intensitatea mai scăzută a muncii, tendinț</w:t>
      </w:r>
      <w:r>
        <w:t>a de avea cariere mai scurte, disparităț</w:t>
      </w:r>
      <w:r>
        <w:t>ile în c</w:t>
      </w:r>
      <w:r>
        <w:t>eea ce priveș</w:t>
      </w:r>
      <w:r>
        <w:t>te valoarea pensiilor ș</w:t>
      </w:r>
      <w:r>
        <w:t>i a prestaț</w:t>
      </w:r>
      <w:r>
        <w:t>iilor sociale, distribuț</w:t>
      </w:r>
      <w:r>
        <w:t>ia inegală a sarcinilor casnice ș</w:t>
      </w:r>
      <w:r>
        <w:t>i de îngrijire ș</w:t>
      </w:r>
      <w:r>
        <w:t>i dificultăț</w:t>
      </w:r>
      <w:r>
        <w:t>ile în accesul la asistenț</w:t>
      </w:r>
      <w:r>
        <w:t>ă medicală specifică.</w:t>
      </w:r>
    </w:p>
    <w:p w:rsidR="00645EF4" w:rsidRPr="00CC3657" w:rsidRDefault="00576074" w:rsidP="00724C82">
      <w:pPr>
        <w:spacing w:after="240"/>
      </w:pPr>
      <w:r>
        <w:t>Raportorul consideră că este esenț</w:t>
      </w:r>
      <w:r>
        <w:t xml:space="preserve">ial ca strategia să ducă la includerea de </w:t>
      </w:r>
      <w:r>
        <w:t>către Comisie ș</w:t>
      </w:r>
      <w:r>
        <w:t>i statele membre a obiectivului ocupării integrale a forț</w:t>
      </w:r>
      <w:r>
        <w:t>ei de muncă ca orientare pentru politicile economice ș</w:t>
      </w:r>
      <w:r>
        <w:t>i sociale.</w:t>
      </w:r>
    </w:p>
    <w:p w:rsidR="00645EF4" w:rsidRPr="00CC3657" w:rsidRDefault="00576074" w:rsidP="00724C82">
      <w:pPr>
        <w:spacing w:after="240"/>
      </w:pPr>
      <w:r>
        <w:t>În acest context, trebuie promovate ș</w:t>
      </w:r>
      <w:r>
        <w:t>i sprijinite politicile de îmbunătăț</w:t>
      </w:r>
      <w:r>
        <w:t>ire a calităț</w:t>
      </w:r>
      <w:r>
        <w:t>ii locurilor de muncă ș</w:t>
      </w:r>
      <w:r>
        <w:t>i a condiț</w:t>
      </w:r>
      <w:r>
        <w:t>iilor de muncă, trebuie explorată crearea unui instrument de combatere a sărăciei prin exercitarea universală a dreptului la muncă ș</w:t>
      </w:r>
      <w:r>
        <w:t>i realizarea obiectivului ocupării integrale a forț</w:t>
      </w:r>
      <w:r>
        <w:t>ei de muncă ș</w:t>
      </w:r>
      <w:r>
        <w:t>i trebuie să se prezinte o iniț</w:t>
      </w:r>
      <w:r>
        <w:t>iativă ca urmare a recomandăr</w:t>
      </w:r>
      <w:r>
        <w:t>ii Consiliului privind un venit minim adecvat care să asigure incluziunea socială ș</w:t>
      </w:r>
      <w:r>
        <w:t>i profesională activă ș</w:t>
      </w:r>
      <w:r>
        <w:t>i să contribuie la eradicarea sărăciei.</w:t>
      </w:r>
    </w:p>
    <w:p w:rsidR="00645EF4" w:rsidRPr="00CC3657" w:rsidRDefault="00576074" w:rsidP="00724C82">
      <w:pPr>
        <w:spacing w:after="240"/>
      </w:pPr>
      <w:r>
        <w:t>Pentru a asigura o protecț</w:t>
      </w:r>
      <w:r>
        <w:t>ie socială deplină ș</w:t>
      </w:r>
      <w:r>
        <w:t>i reală a lucrătorilor ș</w:t>
      </w:r>
      <w:r>
        <w:t>i pentru a preveni sărăcia, statele memb</w:t>
      </w:r>
      <w:r>
        <w:t>re ar trebui să consolideze sisteme de securitate socială publice, universale ș</w:t>
      </w:r>
      <w:r>
        <w:t>i bazate pe solidaritate.</w:t>
      </w:r>
    </w:p>
    <w:p w:rsidR="00645EF4" w:rsidRPr="00CC3657" w:rsidRDefault="00576074" w:rsidP="00724C82">
      <w:pPr>
        <w:spacing w:after="240"/>
      </w:pPr>
      <w:r>
        <w:t>Atât Comisia, cât ș</w:t>
      </w:r>
      <w:r>
        <w:t>i statele membre ar trebui să adopte măsuri eficiente care să vizeze punerea în aplicare a principiului remuneraț</w:t>
      </w:r>
      <w:r>
        <w:t>iei egale pentru mu</w:t>
      </w:r>
      <w:r>
        <w:t>ncă egală, combătând inegalităț</w:t>
      </w:r>
      <w:r>
        <w:t>ile ș</w:t>
      </w:r>
      <w:r>
        <w:t>i discriminarea la locul de muncă, în special pe cele care afectează femeile.</w:t>
      </w:r>
    </w:p>
    <w:p w:rsidR="00645EF4" w:rsidRPr="00CC3657" w:rsidRDefault="00576074" w:rsidP="00724C82">
      <w:pPr>
        <w:spacing w:after="240"/>
      </w:pPr>
      <w:r>
        <w:t>Statele membre ar trebui să acorde o atenț</w:t>
      </w:r>
      <w:r>
        <w:t>ie deosebită asigurării accesului universal la asistenț</w:t>
      </w:r>
      <w:r>
        <w:t>ă medicală maternă, neonatală ș</w:t>
      </w:r>
      <w:r>
        <w:t>i pediatrică p</w:t>
      </w:r>
      <w:r>
        <w:t>ublică, accesibilă ș</w:t>
      </w:r>
      <w:r>
        <w:t>i de calitate, precum ș</w:t>
      </w:r>
      <w:r>
        <w:t>i elaborării de politici de consolidare a drepturilor legate de maternitate, paternitate ș</w:t>
      </w:r>
      <w:r>
        <w:t>i a drepturilor parentale, promovând echilibrul dintre viaț</w:t>
      </w:r>
      <w:r>
        <w:t>a profesională ș</w:t>
      </w:r>
      <w:r>
        <w:t>i viaț</w:t>
      </w:r>
      <w:r>
        <w:t>a de familie, facilitând revenirea femeilo</w:t>
      </w:r>
      <w:r>
        <w:t>r la locul de muncă după sarcină ș</w:t>
      </w:r>
      <w:r>
        <w:t>i concediul de maternitate ș</w:t>
      </w:r>
      <w:r>
        <w:t>i asigurând condiț</w:t>
      </w:r>
      <w:r>
        <w:t>ii adecvate pentru alăptarea la locul de muncă.</w:t>
      </w:r>
    </w:p>
    <w:p w:rsidR="00645EF4" w:rsidRPr="00CC3657" w:rsidRDefault="00576074" w:rsidP="00724C82">
      <w:pPr>
        <w:spacing w:after="240"/>
      </w:pPr>
      <w:r>
        <w:t>Trebuie, de asemenea, avut în vedere că persoanele în vârstă, persoanele cu dizabilităț</w:t>
      </w:r>
      <w:r>
        <w:t>i, familiile monoparentale, minorităț</w:t>
      </w:r>
      <w:r>
        <w:t xml:space="preserve">ile </w:t>
      </w:r>
      <w:r>
        <w:t>etnice sau migranț</w:t>
      </w:r>
      <w:r>
        <w:t>ii sunt grupuri mai vulnerabile la sărăcie ș</w:t>
      </w:r>
      <w:r>
        <w:t>i excluziune socială ș</w:t>
      </w:r>
      <w:r>
        <w:t>i că copiii migranț</w:t>
      </w:r>
      <w:r>
        <w:t>i sunt suprareprezentaț</w:t>
      </w:r>
      <w:r>
        <w:t>i în grupul persoanelor expuse riscului de sărăcie, fiind astfel necesar ca situaț</w:t>
      </w:r>
      <w:r>
        <w:t>ia lor specifică să fie avută în vedere în cadru</w:t>
      </w:r>
      <w:r>
        <w:t>l măsurilor de răspuns la sărăcie ș</w:t>
      </w:r>
      <w:r>
        <w:t>i de prevenire a acesteia.</w:t>
      </w:r>
    </w:p>
    <w:p w:rsidR="00645EF4" w:rsidRPr="00CC3657" w:rsidRDefault="00576074" w:rsidP="00724C82">
      <w:pPr>
        <w:spacing w:after="240"/>
      </w:pPr>
      <w:r>
        <w:t>Sărăcia în rândul copiilor rezultă din sărăcia familiei, iar lipsa unui răspuns complet duce la o perpetuare a sărăciei de-a lungul ciclului vieț</w:t>
      </w:r>
      <w:r>
        <w:t>ii (mai întâi în copilărie, apoi la locul de munc</w:t>
      </w:r>
      <w:r>
        <w:t>ă ș</w:t>
      </w:r>
      <w:r>
        <w:t>i, în cele din urmă, la pensie) ș</w:t>
      </w:r>
      <w:r>
        <w:t>i creș</w:t>
      </w:r>
      <w:r>
        <w:t>te probabilitatea perpetuării sărăciei de la o generaț</w:t>
      </w:r>
      <w:r>
        <w:t>ie la alta.</w:t>
      </w:r>
    </w:p>
    <w:p w:rsidR="00645EF4" w:rsidRPr="00CC3657" w:rsidRDefault="00576074" w:rsidP="00724C82">
      <w:pPr>
        <w:spacing w:after="240"/>
      </w:pPr>
      <w:r>
        <w:t>La 14 iunie 2021, Consiliul a adoptat recomandarea de instituire a unei Garanț</w:t>
      </w:r>
      <w:r>
        <w:t>ii europene pentru copii, pentru a asigura accesul copiilor aflaț</w:t>
      </w:r>
      <w:r>
        <w:t xml:space="preserve">i în </w:t>
      </w:r>
      <w:r>
        <w:t>dificultate la servicii esenț</w:t>
      </w:r>
      <w:r>
        <w:t>iale, de exemplu, servicii de îngrijire ș</w:t>
      </w:r>
      <w:r>
        <w:t>i educaț</w:t>
      </w:r>
      <w:r>
        <w:t>ie timpurie gratuite, educaț</w:t>
      </w:r>
      <w:r>
        <w:t>ie gratuită (inclusiv activităț</w:t>
      </w:r>
      <w:r>
        <w:t>i suplimentare în ș</w:t>
      </w:r>
      <w:r>
        <w:t>coli ș</w:t>
      </w:r>
      <w:r>
        <w:t>i cel puț</w:t>
      </w:r>
      <w:r>
        <w:t>in o masă sănătoasă în fiecare zi de ș</w:t>
      </w:r>
      <w:r>
        <w:t>coală), asistenț</w:t>
      </w:r>
      <w:r>
        <w:t>ă medicală gratuită, alimentaț</w:t>
      </w:r>
      <w:r>
        <w:t>i</w:t>
      </w:r>
      <w:r>
        <w:t>e sănătoasă ș</w:t>
      </w:r>
      <w:r>
        <w:t>i locuinț</w:t>
      </w:r>
      <w:r>
        <w:t xml:space="preserve">e adecvate. </w:t>
      </w:r>
    </w:p>
    <w:p w:rsidR="00645EF4" w:rsidRPr="00CC3657" w:rsidRDefault="00576074" w:rsidP="00724C82">
      <w:pPr>
        <w:spacing w:after="240"/>
      </w:pPr>
      <w:r>
        <w:lastRenderedPageBreak/>
        <w:t>În opinia raportorului, această contribuț</w:t>
      </w:r>
      <w:r>
        <w:t>ie importantă la combaterea sărăciei în rândul copiilor în UE trebuie să fie însoț</w:t>
      </w:r>
      <w:r>
        <w:t>ită de o alocare bugetară specifică în următorul cadru financiar multianual, de cel puț</w:t>
      </w:r>
      <w:r>
        <w:t xml:space="preserve">in 20 de </w:t>
      </w:r>
      <w:r>
        <w:t>miliarde EUR, care să ofere mijloacele financiare pentru a sprijini planurile naț</w:t>
      </w:r>
      <w:r>
        <w:t>ionale de acț</w:t>
      </w:r>
      <w:r>
        <w:t>iune pentru Garanț</w:t>
      </w:r>
      <w:r>
        <w:t>ia pentru copii din bugetul UE.</w:t>
      </w:r>
    </w:p>
    <w:p w:rsidR="00645EF4" w:rsidRPr="00CC3657" w:rsidRDefault="00576074" w:rsidP="00724C82">
      <w:pPr>
        <w:spacing w:after="240"/>
      </w:pPr>
      <w:r>
        <w:t>Un alt aspect care trebuie avut în vedere este combaterea stigmatizării ș</w:t>
      </w:r>
      <w:r>
        <w:t>i a discriminării persoanelor care se c</w:t>
      </w:r>
      <w:r>
        <w:t>onfruntă cu sărăcia.</w:t>
      </w:r>
    </w:p>
    <w:p w:rsidR="00645EF4" w:rsidRPr="00CC3657" w:rsidRDefault="00576074" w:rsidP="00724C82">
      <w:pPr>
        <w:spacing w:after="240"/>
      </w:pPr>
      <w:r>
        <w:t>Deseori, combaterea sărăciei întâmpină obstacole sub forma unor atitudini politice care stigmatizează ș</w:t>
      </w:r>
      <w:r>
        <w:t>i discriminează persoanele care se confruntă cu sărăcia. Acestea sunt considerate în mod fals beneficiare ale unor privilegii ș</w:t>
      </w:r>
      <w:r>
        <w:t>i dre</w:t>
      </w:r>
      <w:r>
        <w:t>pturi care se presupune că le sunt refuzate altor cetăț</w:t>
      </w:r>
      <w:r>
        <w:t>eni. Politicile ș</w:t>
      </w:r>
      <w:r>
        <w:t>i măsurile specifice de combatere a sărăciei în diferitele sale dimensiuni sunt adesea menț</w:t>
      </w:r>
      <w:r>
        <w:t>ionate ca o presupusă dovadă a acestor privilegii care ar aduce beneficii persoanelor care se</w:t>
      </w:r>
      <w:r>
        <w:t xml:space="preserve"> confruntă cu sărăcia.</w:t>
      </w:r>
    </w:p>
    <w:p w:rsidR="00645EF4" w:rsidRPr="00CC3657" w:rsidRDefault="00576074" w:rsidP="00724C82">
      <w:pPr>
        <w:spacing w:after="240"/>
      </w:pPr>
      <w:r>
        <w:t>În alte situaț</w:t>
      </w:r>
      <w:r>
        <w:t>ii, chiar soluț</w:t>
      </w:r>
      <w:r>
        <w:t>iile de combatere a sărăciei conduc la stigmatizarea persoanelor care se confruntă cu sărăcia. Un exemplu în acest sens este frecventa „ghetoizare” a persoanelor care se confruntă cu sărăcia în cartiere s</w:t>
      </w:r>
      <w:r>
        <w:t>ociale, care, chiar ș</w:t>
      </w:r>
      <w:r>
        <w:t>i prin amenajarea teritoriului ș</w:t>
      </w:r>
      <w:r>
        <w:t>i organizarea oraș</w:t>
      </w:r>
      <w:r>
        <w:t>elor, contribuie la excluziunea lor socială.</w:t>
      </w:r>
    </w:p>
    <w:p w:rsidR="00645EF4" w:rsidRPr="00CC3657" w:rsidRDefault="00576074" w:rsidP="00724C82">
      <w:pPr>
        <w:spacing w:after="240"/>
      </w:pPr>
      <w:r>
        <w:t>Strategia UE de combatere a sărăciei ar trebui să includă măsuri de contracarare a stigmatizării ș</w:t>
      </w:r>
      <w:r>
        <w:t>i a discriminării persoanelor care se conf</w:t>
      </w:r>
      <w:r>
        <w:t>runtă cu sărăcia ș</w:t>
      </w:r>
      <w:r>
        <w:t>i de asigurare a faptului că lupta împotriva sărăciei vizează integrarea socială a acestor persoane, abordând aș</w:t>
      </w:r>
      <w:r>
        <w:t>a-numitele fenomene ascunse ale sărăciei ș</w:t>
      </w:r>
      <w:r>
        <w:t>i situaț</w:t>
      </w:r>
      <w:r>
        <w:t>iile în care acestea nu recurg la prestaț</w:t>
      </w:r>
      <w:r>
        <w:t>iile sociale disponibile.</w:t>
      </w:r>
    </w:p>
    <w:p w:rsidR="00645EF4" w:rsidRPr="00CC3657" w:rsidRDefault="00576074" w:rsidP="00724C82">
      <w:pPr>
        <w:spacing w:after="240"/>
      </w:pPr>
      <w:r>
        <w:t>Combatere</w:t>
      </w:r>
      <w:r>
        <w:t>a sărăciei trebuie să se bazeze pe promovarea unor politici care să asigure caracterul indivizibil ș</w:t>
      </w:r>
      <w:r>
        <w:t>i universal al drepturilor politice, economice, sociale ș</w:t>
      </w:r>
      <w:r>
        <w:t>i culturale. Aceste politici oferă soluț</w:t>
      </w:r>
      <w:r>
        <w:t>ii structurale cu impact global asupra coeziunii sociale, c</w:t>
      </w:r>
      <w:r>
        <w:t>ontracarând stigmatizarea ș</w:t>
      </w:r>
      <w:r>
        <w:t>i discriminarea persoanelor care se confruntă cu sărăcia, precum ș</w:t>
      </w:r>
      <w:r>
        <w:t>i abordările greș</w:t>
      </w:r>
      <w:r>
        <w:t>ite, cum ar fi incriminarea sărăciei. Aceste soluț</w:t>
      </w:r>
      <w:r>
        <w:t>ii trebuie să fie completate de măsuri de sprijin imediate sau punctuale, ori de câte ori este n</w:t>
      </w:r>
      <w:r>
        <w:t>ecesar, pentru a răspunde adecvat la particularităț</w:t>
      </w:r>
      <w:r>
        <w:t>ile grupurilor mai vulnerabile.</w:t>
      </w:r>
    </w:p>
    <w:p w:rsidR="00645EF4" w:rsidRPr="00CC3657" w:rsidRDefault="00576074" w:rsidP="00724C82">
      <w:pPr>
        <w:spacing w:after="240"/>
      </w:pPr>
      <w:r>
        <w:t>În acest context, este fundamental să se asigure investiț</w:t>
      </w:r>
      <w:r>
        <w:t>ii publice în politici care garantează servicii publice universale, gratuite ș</w:t>
      </w:r>
      <w:r>
        <w:t xml:space="preserve">i de înaltă calitate, având în vedere </w:t>
      </w:r>
      <w:r>
        <w:t>contribuț</w:t>
      </w:r>
      <w:r>
        <w:t>ia acestora la întreruperea cercului vicios al sărăciei, inclusiv în ceea ce priveș</w:t>
      </w:r>
      <w:r>
        <w:t>te aspecte precum educaț</w:t>
      </w:r>
      <w:r>
        <w:t>ia, asistenț</w:t>
      </w:r>
      <w:r>
        <w:t>a medicală, serviciile sociale, accesul la apă ș</w:t>
      </w:r>
      <w:r>
        <w:t>i salubritate, precum ș</w:t>
      </w:r>
      <w:r>
        <w:t>i accesul universal la locuinț</w:t>
      </w:r>
      <w:r>
        <w:t>e decente, energie, transpo</w:t>
      </w:r>
      <w:r>
        <w:t>rt, hrană ș</w:t>
      </w:r>
      <w:r>
        <w:t>i activităț</w:t>
      </w:r>
      <w:r>
        <w:t>i culturale ș</w:t>
      </w:r>
      <w:r>
        <w:t>i recreative.</w:t>
      </w:r>
    </w:p>
    <w:p w:rsidR="00645EF4" w:rsidRPr="00CC3657" w:rsidRDefault="00576074" w:rsidP="00724C82">
      <w:pPr>
        <w:spacing w:after="240"/>
      </w:pPr>
      <w:r>
        <w:t>În acest context, Comisia trebuie să sprijine statele membre în promovarea unei politici în domeniul locuinț</w:t>
      </w:r>
      <w:r>
        <w:t>elor care să asigure accesul universal la acest drept, luând în considerare măsuri specifice pentru</w:t>
      </w:r>
      <w:r>
        <w:t xml:space="preserve"> situaț</w:t>
      </w:r>
      <w:r>
        <w:t>ia persoanelor fără adăpost. Comisia trebuie să elaboreze un plan urmărind să răspundă nevoilor în materie de locuinț</w:t>
      </w:r>
      <w:r>
        <w:t>e ale tuturor cetăț</w:t>
      </w:r>
      <w:r>
        <w:t>enilor din UE, incluzând introducerea unei finanț</w:t>
      </w:r>
      <w:r>
        <w:t>ări suplimentare ș</w:t>
      </w:r>
      <w:r>
        <w:t>i specifice din partea UE pentru extinderea ș</w:t>
      </w:r>
      <w:r>
        <w:t>i</w:t>
      </w:r>
      <w:r>
        <w:t xml:space="preserve"> renovarea parcurilor de locuinț</w:t>
      </w:r>
      <w:r>
        <w:t>e publice.</w:t>
      </w:r>
    </w:p>
    <w:p w:rsidR="00645EF4" w:rsidRPr="00CC3657" w:rsidRDefault="00576074" w:rsidP="00724C82">
      <w:pPr>
        <w:spacing w:after="240"/>
      </w:pPr>
      <w:r>
        <w:t>Raportorul consideră că nu s-a ț</w:t>
      </w:r>
      <w:r>
        <w:t>inut suficient seama de dificultăț</w:t>
      </w:r>
      <w:r>
        <w:t>ile psihologice generate de sărăcie ș</w:t>
      </w:r>
      <w:r>
        <w:t>i de excluziunea socială în strategia Comisiei privind sănătatea mintală ș</w:t>
      </w:r>
      <w:r>
        <w:t>i în planurile naț</w:t>
      </w:r>
      <w:r>
        <w:t>ionale de acț</w:t>
      </w:r>
      <w:r>
        <w:t>iune.</w:t>
      </w:r>
      <w:r>
        <w:t xml:space="preserve"> Prin urmare, recomandă statelor membre să ia măsuri specifice în acest domeniu.</w:t>
      </w:r>
    </w:p>
    <w:p w:rsidR="00645EF4" w:rsidRPr="00CC3657" w:rsidRDefault="00576074" w:rsidP="00724C82">
      <w:pPr>
        <w:spacing w:after="240"/>
      </w:pPr>
      <w:r>
        <w:lastRenderedPageBreak/>
        <w:t>Pornind de la înț</w:t>
      </w:r>
      <w:r>
        <w:t>elegerea sărăciei ca o încălcare a drepturilor omului, este esenț</w:t>
      </w:r>
      <w:r>
        <w:t>ial să se creeze mecanisme pentru participarea persoanelor care se confruntă cu sărăcia la de</w:t>
      </w:r>
      <w:r>
        <w:t>finirea, punerea în aplicare ș</w:t>
      </w:r>
      <w:r>
        <w:t>i evaluarea politicilor care le vizează. Crearea unor astfel de mecanisme ar trebui să vizeze consolidarea participării democratice, capacitarea ș</w:t>
      </w:r>
      <w:r>
        <w:t>i emanciparea socială a persoanelor care se confruntă cu sărăcia, precum ș</w:t>
      </w:r>
      <w:r>
        <w:t>i obț</w:t>
      </w:r>
      <w:r>
        <w:t>i</w:t>
      </w:r>
      <w:r>
        <w:t>nerea unor rezultate mai eficace ș</w:t>
      </w:r>
      <w:r>
        <w:t xml:space="preserve">i mai echitabile de către aceste politici. </w:t>
      </w:r>
    </w:p>
    <w:p w:rsidR="00645EF4" w:rsidRPr="00CC3657" w:rsidRDefault="00576074" w:rsidP="00724C82">
      <w:pPr>
        <w:spacing w:after="240"/>
      </w:pPr>
      <w:r>
        <w:t>Raportorul consideră, de asemenea, că succesul strategiei va depinde de coordonarea adecvată între diferitele niveluri de luare a deciziilor ș</w:t>
      </w:r>
      <w:r>
        <w:t>i de intervenț</w:t>
      </w:r>
      <w:r>
        <w:t>ie ș</w:t>
      </w:r>
      <w:r>
        <w:t xml:space="preserve">i de aceea, sfera </w:t>
      </w:r>
      <w:r>
        <w:t>responsabilităț</w:t>
      </w:r>
      <w:r>
        <w:t>ilor la nivelul UE, al statelor membre ș</w:t>
      </w:r>
      <w:r>
        <w:t>i al regiunilor pentru realizarea obiectivului de eradicare a sărăciei trebuie definită în mod clar ș</w:t>
      </w:r>
      <w:r>
        <w:t>i adecvat, respectându-se principiul subsidiarităț</w:t>
      </w:r>
      <w:r>
        <w:t>ii.</w:t>
      </w:r>
    </w:p>
    <w:p w:rsidR="00645EF4" w:rsidRPr="00CC3657" w:rsidRDefault="00576074" w:rsidP="00724C82">
      <w:pPr>
        <w:spacing w:after="240"/>
      </w:pPr>
      <w:r>
        <w:t>Raportorul recomandă organizarea unei conferinț</w:t>
      </w:r>
      <w:r>
        <w:t>e anuale pentru a evalua punerea în aplicare a strategiei, cu o componenț</w:t>
      </w:r>
      <w:r>
        <w:t>ă largă ș</w:t>
      </w:r>
      <w:r>
        <w:t>i diversă, incluzând persoane care se confruntă cu sărăcia.</w:t>
      </w:r>
    </w:p>
    <w:p w:rsidR="00645EF4" w:rsidRPr="00CC3657" w:rsidRDefault="00576074" w:rsidP="00724C82">
      <w:pPr>
        <w:spacing w:after="240"/>
      </w:pPr>
      <w:r>
        <w:t>Plecând de la experienț</w:t>
      </w:r>
      <w:r>
        <w:t>a pozitivă cu Garanț</w:t>
      </w:r>
      <w:r>
        <w:t xml:space="preserve">ia pentru copii, recomandăm să existe un responsabil pentru strategie </w:t>
      </w:r>
      <w:r>
        <w:t>la nivelul Comisiei Europene ș</w:t>
      </w:r>
      <w:r>
        <w:t>i ca fiecare stat membru să desemneze un coordonator naț</w:t>
      </w:r>
      <w:r>
        <w:t>ional ș</w:t>
      </w:r>
      <w:r>
        <w:t>i să elaboreze un plan naț</w:t>
      </w:r>
      <w:r>
        <w:t>ional de acț</w:t>
      </w:r>
      <w:r>
        <w:t>iune, implicând în punerea sa în aplicare autorităț</w:t>
      </w:r>
      <w:r>
        <w:t>ile locale ș</w:t>
      </w:r>
      <w:r>
        <w:t>i regionale ș</w:t>
      </w:r>
      <w:r>
        <w:t>i organizaț</w:t>
      </w:r>
      <w:r>
        <w:t>iile din domeniul combaterii ș</w:t>
      </w:r>
      <w:r>
        <w:t>i preven</w:t>
      </w:r>
      <w:r>
        <w:t>irii sărăciei.</w:t>
      </w:r>
    </w:p>
    <w:p w:rsidR="00645EF4" w:rsidRPr="00CC3657" w:rsidRDefault="00576074" w:rsidP="00724C82">
      <w:pPr>
        <w:spacing w:after="240"/>
      </w:pPr>
      <w:r>
        <w:t>Strategia UE de combatere a sărăciei trebuie să recunoască ș</w:t>
      </w:r>
      <w:r>
        <w:t>i să sprijine acț</w:t>
      </w:r>
      <w:r>
        <w:t>iunile organizaț</w:t>
      </w:r>
      <w:r>
        <w:t>iilor sociale de diferite tipuri implicate în combaterea ș</w:t>
      </w:r>
      <w:r>
        <w:t xml:space="preserve">i prevenirea sărăciei, mai ales în sprijinirea directă a persoanelor care se confruntă cu </w:t>
      </w:r>
      <w:r>
        <w:t>sărăcia.</w:t>
      </w:r>
    </w:p>
    <w:p w:rsidR="00645EF4" w:rsidRPr="00CC3657" w:rsidRDefault="00576074" w:rsidP="00724C82">
      <w:r>
        <w:t>Următorul cadru financiar multianual va trebui să joace un rol important în consolidarea politicilor ș</w:t>
      </w:r>
      <w:r>
        <w:t>i a sprijinului social care contribuie la eradicarea sărăciei, consolidând semnificativ ș</w:t>
      </w:r>
      <w:r>
        <w:t>i utilizând mai bine FSE+, FEDR, FEAD ș</w:t>
      </w:r>
      <w:r>
        <w:t>i FAMI.</w:t>
      </w:r>
    </w:p>
    <w:p w:rsidR="00276B35" w:rsidRPr="00CC3657" w:rsidRDefault="00276B35" w:rsidP="00276B35">
      <w:pPr>
        <w:pStyle w:val="Normal12a"/>
      </w:pPr>
    </w:p>
    <w:sectPr w:rsidR="00276B35" w:rsidRPr="00CC3657" w:rsidSect="00135AD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576074">
      <w:r>
        <w:separator/>
      </w:r>
    </w:p>
  </w:endnote>
  <w:endnote w:type="continuationSeparator" w:id="0">
    <w:p w:rsidR="00000000" w:rsidRDefault="00576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139" w:rsidRPr="00CC3657" w:rsidRDefault="00576074" w:rsidP="00C37139">
    <w:pPr>
      <w:pStyle w:val="EPFooter"/>
    </w:pPr>
    <w:r w:rsidRPr="00CC3657">
      <w:t>PE</w:t>
    </w:r>
    <w:r w:rsidRPr="00CC3657">
      <w:rPr>
        <w:rStyle w:val="HideTWBExt"/>
      </w:rPr>
      <w:t>&lt;NoPE&gt;</w:t>
    </w:r>
    <w:r w:rsidRPr="00CC3657">
      <w:t>774.256</w:t>
    </w:r>
    <w:r w:rsidRPr="00CC3657">
      <w:rPr>
        <w:rStyle w:val="HideTWBExt"/>
      </w:rPr>
      <w:t>&lt;/NoPE&gt;&lt;Version&gt;</w:t>
    </w:r>
    <w:r w:rsidRPr="00CC3657">
      <w:t>v01-00</w:t>
    </w:r>
    <w:r w:rsidRPr="00CC3657">
      <w:rPr>
        <w:rStyle w:val="HideTWBExt"/>
      </w:rPr>
      <w:t>&lt;/Version&gt;</w:t>
    </w:r>
    <w:r w:rsidRPr="00CC3657">
      <w:tab/>
    </w:r>
    <w:r w:rsidRPr="00CC3657">
      <w:fldChar w:fldCharType="begin"/>
    </w:r>
    <w:r w:rsidRPr="00CC3657">
      <w:instrText xml:space="preserve"> PAGE  \* MERGEFORMAT </w:instrText>
    </w:r>
    <w:r w:rsidRPr="00CC3657">
      <w:fldChar w:fldCharType="separate"/>
    </w:r>
    <w:r>
      <w:rPr>
        <w:noProof/>
      </w:rPr>
      <w:t>2</w:t>
    </w:r>
    <w:r w:rsidRPr="00CC3657">
      <w:fldChar w:fldCharType="end"/>
    </w:r>
    <w:r w:rsidRPr="00CC3657">
      <w:t>/</w:t>
    </w:r>
    <w:r w:rsidR="00CC3657" w:rsidRPr="00CC3657">
      <w:fldChar w:fldCharType="begin"/>
    </w:r>
    <w:r>
      <w:instrText xml:space="preserve"> NUMPAGES  \* MERGE</w:instrText>
    </w:r>
    <w:r>
      <w:instrText xml:space="preserve">FORMAT </w:instrText>
    </w:r>
    <w:r w:rsidR="00CC3657" w:rsidRPr="00CC3657">
      <w:fldChar w:fldCharType="separate"/>
    </w:r>
    <w:r>
      <w:rPr>
        <w:noProof/>
      </w:rPr>
      <w:t>11</w:t>
    </w:r>
    <w:r w:rsidR="00CC3657" w:rsidRPr="00CC3657">
      <w:rPr>
        <w:noProof/>
      </w:rPr>
      <w:fldChar w:fldCharType="end"/>
    </w:r>
    <w:r w:rsidRPr="00CC3657">
      <w:tab/>
    </w:r>
    <w:r w:rsidRPr="00CC3657">
      <w:rPr>
        <w:rStyle w:val="HideTWBExt"/>
      </w:rPr>
      <w:t>&lt;PathFdR&gt;</w:t>
    </w:r>
    <w:r w:rsidRPr="00CC3657">
      <w:t>PR\1321832RO.docx</w:t>
    </w:r>
    <w:r w:rsidRPr="00CC3657">
      <w:rPr>
        <w:rStyle w:val="HideTWBExt"/>
      </w:rPr>
      <w:t>&lt;/PathFdR&gt;</w:t>
    </w:r>
  </w:p>
  <w:p w:rsidR="00100069" w:rsidRPr="00CC3657" w:rsidRDefault="00576074" w:rsidP="00C37139">
    <w:pPr>
      <w:pStyle w:val="EPFooter2"/>
    </w:pPr>
    <w:r w:rsidRPr="00CC3657"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139" w:rsidRPr="00CC3657" w:rsidRDefault="00576074" w:rsidP="00C37139">
    <w:pPr>
      <w:pStyle w:val="EPFooter"/>
    </w:pPr>
    <w:r w:rsidRPr="00CC3657">
      <w:rPr>
        <w:rStyle w:val="HideTWBExt"/>
      </w:rPr>
      <w:t>&lt;PathFdR&gt;</w:t>
    </w:r>
    <w:r w:rsidRPr="00CC3657">
      <w:t>PR\1321832RO.docx</w:t>
    </w:r>
    <w:r w:rsidRPr="00CC3657">
      <w:rPr>
        <w:rStyle w:val="HideTWBExt"/>
      </w:rPr>
      <w:t>&lt;/PathFdR&gt;</w:t>
    </w:r>
    <w:r w:rsidRPr="00CC3657">
      <w:tab/>
    </w:r>
    <w:r w:rsidRPr="00CC3657">
      <w:fldChar w:fldCharType="begin"/>
    </w:r>
    <w:r w:rsidRPr="00CC3657">
      <w:instrText xml:space="preserve"> PAGE  \* MERGEFORMAT </w:instrText>
    </w:r>
    <w:r w:rsidRPr="00CC3657">
      <w:fldChar w:fldCharType="separate"/>
    </w:r>
    <w:r>
      <w:rPr>
        <w:noProof/>
      </w:rPr>
      <w:t>11</w:t>
    </w:r>
    <w:r w:rsidRPr="00CC3657">
      <w:fldChar w:fldCharType="end"/>
    </w:r>
    <w:r w:rsidRPr="00CC3657">
      <w:t>/</w:t>
    </w:r>
    <w:r w:rsidR="00CC3657" w:rsidRPr="00CC3657">
      <w:fldChar w:fldCharType="begin"/>
    </w:r>
    <w:r>
      <w:instrText xml:space="preserve"> NUMPAGES  \* MERGEFORMAT </w:instrText>
    </w:r>
    <w:r w:rsidR="00CC3657" w:rsidRPr="00CC3657">
      <w:fldChar w:fldCharType="separate"/>
    </w:r>
    <w:r>
      <w:rPr>
        <w:noProof/>
      </w:rPr>
      <w:t>11</w:t>
    </w:r>
    <w:r w:rsidR="00CC3657" w:rsidRPr="00CC3657">
      <w:rPr>
        <w:noProof/>
      </w:rPr>
      <w:fldChar w:fldCharType="end"/>
    </w:r>
    <w:r w:rsidRPr="00CC3657">
      <w:tab/>
      <w:t>PE</w:t>
    </w:r>
    <w:r w:rsidRPr="00CC3657">
      <w:rPr>
        <w:rStyle w:val="HideTWBExt"/>
      </w:rPr>
      <w:t>&lt;NoPE&gt;</w:t>
    </w:r>
    <w:r w:rsidRPr="00CC3657">
      <w:t>774.256</w:t>
    </w:r>
    <w:r w:rsidRPr="00CC3657">
      <w:rPr>
        <w:rStyle w:val="HideTWBExt"/>
      </w:rPr>
      <w:t>&lt;/NoPE&gt;&lt;Version&gt;</w:t>
    </w:r>
    <w:r w:rsidRPr="00CC3657">
      <w:t>v01-00</w:t>
    </w:r>
    <w:r w:rsidRPr="00CC3657">
      <w:rPr>
        <w:rStyle w:val="HideTWBExt"/>
      </w:rPr>
      <w:t>&lt;/Version&gt;</w:t>
    </w:r>
  </w:p>
  <w:p w:rsidR="00100069" w:rsidRPr="00CC3657" w:rsidRDefault="00576074" w:rsidP="00C37139">
    <w:pPr>
      <w:pStyle w:val="EPFooter2"/>
    </w:pPr>
    <w:r w:rsidRPr="00CC3657">
      <w:tab/>
    </w:r>
    <w:r w:rsidRPr="00CC3657">
      <w:tab/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139" w:rsidRPr="00CC3657" w:rsidRDefault="00576074" w:rsidP="00C37139">
    <w:pPr>
      <w:pStyle w:val="EPFooter"/>
    </w:pPr>
    <w:r w:rsidRPr="00CC3657">
      <w:rPr>
        <w:rStyle w:val="HideTWBExt"/>
      </w:rPr>
      <w:t>&lt;PathFdR&gt;</w:t>
    </w:r>
    <w:r w:rsidRPr="00CC3657">
      <w:t>PR\1321832RO.docx</w:t>
    </w:r>
    <w:r w:rsidRPr="00CC3657">
      <w:rPr>
        <w:rStyle w:val="HideTWBExt"/>
      </w:rPr>
      <w:t>&lt;/PathFdR&gt;</w:t>
    </w:r>
    <w:r w:rsidRPr="00CC3657">
      <w:tab/>
    </w:r>
    <w:r w:rsidRPr="00CC3657">
      <w:tab/>
      <w:t>PE</w:t>
    </w:r>
    <w:r w:rsidRPr="00CC3657">
      <w:rPr>
        <w:rStyle w:val="HideTWBExt"/>
      </w:rPr>
      <w:t>&lt;NoPE&gt;</w:t>
    </w:r>
    <w:r w:rsidRPr="00CC3657">
      <w:t>774.256</w:t>
    </w:r>
    <w:r w:rsidRPr="00CC3657">
      <w:rPr>
        <w:rStyle w:val="HideTWBExt"/>
      </w:rPr>
      <w:t>&lt;/NoPE&gt;&lt;Version&gt;</w:t>
    </w:r>
    <w:r w:rsidRPr="00CC3657">
      <w:t>v01-00</w:t>
    </w:r>
    <w:r w:rsidRPr="00CC3657">
      <w:rPr>
        <w:rStyle w:val="HideTWBExt"/>
      </w:rPr>
      <w:t>&lt;/Version&gt;</w:t>
    </w:r>
  </w:p>
  <w:p w:rsidR="00100069" w:rsidRPr="00CC3657" w:rsidRDefault="00576074" w:rsidP="00C37139">
    <w:pPr>
      <w:pStyle w:val="EPFooter2"/>
    </w:pPr>
    <w:r w:rsidRPr="00CC3657">
      <w:t>RO</w:t>
    </w:r>
    <w:r w:rsidRPr="00CC3657">
      <w:tab/>
    </w:r>
    <w:r w:rsidRPr="00CC3657">
      <w:rPr>
        <w:b w:val="0"/>
        <w:i/>
        <w:color w:val="C0C0C0"/>
        <w:sz w:val="22"/>
      </w:rPr>
      <w:t>Unită în diversitate</w:t>
    </w:r>
    <w:r w:rsidRPr="00CC3657">
      <w:tab/>
      <w:t>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576074">
      <w:r>
        <w:separator/>
      </w:r>
    </w:p>
  </w:footnote>
  <w:footnote w:type="continuationSeparator" w:id="0">
    <w:p w:rsidR="00000000" w:rsidRDefault="005760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074" w:rsidRDefault="0057607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074" w:rsidRDefault="0057607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6074" w:rsidRDefault="005760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5F171DE"/>
    <w:multiLevelType w:val="multilevel"/>
    <w:tmpl w:val="440615A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56217361"/>
    <w:multiLevelType w:val="hybridMultilevel"/>
    <w:tmpl w:val="B68209E2"/>
    <w:lvl w:ilvl="0" w:tplc="0708150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6D1A09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F6C31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8E73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AAA4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F845C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56D7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6A44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392203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HORMFMNU" w:val=" 1"/>
    <w:docVar w:name="COMKEY" w:val="EMPL"/>
    <w:docVar w:name="CopyToNetwork" w:val="-1"/>
    <w:docVar w:name="LastEditedSection" w:val=" 1"/>
    <w:docVar w:name="MOTIONMNU" w:val=" 3"/>
    <w:docVar w:name="RULEMNU" w:val=" 1"/>
    <w:docVar w:name="strDocTypeID" w:val="PR_INI"/>
    <w:docVar w:name="strSubDir" w:val="1321"/>
    <w:docVar w:name="TITLEMNU" w:val=" 1"/>
    <w:docVar w:name="TXTLANGUE" w:val="RO"/>
    <w:docVar w:name="TXTLANGUEMIN" w:val="ro"/>
    <w:docVar w:name="TXTNRINI" w:val="2025/2095"/>
    <w:docVar w:name="TXTNRPE" w:val="774.256"/>
    <w:docVar w:name="TXTPEorAP" w:val="PE"/>
    <w:docVar w:name="TXTROUTE" w:val="PR\1321832RO.docx"/>
    <w:docVar w:name="TXTTITLE" w:val="Elaborar uma nova estratégia da UE de combate à pobreza"/>
    <w:docVar w:name="TXTVERSION" w:val="01-00"/>
  </w:docVars>
  <w:rsids>
    <w:rsidRoot w:val="00020BE8"/>
    <w:rsid w:val="00020BE8"/>
    <w:rsid w:val="00040EAC"/>
    <w:rsid w:val="00064102"/>
    <w:rsid w:val="0007541B"/>
    <w:rsid w:val="00082B37"/>
    <w:rsid w:val="000C172E"/>
    <w:rsid w:val="000D2631"/>
    <w:rsid w:val="000D73DB"/>
    <w:rsid w:val="00100069"/>
    <w:rsid w:val="001046B1"/>
    <w:rsid w:val="00105C44"/>
    <w:rsid w:val="00135ADC"/>
    <w:rsid w:val="001520AD"/>
    <w:rsid w:val="001763D6"/>
    <w:rsid w:val="001B207D"/>
    <w:rsid w:val="00211892"/>
    <w:rsid w:val="0023245A"/>
    <w:rsid w:val="002445C5"/>
    <w:rsid w:val="002544DF"/>
    <w:rsid w:val="00276B35"/>
    <w:rsid w:val="002B067A"/>
    <w:rsid w:val="00335F69"/>
    <w:rsid w:val="0036264C"/>
    <w:rsid w:val="00391A5A"/>
    <w:rsid w:val="00395A66"/>
    <w:rsid w:val="003E4507"/>
    <w:rsid w:val="003E6413"/>
    <w:rsid w:val="004016B4"/>
    <w:rsid w:val="004200B3"/>
    <w:rsid w:val="00432B50"/>
    <w:rsid w:val="00455003"/>
    <w:rsid w:val="00466A1A"/>
    <w:rsid w:val="004F4329"/>
    <w:rsid w:val="005178FF"/>
    <w:rsid w:val="00531F4C"/>
    <w:rsid w:val="00576074"/>
    <w:rsid w:val="00584A07"/>
    <w:rsid w:val="006272CD"/>
    <w:rsid w:val="00645EF4"/>
    <w:rsid w:val="006559D4"/>
    <w:rsid w:val="00697A61"/>
    <w:rsid w:val="00705D44"/>
    <w:rsid w:val="00724C82"/>
    <w:rsid w:val="00726C82"/>
    <w:rsid w:val="0079609D"/>
    <w:rsid w:val="007963C6"/>
    <w:rsid w:val="007E3F57"/>
    <w:rsid w:val="00865656"/>
    <w:rsid w:val="008C4C65"/>
    <w:rsid w:val="0090583E"/>
    <w:rsid w:val="00946E10"/>
    <w:rsid w:val="0095316A"/>
    <w:rsid w:val="0095536F"/>
    <w:rsid w:val="00956282"/>
    <w:rsid w:val="009734EF"/>
    <w:rsid w:val="00996AC6"/>
    <w:rsid w:val="009C4E01"/>
    <w:rsid w:val="009E4ABB"/>
    <w:rsid w:val="00A17A4A"/>
    <w:rsid w:val="00A45202"/>
    <w:rsid w:val="00A81450"/>
    <w:rsid w:val="00AB1DFA"/>
    <w:rsid w:val="00AC0E3D"/>
    <w:rsid w:val="00AD0B32"/>
    <w:rsid w:val="00AF310F"/>
    <w:rsid w:val="00B17532"/>
    <w:rsid w:val="00B968F8"/>
    <w:rsid w:val="00BA2A57"/>
    <w:rsid w:val="00BA5076"/>
    <w:rsid w:val="00BB70F1"/>
    <w:rsid w:val="00BC7C60"/>
    <w:rsid w:val="00BE7D08"/>
    <w:rsid w:val="00C00074"/>
    <w:rsid w:val="00C21C5F"/>
    <w:rsid w:val="00C37139"/>
    <w:rsid w:val="00C85D0F"/>
    <w:rsid w:val="00C93A60"/>
    <w:rsid w:val="00CB3D25"/>
    <w:rsid w:val="00CC3657"/>
    <w:rsid w:val="00CD2B78"/>
    <w:rsid w:val="00CD3E8A"/>
    <w:rsid w:val="00CE60E7"/>
    <w:rsid w:val="00D31D25"/>
    <w:rsid w:val="00D40CAD"/>
    <w:rsid w:val="00D47BB0"/>
    <w:rsid w:val="00D64FC5"/>
    <w:rsid w:val="00D8484E"/>
    <w:rsid w:val="00DB4680"/>
    <w:rsid w:val="00DD7B9D"/>
    <w:rsid w:val="00E155CA"/>
    <w:rsid w:val="00E3537C"/>
    <w:rsid w:val="00E61690"/>
    <w:rsid w:val="00EC7952"/>
    <w:rsid w:val="00EF314B"/>
    <w:rsid w:val="00F076A5"/>
    <w:rsid w:val="00F3651F"/>
    <w:rsid w:val="00F714A9"/>
    <w:rsid w:val="00FD3897"/>
    <w:rsid w:val="00FE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03DFDB"/>
  <w15:chartTrackingRefBased/>
  <w15:docId w15:val="{83F3DF31-8E49-4A70-B43B-404355EF9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o-RO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245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7963C6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2544D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584A07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B17532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584A0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105C44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E353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E3537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E3537C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E3537C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544D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544DF"/>
    <w:pPr>
      <w:jc w:val="right"/>
    </w:pPr>
  </w:style>
  <w:style w:type="paragraph" w:customStyle="1" w:styleId="EPFooter">
    <w:name w:val="EPFooter"/>
    <w:basedOn w:val="Normal"/>
    <w:rsid w:val="00584A0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105C44"/>
    <w:rPr>
      <w:sz w:val="24"/>
    </w:rPr>
  </w:style>
  <w:style w:type="paragraph" w:customStyle="1" w:styleId="EPComma">
    <w:name w:val="EPComma"/>
    <w:basedOn w:val="Normal"/>
    <w:rsid w:val="00432B50"/>
    <w:pPr>
      <w:spacing w:before="480" w:after="240"/>
    </w:pPr>
  </w:style>
  <w:style w:type="paragraph" w:customStyle="1" w:styleId="Normal12a">
    <w:name w:val="Normal12a"/>
    <w:basedOn w:val="Normal"/>
    <w:rsid w:val="00276B35"/>
    <w:pPr>
      <w:spacing w:after="240"/>
    </w:pPr>
  </w:style>
  <w:style w:type="paragraph" w:customStyle="1" w:styleId="CoverNormal12a">
    <w:name w:val="CoverNormal12a"/>
    <w:basedOn w:val="Normal"/>
    <w:rsid w:val="00C21C5F"/>
    <w:pPr>
      <w:spacing w:after="240"/>
      <w:ind w:left="1418"/>
    </w:p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BE7D08"/>
    <w:rPr>
      <w:rFonts w:ascii="Arial" w:hAnsi="Arial"/>
      <w:b/>
      <w:i/>
      <w:sz w:val="24"/>
      <w:lang w:val="ro-RO"/>
    </w:rPr>
  </w:style>
  <w:style w:type="paragraph" w:styleId="NormalWeb">
    <w:name w:val="Normal (Web)"/>
    <w:basedOn w:val="Normal"/>
    <w:uiPriority w:val="99"/>
    <w:unhideWhenUsed/>
    <w:qFormat/>
    <w:rsid w:val="00BE7D08"/>
    <w:pPr>
      <w:widowControl/>
      <w:suppressAutoHyphens/>
      <w:spacing w:before="100" w:beforeAutospacing="1" w:after="100" w:afterAutospacing="1"/>
    </w:pPr>
    <w:rPr>
      <w:szCs w:val="24"/>
    </w:rPr>
  </w:style>
  <w:style w:type="paragraph" w:styleId="ListParagraph">
    <w:name w:val="List Paragraph"/>
    <w:basedOn w:val="Normal"/>
    <w:uiPriority w:val="34"/>
    <w:qFormat/>
    <w:rsid w:val="00BE7D08"/>
    <w:pPr>
      <w:widowControl/>
      <w:suppressAutoHyphens/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oceo-line-height-base">
    <w:name w:val="doceo-line-height-base"/>
    <w:basedOn w:val="Normal"/>
    <w:uiPriority w:val="99"/>
    <w:qFormat/>
    <w:rsid w:val="00BE7D08"/>
    <w:pPr>
      <w:widowControl/>
      <w:suppressAutoHyphens/>
      <w:spacing w:before="100" w:beforeAutospacing="1" w:after="100" w:afterAutospacing="1"/>
    </w:pPr>
    <w:rPr>
      <w:szCs w:val="24"/>
    </w:rPr>
  </w:style>
  <w:style w:type="character" w:customStyle="1" w:styleId="doceo-font-family-base">
    <w:name w:val="doceo-font-family-base"/>
    <w:basedOn w:val="DefaultParagraphFont"/>
    <w:qFormat/>
    <w:rsid w:val="00BE7D08"/>
  </w:style>
  <w:style w:type="paragraph" w:styleId="Footer">
    <w:name w:val="footer"/>
    <w:basedOn w:val="Normal"/>
    <w:link w:val="FooterChar"/>
    <w:semiHidden/>
    <w:rsid w:val="00B968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B968F8"/>
    <w:rPr>
      <w:sz w:val="24"/>
      <w:lang w:val="ro-RO"/>
    </w:rPr>
  </w:style>
  <w:style w:type="paragraph" w:styleId="BalloonText">
    <w:name w:val="Balloon Text"/>
    <w:basedOn w:val="Normal"/>
    <w:link w:val="BalloonTextChar"/>
    <w:semiHidden/>
    <w:unhideWhenUsed/>
    <w:rsid w:val="00724C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24C82"/>
    <w:rPr>
      <w:rFonts w:ascii="Segoe UI" w:hAnsi="Segoe UI" w:cs="Segoe UI"/>
      <w:sz w:val="18"/>
      <w:szCs w:val="18"/>
      <w:lang w:val="ro-RO"/>
    </w:rPr>
  </w:style>
  <w:style w:type="paragraph" w:styleId="Revision">
    <w:name w:val="Revision"/>
    <w:hidden/>
    <w:uiPriority w:val="99"/>
    <w:semiHidden/>
    <w:rsid w:val="00AB1DF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3649</Words>
  <Characters>21530</Characters>
  <Application>Microsoft Office Word</Application>
  <DocSecurity>0</DocSecurity>
  <Lines>347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</vt:lpstr>
    </vt:vector>
  </TitlesOfParts>
  <Company/>
  <LinksUpToDate>false</LinksUpToDate>
  <CharactersWithSpaces>25037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TROCH Nicolas</dc:creator>
  <cp:lastModifiedBy>MACKEVIČ Vladislav</cp:lastModifiedBy>
  <cp:revision>2</cp:revision>
  <cp:lastPrinted>2004-12-08T15:27:00Z</cp:lastPrinted>
  <dcterms:created xsi:type="dcterms:W3CDTF">2025-06-18T08:50:00Z</dcterms:created>
  <dcterms:modified xsi:type="dcterms:W3CDTF">2025-06-18T08:50:00Z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1321832</vt:lpwstr>
  </property>
  <property fmtid="{D5CDD505-2E9C-101B-9397-08002B2CF9AE}" pid="4" name="&lt;Model&gt;">
    <vt:lpwstr>PR_INI</vt:lpwstr>
  </property>
  <property fmtid="{D5CDD505-2E9C-101B-9397-08002B2CF9AE}" pid="5" name="&lt;ModelCod&gt;">
    <vt:lpwstr>\\eiciBRUpr1\pdocep$\DocEP\DOCS\General\PR\PR_NonLeg\INI\PR_INI.dotx(18/02/2025 09:53:03)</vt:lpwstr>
  </property>
  <property fmtid="{D5CDD505-2E9C-101B-9397-08002B2CF9AE}" pid="6" name="&lt;ModelTra&gt;">
    <vt:lpwstr>\\eiciBRUpr1\pdocep$\DocEP\TRANSFIL\PT\PR_INI.PT(18/02/2025 09:54:09)</vt:lpwstr>
  </property>
  <property fmtid="{D5CDD505-2E9C-101B-9397-08002B2CF9AE}" pid="7" name="&lt;Type&gt;">
    <vt:lpwstr>PR</vt:lpwstr>
  </property>
  <property fmtid="{D5CDD505-2E9C-101B-9397-08002B2CF9AE}" pid="8" name="Created with">
    <vt:lpwstr>10.1.0 Build [20250401]</vt:lpwstr>
  </property>
  <property fmtid="{D5CDD505-2E9C-101B-9397-08002B2CF9AE}" pid="9" name="FooterPath">
    <vt:lpwstr>PR\1321832RO.docx</vt:lpwstr>
  </property>
  <property fmtid="{D5CDD505-2E9C-101B-9397-08002B2CF9AE}" pid="10" name="LastEdited with">
    <vt:lpwstr>10.1.1 Build [20250421]</vt:lpwstr>
  </property>
  <property fmtid="{D5CDD505-2E9C-101B-9397-08002B2CF9AE}" pid="11" name="OriLang">
    <vt:lpwstr>PT</vt:lpwstr>
  </property>
  <property fmtid="{D5CDD505-2E9C-101B-9397-08002B2CF9AE}" pid="12" name="PE number">
    <vt:lpwstr>774.256</vt:lpwstr>
  </property>
  <property fmtid="{D5CDD505-2E9C-101B-9397-08002B2CF9AE}" pid="13" name="SDLStudio">
    <vt:lpwstr/>
  </property>
  <property fmtid="{D5CDD505-2E9C-101B-9397-08002B2CF9AE}" pid="14" name="SendToEpades">
    <vt:lpwstr>OK - 2025/06/03 12:01</vt:lpwstr>
  </property>
  <property fmtid="{D5CDD505-2E9C-101B-9397-08002B2CF9AE}" pid="15" name="Bookout">
    <vt:lpwstr>OK - 2025/06/18 10:50</vt:lpwstr>
  </property>
</Properties>
</file>