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B4F2F" w:rsidRPr="0016228B" w:rsidTr="00D13769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16228B" w:rsidRDefault="009921C7" w:rsidP="00D13769">
            <w:pPr>
              <w:pStyle w:val="EPName"/>
            </w:pPr>
            <w:bookmarkStart w:id="0" w:name="_GoBack"/>
            <w:bookmarkEnd w:id="0"/>
            <w:r w:rsidRPr="0016228B">
              <w:t>Euroopan parlamentti</w:t>
            </w:r>
          </w:p>
          <w:p w:rsidR="00B13D6F" w:rsidRPr="0016228B" w:rsidRDefault="009921C7" w:rsidP="00DD2BD1">
            <w:pPr>
              <w:pStyle w:val="EPTerm"/>
            </w:pPr>
            <w:r w:rsidRPr="0016228B">
              <w:t>2024-2029</w:t>
            </w:r>
          </w:p>
        </w:tc>
        <w:tc>
          <w:tcPr>
            <w:tcW w:w="2268" w:type="dxa"/>
            <w:shd w:val="clear" w:color="auto" w:fill="auto"/>
          </w:tcPr>
          <w:p w:rsidR="00B13D6F" w:rsidRPr="0016228B" w:rsidRDefault="009921C7" w:rsidP="00D13769">
            <w:pPr>
              <w:pStyle w:val="EPLogo"/>
            </w:pPr>
            <w:r w:rsidRPr="0016228B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16228B" w:rsidRDefault="00461601" w:rsidP="00461601">
      <w:pPr>
        <w:pStyle w:val="LineTop"/>
      </w:pPr>
    </w:p>
    <w:p w:rsidR="00461601" w:rsidRPr="0016228B" w:rsidRDefault="009921C7" w:rsidP="00461601">
      <w:pPr>
        <w:pStyle w:val="EPBody"/>
      </w:pPr>
      <w:r w:rsidRPr="0016228B">
        <w:rPr>
          <w:rStyle w:val="HideTWBExt"/>
        </w:rPr>
        <w:t>&lt;</w:t>
      </w:r>
      <w:r w:rsidRPr="0016228B">
        <w:rPr>
          <w:rStyle w:val="HideTWBExt"/>
          <w:i w:val="0"/>
        </w:rPr>
        <w:t>Commission</w:t>
      </w:r>
      <w:r w:rsidRPr="0016228B">
        <w:rPr>
          <w:rStyle w:val="HideTWBExt"/>
        </w:rPr>
        <w:t>&gt;</w:t>
      </w:r>
      <w:r w:rsidRPr="0016228B">
        <w:rPr>
          <w:rStyle w:val="HideTWBInt"/>
          <w:color w:val="auto"/>
        </w:rPr>
        <w:t>{EMPL}</w:t>
      </w:r>
      <w:r w:rsidRPr="0016228B">
        <w:t>Työllisyyden ja sosiaaliasioiden valiokunta</w:t>
      </w:r>
      <w:r w:rsidRPr="0016228B">
        <w:rPr>
          <w:rStyle w:val="HideTWBExt"/>
        </w:rPr>
        <w:t>&lt;/</w:t>
      </w:r>
      <w:r w:rsidRPr="0016228B">
        <w:rPr>
          <w:rStyle w:val="HideTWBExt"/>
          <w:i w:val="0"/>
        </w:rPr>
        <w:t>Commission</w:t>
      </w:r>
      <w:r w:rsidRPr="0016228B">
        <w:rPr>
          <w:rStyle w:val="HideTWBExt"/>
        </w:rPr>
        <w:t>&gt;</w:t>
      </w:r>
    </w:p>
    <w:p w:rsidR="00461601" w:rsidRPr="0016228B" w:rsidRDefault="00461601" w:rsidP="00461601">
      <w:pPr>
        <w:pStyle w:val="LineBottom"/>
      </w:pPr>
    </w:p>
    <w:p w:rsidR="00793EA9" w:rsidRPr="0016228B" w:rsidRDefault="009921C7">
      <w:pPr>
        <w:pStyle w:val="CoverReference"/>
      </w:pPr>
      <w:r w:rsidRPr="0016228B">
        <w:rPr>
          <w:rStyle w:val="HideTWBExt"/>
          <w:b w:val="0"/>
        </w:rPr>
        <w:t>&lt;RefProc&gt;</w:t>
      </w:r>
      <w:r w:rsidRPr="0016228B">
        <w:t>2025/0073</w:t>
      </w:r>
      <w:r w:rsidRPr="0016228B">
        <w:rPr>
          <w:rStyle w:val="HideTWBExt"/>
          <w:b w:val="0"/>
        </w:rPr>
        <w:t>&lt;/RefProc&gt;&lt;RefTypeProc&gt;</w:t>
      </w:r>
      <w:r w:rsidRPr="0016228B">
        <w:t>(COD)</w:t>
      </w:r>
      <w:r w:rsidRPr="0016228B">
        <w:rPr>
          <w:rStyle w:val="HideTWBExt"/>
          <w:b w:val="0"/>
        </w:rPr>
        <w:t>&lt;/RefTypeProc&gt;</w:t>
      </w:r>
    </w:p>
    <w:p w:rsidR="00793EA9" w:rsidRPr="0016228B" w:rsidRDefault="009921C7">
      <w:pPr>
        <w:pStyle w:val="CoverDate"/>
      </w:pPr>
      <w:r w:rsidRPr="0016228B">
        <w:rPr>
          <w:rStyle w:val="HideTWBExt"/>
        </w:rPr>
        <w:t>&lt;Date&gt;</w:t>
      </w:r>
      <w:r w:rsidRPr="0016228B">
        <w:rPr>
          <w:rStyle w:val="HideTWBInt"/>
          <w:color w:val="auto"/>
        </w:rPr>
        <w:t>{30/06/2025}</w:t>
      </w:r>
      <w:r w:rsidRPr="0016228B">
        <w:t>30.6.2025</w:t>
      </w:r>
      <w:r w:rsidRPr="0016228B">
        <w:rPr>
          <w:rStyle w:val="HideTWBExt"/>
        </w:rPr>
        <w:t>&lt;/Date&gt;</w:t>
      </w:r>
    </w:p>
    <w:p w:rsidR="00793EA9" w:rsidRPr="0016228B" w:rsidRDefault="009921C7">
      <w:pPr>
        <w:pStyle w:val="CoverDocType"/>
      </w:pPr>
      <w:r w:rsidRPr="0016228B">
        <w:rPr>
          <w:rStyle w:val="HideTWBExt"/>
          <w:b w:val="0"/>
        </w:rPr>
        <w:t>&lt;RefProcLect&gt;</w:t>
      </w:r>
      <w:r w:rsidRPr="0016228B">
        <w:t>***I</w:t>
      </w:r>
      <w:r w:rsidRPr="0016228B">
        <w:rPr>
          <w:rStyle w:val="HideTWBExt"/>
          <w:b w:val="0"/>
        </w:rPr>
        <w:t>&lt;/RefProcLect&gt;</w:t>
      </w:r>
    </w:p>
    <w:p w:rsidR="00793EA9" w:rsidRPr="0016228B" w:rsidRDefault="009921C7">
      <w:pPr>
        <w:pStyle w:val="CoverDocType24a"/>
      </w:pPr>
      <w:r w:rsidRPr="0016228B">
        <w:rPr>
          <w:rStyle w:val="HideTWBExt"/>
          <w:b w:val="0"/>
        </w:rPr>
        <w:t>&lt;TitreType&gt;</w:t>
      </w:r>
      <w:r w:rsidRPr="0016228B">
        <w:t>MIETINTÖLUONNOS</w:t>
      </w:r>
      <w:r w:rsidRPr="0016228B">
        <w:rPr>
          <w:rStyle w:val="HideTWBExt"/>
          <w:b w:val="0"/>
        </w:rPr>
        <w:t>&lt;/TitreType&gt;</w:t>
      </w:r>
    </w:p>
    <w:p w:rsidR="00793EA9" w:rsidRPr="0016228B" w:rsidRDefault="009921C7">
      <w:pPr>
        <w:pStyle w:val="CoverNormal"/>
      </w:pPr>
      <w:r w:rsidRPr="0016228B">
        <w:rPr>
          <w:rStyle w:val="HideTWBExt"/>
        </w:rPr>
        <w:t>&lt;Titre&gt;</w:t>
      </w:r>
      <w:r w:rsidRPr="0016228B">
        <w:t>ehdotuksesta Euroopan parlamentin ja neuvoston asetukseksi asetuksen (EU) 2021/691 muuttamisesta siltä osin kuin on kyse sellaisten työntekijöiden tukemisesta, joita uhkaa välitön työpaikan menettäminen rakenneuudistusten</w:t>
      </w:r>
      <w:r w:rsidRPr="0016228B">
        <w:t xml:space="preserve"> kohteena olevissa yrityksissä</w:t>
      </w:r>
      <w:r w:rsidRPr="0016228B">
        <w:rPr>
          <w:rStyle w:val="HideTWBExt"/>
        </w:rPr>
        <w:t>&lt;/Titre&gt;</w:t>
      </w:r>
    </w:p>
    <w:p w:rsidR="00793EA9" w:rsidRPr="0016228B" w:rsidRDefault="009921C7">
      <w:pPr>
        <w:pStyle w:val="CoverNormal24a"/>
      </w:pPr>
      <w:r w:rsidRPr="0016228B">
        <w:rPr>
          <w:rStyle w:val="HideTWBExt"/>
        </w:rPr>
        <w:t>&lt;DocRef&gt;</w:t>
      </w:r>
      <w:r w:rsidRPr="0016228B">
        <w:t>(COM(2025)0140 – C10</w:t>
      </w:r>
      <w:r w:rsidRPr="0016228B">
        <w:noBreakHyphen/>
        <w:t>0060/2025 – 2025/0073(COD))</w:t>
      </w:r>
      <w:r w:rsidRPr="0016228B">
        <w:rPr>
          <w:rStyle w:val="HideTWBExt"/>
        </w:rPr>
        <w:t>&lt;/DocRef&gt;</w:t>
      </w:r>
    </w:p>
    <w:p w:rsidR="00793EA9" w:rsidRPr="0016228B" w:rsidRDefault="009921C7">
      <w:pPr>
        <w:pStyle w:val="CoverNormal24a"/>
      </w:pPr>
      <w:r w:rsidRPr="0016228B">
        <w:rPr>
          <w:rStyle w:val="HideTWBExt"/>
        </w:rPr>
        <w:t>&lt;Commission&gt;</w:t>
      </w:r>
      <w:r w:rsidRPr="0016228B">
        <w:rPr>
          <w:rStyle w:val="HideTWBInt"/>
          <w:color w:val="auto"/>
        </w:rPr>
        <w:t>{EMPL}</w:t>
      </w:r>
      <w:r w:rsidRPr="0016228B">
        <w:t>Työllisyyden ja sosiaaliasioiden valiokunta</w:t>
      </w:r>
      <w:r w:rsidRPr="0016228B">
        <w:rPr>
          <w:rStyle w:val="HideTWBExt"/>
        </w:rPr>
        <w:t>&lt;/Commission&gt;</w:t>
      </w:r>
    </w:p>
    <w:p w:rsidR="00793EA9" w:rsidRPr="0016228B" w:rsidRDefault="009921C7">
      <w:pPr>
        <w:pStyle w:val="CoverNormal24a"/>
      </w:pPr>
      <w:r w:rsidRPr="0016228B">
        <w:t xml:space="preserve">Esittelijä: </w:t>
      </w:r>
      <w:r w:rsidRPr="0016228B">
        <w:rPr>
          <w:rStyle w:val="HideTWBExt"/>
        </w:rPr>
        <w:t>&lt;Depute&gt;</w:t>
      </w:r>
      <w:r w:rsidRPr="0016228B">
        <w:t>Liesbet Sommen</w:t>
      </w:r>
      <w:r w:rsidRPr="0016228B">
        <w:rPr>
          <w:rStyle w:val="HideTWBExt"/>
        </w:rPr>
        <w:t>&lt;/Depute&gt;</w:t>
      </w:r>
    </w:p>
    <w:p w:rsidR="001C5B44" w:rsidRPr="0016228B" w:rsidRDefault="001C5B44" w:rsidP="001C5B44">
      <w:pPr>
        <w:pStyle w:val="CoverNormal"/>
      </w:pPr>
    </w:p>
    <w:p w:rsidR="00DD2BD1" w:rsidRPr="0016228B" w:rsidRDefault="009921C7" w:rsidP="00D13769">
      <w:r w:rsidRPr="0016228B">
        <w:br w:type="page"/>
      </w:r>
      <w:r w:rsidRPr="0016228B">
        <w:lastRenderedPageBreak/>
        <w:fldChar w:fldCharType="begin"/>
      </w:r>
      <w:r w:rsidRPr="0016228B">
        <w:instrText xml:space="preserve"> TITLE  \* MERGEFORMAT </w:instrText>
      </w:r>
      <w:r w:rsidRPr="0016228B">
        <w:fldChar w:fldCharType="separate"/>
      </w:r>
      <w:r>
        <w:t>PR_COD_1amCom</w:t>
      </w:r>
      <w:r w:rsidRPr="0016228B">
        <w:fldChar w:fldCharType="end"/>
      </w:r>
    </w:p>
    <w:p w:rsidR="00DD2BD1" w:rsidRPr="0016228B" w:rsidRDefault="00DD2BD1" w:rsidP="00D13769"/>
    <w:p w:rsidR="00DD2BD1" w:rsidRPr="0016228B" w:rsidRDefault="00DD2BD1" w:rsidP="00D13769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3B4F2F" w:rsidRPr="0016228B">
        <w:tc>
          <w:tcPr>
            <w:tcW w:w="5811" w:type="dxa"/>
          </w:tcPr>
          <w:p w:rsidR="00DD2BD1" w:rsidRPr="0016228B" w:rsidRDefault="009921C7" w:rsidP="00D13769">
            <w:pPr>
              <w:pStyle w:val="Lgendetitre"/>
            </w:pPr>
            <w:r w:rsidRPr="0016228B">
              <w:t>Menettelyjen symbolit</w:t>
            </w:r>
          </w:p>
        </w:tc>
      </w:tr>
      <w:tr w:rsidR="003B4F2F" w:rsidRPr="0016228B" w:rsidTr="00D13769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DD2BD1" w:rsidRPr="0016228B" w:rsidRDefault="009921C7" w:rsidP="00D13769">
            <w:pPr>
              <w:pStyle w:val="Lgendesigne"/>
            </w:pPr>
            <w:r w:rsidRPr="0016228B">
              <w:tab/>
              <w:t>*</w:t>
            </w:r>
            <w:r w:rsidRPr="0016228B">
              <w:tab/>
              <w:t>Kuulemismenettely</w:t>
            </w:r>
          </w:p>
          <w:p w:rsidR="00DD2BD1" w:rsidRPr="0016228B" w:rsidRDefault="009921C7" w:rsidP="00D13769">
            <w:pPr>
              <w:pStyle w:val="Lgendesigne"/>
            </w:pPr>
            <w:r w:rsidRPr="0016228B">
              <w:tab/>
              <w:t>***</w:t>
            </w:r>
            <w:r w:rsidRPr="0016228B">
              <w:tab/>
              <w:t>Hyväksyntämenettely</w:t>
            </w:r>
          </w:p>
          <w:p w:rsidR="00DD2BD1" w:rsidRPr="0016228B" w:rsidRDefault="009921C7" w:rsidP="00D13769">
            <w:pPr>
              <w:pStyle w:val="Lgendesigne"/>
            </w:pPr>
            <w:r w:rsidRPr="0016228B">
              <w:tab/>
              <w:t>***I</w:t>
            </w:r>
            <w:r w:rsidRPr="0016228B">
              <w:tab/>
              <w:t>Tavallinen lainsäätämisjärjestys (ensimmäinen käsittely)</w:t>
            </w:r>
          </w:p>
          <w:p w:rsidR="00DD2BD1" w:rsidRPr="0016228B" w:rsidRDefault="009921C7" w:rsidP="00D13769">
            <w:pPr>
              <w:pStyle w:val="Lgendesigne"/>
            </w:pPr>
            <w:r w:rsidRPr="0016228B">
              <w:tab/>
              <w:t>***II</w:t>
            </w:r>
            <w:r w:rsidRPr="0016228B">
              <w:tab/>
              <w:t>Tavallinen lainsäätämisjärjestys (toinen käsittely)</w:t>
            </w:r>
          </w:p>
          <w:p w:rsidR="00DD2BD1" w:rsidRPr="0016228B" w:rsidRDefault="009921C7" w:rsidP="00D13769">
            <w:pPr>
              <w:pStyle w:val="Lgendesigne"/>
            </w:pPr>
            <w:r w:rsidRPr="0016228B">
              <w:tab/>
              <w:t>***III</w:t>
            </w:r>
            <w:r w:rsidRPr="0016228B">
              <w:tab/>
              <w:t>Tavallinen lainsäätämisjärjestys (kolm</w:t>
            </w:r>
            <w:r w:rsidRPr="0016228B">
              <w:t>as käsittely)</w:t>
            </w:r>
          </w:p>
          <w:p w:rsidR="00DD2BD1" w:rsidRPr="0016228B" w:rsidRDefault="00DD2BD1" w:rsidP="00D13769">
            <w:pPr>
              <w:pStyle w:val="Lgendestandard"/>
            </w:pPr>
          </w:p>
          <w:p w:rsidR="00DD2BD1" w:rsidRPr="0016228B" w:rsidRDefault="009921C7" w:rsidP="00D13769">
            <w:pPr>
              <w:pStyle w:val="Lgendestandard"/>
            </w:pPr>
            <w:r w:rsidRPr="0016228B">
              <w:t>(Menettely määräytyy säädösesityksessä ehdotetun oikeusperustan mukaan.)</w:t>
            </w:r>
          </w:p>
          <w:p w:rsidR="00DD2BD1" w:rsidRPr="0016228B" w:rsidRDefault="00DD2BD1" w:rsidP="00D13769">
            <w:pPr>
              <w:pStyle w:val="Lgendestandard"/>
            </w:pPr>
          </w:p>
        </w:tc>
      </w:tr>
    </w:tbl>
    <w:p w:rsidR="00DD2BD1" w:rsidRPr="0016228B" w:rsidRDefault="00DD2BD1" w:rsidP="00D13769"/>
    <w:p w:rsidR="00DD2BD1" w:rsidRPr="0016228B" w:rsidRDefault="00DD2BD1" w:rsidP="00D13769"/>
    <w:p w:rsidR="00DD2BD1" w:rsidRPr="0016228B" w:rsidRDefault="00DD2BD1" w:rsidP="00D13769"/>
    <w:p w:rsidR="00DD2BD1" w:rsidRPr="0016228B" w:rsidRDefault="00DD2BD1" w:rsidP="00D13769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3B4F2F" w:rsidRPr="0016228B">
        <w:tc>
          <w:tcPr>
            <w:tcW w:w="5811" w:type="dxa"/>
          </w:tcPr>
          <w:p w:rsidR="00DD2BD1" w:rsidRPr="0016228B" w:rsidRDefault="009921C7" w:rsidP="00D13769">
            <w:pPr>
              <w:pStyle w:val="Lgendetitre"/>
            </w:pPr>
            <w:r w:rsidRPr="0016228B">
              <w:t>Tarkistukset säädösesitykseen</w:t>
            </w:r>
          </w:p>
        </w:tc>
      </w:tr>
      <w:tr w:rsidR="003B4F2F" w:rsidRPr="0016228B" w:rsidTr="00D13769">
        <w:trPr>
          <w:trHeight w:val="4496"/>
        </w:trPr>
        <w:tc>
          <w:tcPr>
            <w:tcW w:w="5811" w:type="dxa"/>
          </w:tcPr>
          <w:p w:rsidR="00DD2BD1" w:rsidRPr="0016228B" w:rsidRDefault="009921C7" w:rsidP="00D13769">
            <w:pPr>
              <w:pStyle w:val="Lgendestandard"/>
              <w:rPr>
                <w:szCs w:val="24"/>
              </w:rPr>
            </w:pPr>
            <w:r w:rsidRPr="0016228B">
              <w:rPr>
                <w:b/>
              </w:rPr>
              <w:t>Palstoina esitettävät parlamentin tarkistukset</w:t>
            </w:r>
          </w:p>
          <w:p w:rsidR="00DD2BD1" w:rsidRPr="0016228B" w:rsidRDefault="00DD2BD1" w:rsidP="00D13769">
            <w:pPr>
              <w:pStyle w:val="Lgendestandard"/>
              <w:rPr>
                <w:szCs w:val="24"/>
              </w:rPr>
            </w:pPr>
          </w:p>
          <w:p w:rsidR="00DD2BD1" w:rsidRPr="0016228B" w:rsidRDefault="009921C7" w:rsidP="00D13769">
            <w:pPr>
              <w:pStyle w:val="Lgendestandard"/>
              <w:rPr>
                <w:szCs w:val="24"/>
              </w:rPr>
            </w:pPr>
            <w:r w:rsidRPr="0016228B">
              <w:t xml:space="preserve">Poistettava teksti merkitään vasempaan palstaan </w:t>
            </w:r>
            <w:r w:rsidRPr="0016228B">
              <w:rPr>
                <w:b/>
                <w:bCs/>
                <w:i/>
                <w:iCs/>
              </w:rPr>
              <w:t>lihavoidulla kursiivilla</w:t>
            </w:r>
            <w:r w:rsidRPr="0016228B">
              <w:t xml:space="preserve">. </w:t>
            </w:r>
            <w:r w:rsidRPr="0016228B">
              <w:t xml:space="preserve">Tekstiä korvattaessa muutosmerkinnät tehdään molempiin palstoihin </w:t>
            </w:r>
            <w:r w:rsidRPr="0016228B">
              <w:rPr>
                <w:b/>
                <w:bCs/>
                <w:i/>
                <w:iCs/>
              </w:rPr>
              <w:t>lihavoidulla kursiivilla</w:t>
            </w:r>
            <w:r w:rsidRPr="0016228B">
              <w:t xml:space="preserve">. Uusi teksti merkitään oikeaan palstaan </w:t>
            </w:r>
            <w:r w:rsidRPr="0016228B">
              <w:rPr>
                <w:b/>
                <w:bCs/>
                <w:i/>
                <w:iCs/>
              </w:rPr>
              <w:t>lihavoidulla kursiivilla</w:t>
            </w:r>
            <w:r w:rsidRPr="0016228B">
              <w:t>.</w:t>
            </w:r>
          </w:p>
          <w:p w:rsidR="00DD2BD1" w:rsidRPr="0016228B" w:rsidRDefault="00DD2BD1" w:rsidP="00D13769">
            <w:pPr>
              <w:pStyle w:val="Lgendestandard"/>
              <w:rPr>
                <w:szCs w:val="24"/>
              </w:rPr>
            </w:pPr>
          </w:p>
          <w:p w:rsidR="00DD2BD1" w:rsidRPr="0016228B" w:rsidRDefault="009921C7" w:rsidP="00D13769">
            <w:pPr>
              <w:pStyle w:val="Lgendestandard"/>
              <w:rPr>
                <w:szCs w:val="24"/>
              </w:rPr>
            </w:pPr>
            <w:r w:rsidRPr="0016228B">
              <w:t xml:space="preserve">Tarkistuksen tunnistetietojen ensimmäisellä ja toisella rivillä ilmoitetaan käsiteltävänä olevan </w:t>
            </w:r>
            <w:r w:rsidRPr="0016228B">
              <w:t>säädösesityksen kohta, jota tarkistetaan. Jos tarkistus koskee olemassa olevaa säädöstä, jota säädösesityksellä muutetaan, tunnistetietojen kolmannella rivillä ilmoitetaan muutettavan säädöksen tyyppi ja numero ja neljännellä rivillä tarkistettavan tekstin</w:t>
            </w:r>
            <w:r w:rsidRPr="0016228B">
              <w:t>kohdan paikannus.</w:t>
            </w:r>
          </w:p>
          <w:p w:rsidR="00DD2BD1" w:rsidRPr="0016228B" w:rsidRDefault="00DD2BD1" w:rsidP="00D13769">
            <w:pPr>
              <w:pStyle w:val="Lgendestandard"/>
              <w:rPr>
                <w:szCs w:val="24"/>
              </w:rPr>
            </w:pPr>
          </w:p>
          <w:p w:rsidR="00DD2BD1" w:rsidRPr="0016228B" w:rsidRDefault="009921C7" w:rsidP="00D13769">
            <w:pPr>
              <w:pStyle w:val="Lgendestandard"/>
              <w:rPr>
                <w:b/>
                <w:szCs w:val="24"/>
              </w:rPr>
            </w:pPr>
            <w:r w:rsidRPr="0016228B">
              <w:rPr>
                <w:b/>
              </w:rPr>
              <w:t>Konsolidoituna tekstinä esitettävät parlamentin tarkistukset</w:t>
            </w:r>
          </w:p>
          <w:p w:rsidR="00DD2BD1" w:rsidRPr="0016228B" w:rsidRDefault="00DD2BD1" w:rsidP="00D13769">
            <w:pPr>
              <w:pStyle w:val="Lgendestandard"/>
              <w:rPr>
                <w:szCs w:val="24"/>
              </w:rPr>
            </w:pPr>
          </w:p>
          <w:p w:rsidR="00DD2BD1" w:rsidRPr="0016228B" w:rsidRDefault="009921C7" w:rsidP="00D13769">
            <w:pPr>
              <w:pStyle w:val="Lgendestandard"/>
              <w:rPr>
                <w:szCs w:val="24"/>
              </w:rPr>
            </w:pPr>
            <w:r w:rsidRPr="0016228B">
              <w:t>Uusi teksti merkitään</w:t>
            </w:r>
            <w:r w:rsidRPr="0016228B">
              <w:rPr>
                <w:b/>
                <w:bCs/>
                <w:i/>
                <w:iCs/>
              </w:rPr>
              <w:t xml:space="preserve"> lihavoidulla kursiivilla</w:t>
            </w:r>
            <w:r w:rsidRPr="0016228B">
              <w:t>. Poistettava teksti merkitään symbolilla ▌tai yliviivauksella. Tekstiä korvattaessa muutosmerkinnät tehdään siten, että uusi tek</w:t>
            </w:r>
            <w:r w:rsidRPr="0016228B">
              <w:t xml:space="preserve">sti merkitään </w:t>
            </w:r>
            <w:r w:rsidRPr="0016228B">
              <w:rPr>
                <w:b/>
                <w:bCs/>
                <w:i/>
                <w:iCs/>
              </w:rPr>
              <w:t>lihavoidulla kursiivilla</w:t>
            </w:r>
            <w:r w:rsidRPr="0016228B">
              <w:t xml:space="preserve"> ja korvattava teksti poistetaan tai viivataan yli. </w:t>
            </w:r>
          </w:p>
          <w:p w:rsidR="00DD2BD1" w:rsidRPr="0016228B" w:rsidRDefault="009921C7" w:rsidP="00D13769">
            <w:pPr>
              <w:pStyle w:val="Lgendestandard"/>
            </w:pPr>
            <w:r w:rsidRPr="0016228B">
              <w:t>Parlamentin yksiköiden tekemiä lopullisen tekstin teknisiä muutoksia ei merkitä.</w:t>
            </w:r>
          </w:p>
          <w:p w:rsidR="00DD2BD1" w:rsidRPr="0016228B" w:rsidRDefault="00DD2BD1" w:rsidP="00D13769">
            <w:pPr>
              <w:pStyle w:val="Lgendestandard"/>
            </w:pPr>
          </w:p>
        </w:tc>
      </w:tr>
    </w:tbl>
    <w:p w:rsidR="00DD2BD1" w:rsidRPr="0016228B" w:rsidRDefault="00DD2BD1" w:rsidP="00D13769"/>
    <w:p w:rsidR="00793EA9" w:rsidRPr="0016228B" w:rsidRDefault="00793EA9" w:rsidP="00012351">
      <w:pPr>
        <w:widowControl/>
        <w:tabs>
          <w:tab w:val="center" w:pos="4677"/>
        </w:tabs>
      </w:pPr>
    </w:p>
    <w:p w:rsidR="00793EA9" w:rsidRPr="0016228B" w:rsidRDefault="009921C7">
      <w:pPr>
        <w:pStyle w:val="TOCHeading"/>
      </w:pPr>
      <w:r w:rsidRPr="0016228B">
        <w:br w:type="page"/>
      </w:r>
      <w:r w:rsidRPr="0016228B">
        <w:lastRenderedPageBreak/>
        <w:t>SISÄLTÖ</w:t>
      </w:r>
    </w:p>
    <w:p w:rsidR="00793EA9" w:rsidRPr="0016228B" w:rsidRDefault="009921C7">
      <w:pPr>
        <w:pStyle w:val="TOCPage"/>
      </w:pPr>
      <w:r w:rsidRPr="0016228B">
        <w:t>Sivu</w:t>
      </w:r>
    </w:p>
    <w:p w:rsidR="009921C7" w:rsidRDefault="009921C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16228B">
        <w:rPr>
          <w:b/>
        </w:rPr>
        <w:fldChar w:fldCharType="begin"/>
      </w:r>
      <w:r w:rsidRPr="0016228B">
        <w:rPr>
          <w:b/>
        </w:rPr>
        <w:instrText xml:space="preserve"> TOC \t "PageHeading</w:instrText>
      </w:r>
      <w:r w:rsidR="0020237B" w:rsidRPr="0016228B">
        <w:rPr>
          <w:b/>
        </w:rPr>
        <w:instrText>;</w:instrText>
      </w:r>
      <w:r w:rsidRPr="0016228B">
        <w:rPr>
          <w:b/>
        </w:rPr>
        <w:instrText xml:space="preserve">1" </w:instrText>
      </w:r>
      <w:r w:rsidRPr="0016228B">
        <w:rPr>
          <w:b/>
        </w:rPr>
        <w:fldChar w:fldCharType="separate"/>
      </w:r>
      <w:r>
        <w:rPr>
          <w:noProof/>
        </w:rPr>
        <w:t>LUONNOS EUROOPAN PARLAMENTIN LAINSÄÄDÄNTÖPÄÄTÖSLAUSELMAKSI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_Toc203376562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921C7" w:rsidRDefault="009921C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PERUSTELUT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_Toc203376563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921C7" w:rsidRDefault="009921C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LIITE: YHTEISÖT TAI HENKILÖT, JOILTA ESITTELIJÄ ON SAANUT TIETOJA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_Toc203376564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346B0" w:rsidRPr="0016228B" w:rsidRDefault="009921C7" w:rsidP="00C23324">
      <w:r w:rsidRPr="0016228B">
        <w:rPr>
          <w:b/>
        </w:rPr>
        <w:fldChar w:fldCharType="end"/>
      </w:r>
    </w:p>
    <w:p w:rsidR="00793EA9" w:rsidRPr="0016228B" w:rsidRDefault="009921C7">
      <w:pPr>
        <w:pStyle w:val="PageHeading"/>
      </w:pPr>
      <w:r w:rsidRPr="0016228B">
        <w:br w:type="page"/>
      </w:r>
      <w:r w:rsidRPr="0016228B">
        <w:lastRenderedPageBreak/>
        <w:br w:type="page"/>
      </w:r>
      <w:bookmarkStart w:id="1" w:name="_Toc203376562"/>
      <w:r w:rsidRPr="0016228B">
        <w:lastRenderedPageBreak/>
        <w:t>LUONNOS EUROOPAN PARLAMENTIN LAINSÄÄDÄNTÖPÄÄTÖSLAUSELMAKSI</w:t>
      </w:r>
      <w:bookmarkEnd w:id="1"/>
    </w:p>
    <w:p w:rsidR="00793EA9" w:rsidRPr="0016228B" w:rsidRDefault="009921C7">
      <w:pPr>
        <w:pStyle w:val="NormalBold"/>
      </w:pPr>
      <w:r w:rsidRPr="0016228B">
        <w:t xml:space="preserve">ehdotuksesta Euroopan parlamentin ja neuvoston </w:t>
      </w:r>
      <w:r w:rsidRPr="0016228B">
        <w:t>asetukseksi asetuksen (EU) 2021/691 muuttamisesta siltä osin kuin on kyse sellaisten työntekijöiden tukemisesta, joita uhkaa välitön työpaikan menettäminen rakenneuudistusten kohteena olevissa yrityksissä</w:t>
      </w:r>
    </w:p>
    <w:p w:rsidR="00793EA9" w:rsidRPr="0016228B" w:rsidRDefault="009921C7">
      <w:pPr>
        <w:pStyle w:val="NormalBold12a"/>
      </w:pPr>
      <w:r w:rsidRPr="0016228B">
        <w:t>(COM(2025)0140 – C10</w:t>
      </w:r>
      <w:r w:rsidRPr="0016228B">
        <w:noBreakHyphen/>
        <w:t>0060/2025 – 2025/0073(COD))</w:t>
      </w:r>
    </w:p>
    <w:p w:rsidR="00793EA9" w:rsidRPr="0016228B" w:rsidRDefault="009921C7" w:rsidP="00A910C9">
      <w:pPr>
        <w:pStyle w:val="NormalBold"/>
      </w:pPr>
      <w:r w:rsidRPr="0016228B">
        <w:t>(T</w:t>
      </w:r>
      <w:r w:rsidRPr="0016228B">
        <w:t>avallinen lainsäätämisjärjestys: ensimmäinen käsittely)</w:t>
      </w:r>
    </w:p>
    <w:p w:rsidR="00793EA9" w:rsidRPr="0016228B" w:rsidRDefault="009921C7" w:rsidP="00A910C9">
      <w:pPr>
        <w:pStyle w:val="EPComma"/>
      </w:pPr>
      <w:r w:rsidRPr="0016228B">
        <w:rPr>
          <w:i/>
          <w:iCs/>
        </w:rPr>
        <w:t>Euroopan parlamentti</w:t>
      </w:r>
      <w:r w:rsidRPr="0016228B">
        <w:t>, joka</w:t>
      </w:r>
    </w:p>
    <w:p w:rsidR="00140BF3" w:rsidRPr="0016228B" w:rsidRDefault="009921C7" w:rsidP="00140BF3">
      <w:pPr>
        <w:pStyle w:val="NormalHanging12a"/>
      </w:pPr>
      <w:r w:rsidRPr="0016228B">
        <w:t>–</w:t>
      </w:r>
      <w:r w:rsidRPr="0016228B">
        <w:tab/>
        <w:t>ottaa huomioon komission ehdotuksen Euroopan parlamentille ja neuvostolle (COM(2025)0140),</w:t>
      </w:r>
    </w:p>
    <w:p w:rsidR="00140BF3" w:rsidRPr="0016228B" w:rsidRDefault="009921C7" w:rsidP="00140BF3">
      <w:pPr>
        <w:pStyle w:val="NormalHanging12a"/>
      </w:pPr>
      <w:r w:rsidRPr="0016228B">
        <w:t>–</w:t>
      </w:r>
      <w:r w:rsidRPr="0016228B">
        <w:tab/>
        <w:t>ottaa huomioon Euroopan unionin toiminnasta tehdyn sopimuksen 294 artiklan 2 k</w:t>
      </w:r>
      <w:r w:rsidRPr="0016228B">
        <w:t>ohdan ja 175 artiklan, joiden mukaisesti komissio on antanut ehdotuksen parlamentille (C10-0060/2025),</w:t>
      </w:r>
    </w:p>
    <w:p w:rsidR="00140BF3" w:rsidRPr="0016228B" w:rsidRDefault="009921C7" w:rsidP="00140BF3">
      <w:pPr>
        <w:pStyle w:val="NormalHanging12a"/>
      </w:pPr>
      <w:r w:rsidRPr="0016228B">
        <w:t>–</w:t>
      </w:r>
      <w:r w:rsidRPr="0016228B">
        <w:tab/>
        <w:t>ottaa huomioon Euroopan unionin toiminnasta tehdyn sopimuksen 294 artiklan 3 kohdan,</w:t>
      </w:r>
    </w:p>
    <w:p w:rsidR="00140BF3" w:rsidRPr="0016228B" w:rsidRDefault="009921C7" w:rsidP="00140BF3">
      <w:pPr>
        <w:pStyle w:val="NormalHanging12a"/>
      </w:pPr>
      <w:r w:rsidRPr="0016228B">
        <w:t>–</w:t>
      </w:r>
      <w:r w:rsidRPr="0016228B">
        <w:tab/>
        <w:t>ottaa huomioon budjettivaliokunnan talousarvionäkökohtia koskeva</w:t>
      </w:r>
      <w:r w:rsidRPr="0016228B">
        <w:t>n arvion,</w:t>
      </w:r>
    </w:p>
    <w:p w:rsidR="00140BF3" w:rsidRPr="0016228B" w:rsidRDefault="009921C7" w:rsidP="00140BF3">
      <w:pPr>
        <w:pStyle w:val="NormalHanging12a"/>
      </w:pPr>
      <w:r w:rsidRPr="0016228B">
        <w:t>–</w:t>
      </w:r>
      <w:r w:rsidRPr="0016228B">
        <w:tab/>
        <w:t>ottaa huomioon työjärjestyksen 60 ja 58 artiklan,</w:t>
      </w:r>
    </w:p>
    <w:p w:rsidR="00140BF3" w:rsidRPr="0016228B" w:rsidRDefault="009921C7" w:rsidP="00140BF3">
      <w:pPr>
        <w:pStyle w:val="NormalHanging12a"/>
      </w:pPr>
      <w:r w:rsidRPr="0016228B">
        <w:t>–</w:t>
      </w:r>
      <w:r w:rsidRPr="0016228B">
        <w:tab/>
        <w:t>ottaa huomioon Euroopan talous- ja sosiaalikomitean lausunnon,</w:t>
      </w:r>
      <w:r w:rsidRPr="0016228B">
        <w:rPr>
          <w:rStyle w:val="FootnoteReference"/>
        </w:rPr>
        <w:footnoteReference w:id="1"/>
      </w:r>
    </w:p>
    <w:p w:rsidR="00140BF3" w:rsidRPr="0016228B" w:rsidRDefault="009921C7" w:rsidP="00140BF3">
      <w:pPr>
        <w:pStyle w:val="NormalHanging12a"/>
      </w:pPr>
      <w:r w:rsidRPr="0016228B">
        <w:t>–</w:t>
      </w:r>
      <w:r w:rsidRPr="0016228B">
        <w:tab/>
        <w:t>ottavat huomioon alueiden komitean lausunnon</w:t>
      </w:r>
      <w:r w:rsidRPr="0016228B">
        <w:rPr>
          <w:rStyle w:val="FootnoteReference"/>
        </w:rPr>
        <w:footnoteReference w:id="2"/>
      </w:r>
      <w:r w:rsidRPr="0016228B">
        <w:t>,</w:t>
      </w:r>
    </w:p>
    <w:p w:rsidR="00140BF3" w:rsidRPr="0016228B" w:rsidRDefault="009921C7" w:rsidP="00140BF3">
      <w:pPr>
        <w:pStyle w:val="NormalHanging12a"/>
      </w:pPr>
      <w:r w:rsidRPr="0016228B">
        <w:t>–</w:t>
      </w:r>
      <w:r w:rsidRPr="0016228B">
        <w:tab/>
        <w:t>ottaa huomioon työllisyyden ja sosiaaliasioiden valiokunnan mietinnön (A10</w:t>
      </w:r>
      <w:r w:rsidRPr="0016228B">
        <w:noBreakHyphen/>
        <w:t>00</w:t>
      </w:r>
      <w:r w:rsidRPr="0016228B">
        <w:t>00/2025),</w:t>
      </w:r>
    </w:p>
    <w:p w:rsidR="009F6C2F" w:rsidRPr="0016228B" w:rsidRDefault="009921C7" w:rsidP="009F6C2F">
      <w:pPr>
        <w:pStyle w:val="NormalHanging12a"/>
      </w:pPr>
      <w:r w:rsidRPr="0016228B">
        <w:t>1.</w:t>
      </w:r>
      <w:r w:rsidRPr="0016228B">
        <w:tab/>
        <w:t>vahvistaa jäljempänä esitetyn ensimmäisen käsittelyn kannan;</w:t>
      </w:r>
    </w:p>
    <w:p w:rsidR="009F6C2F" w:rsidRPr="0016228B" w:rsidRDefault="009921C7" w:rsidP="009F6C2F">
      <w:pPr>
        <w:pStyle w:val="NormalHanging12a"/>
      </w:pPr>
      <w:r w:rsidRPr="0016228B">
        <w:t>2.</w:t>
      </w:r>
      <w:r w:rsidRPr="0016228B">
        <w:tab/>
        <w:t>kehottaa puhemiestä välittämään parlamentin kannan neuvostolle ja komissiolle sekä kansallisille parlamenteille.</w:t>
      </w:r>
    </w:p>
    <w:p w:rsidR="004C6C4F" w:rsidRPr="0016228B" w:rsidRDefault="009921C7">
      <w:pPr>
        <w:widowControl/>
      </w:pPr>
      <w:r w:rsidRPr="0016228B">
        <w:br w:type="page"/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lastRenderedPageBreak/>
        <w:t>&lt;RepeatBlock-Amend&gt;&lt;Amend&gt;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1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Johdanto-osan 6 kappale</w:t>
      </w:r>
      <w:r w:rsidRPr="0016228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</w:pPr>
            <w:r w:rsidRPr="0016228B">
              <w:t>(6)</w:t>
            </w:r>
            <w:r w:rsidRPr="0016228B">
              <w:tab/>
              <w:t xml:space="preserve">EGR:llä on edelleen tärkeä rooli joustavana välineenä, josta tuetaan työpaikkansa laajamittaisissa rakenneuudistuksissa menettäneitä työntekijöitä </w:t>
            </w:r>
            <w:r w:rsidRPr="0016228B">
              <w:t>ja autetaan heitä löytämään uusia työpaikkoja mahdollisimman pian. Unionin olisi jatkossakin tarjottava erityistä kertaluonteista tukea helpottamaan työttömiksi jääneiden työntekijöiden integroitumista uudelleen ihmisarvoiseen ja kestävään työhön alueilla,</w:t>
            </w:r>
            <w:r w:rsidRPr="0016228B">
              <w:t xml:space="preserve"> aloilla, toimialueilla tai työmarkkina-alueilla, joihin kohdistuu äkillinen vakava talouden häiriötila. EU:n on varmistettava vaurautensa ja kilpailukykynsä kestävällä tavalla niin, että se samalla säilyttää ainutlaatuisen sosiaalisen markkinataloutensa, </w:t>
            </w:r>
            <w:r w:rsidRPr="0016228B">
              <w:t>onnistuu vihreässä ja digitaalisessa siirtymässä sekä turvaa demokratiansa, taloudellinen turvallisuutensa ja geopoliittinen asemansa. Jotta voidaan turvata EU:n tulevaisuus talouden edelläkävijänä ja edistyä sekä digitaalisessa että vihreässä siirtymässä,</w:t>
            </w:r>
            <w:r w:rsidRPr="0016228B">
              <w:t xml:space="preserve"> on olennaisen tärkeää tukea työntekijöitä, joita uhkaa välitön työpaikan menettäminen rakenneuudistusten kohteena olevissa yrityksissä, jotta he voivat hankkia taitoja, jotka auttavat heitä siirtymään eri tehtävään tai uuteen työpaikkaan.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t>(6)</w:t>
            </w:r>
            <w:r w:rsidRPr="0016228B">
              <w:tab/>
              <w:t>EGR:llä on e</w:t>
            </w:r>
            <w:r w:rsidRPr="0016228B">
              <w:t>delleen tärkeä rooli joustavana välineenä, josta tuetaan työpaikkansa laajamittaisissa rakenneuudistuksissa menettäneitä työntekijöitä ja autetaan heitä löytämään uusia työpaikkoja mahdollisimman pian. Unionin olisi jatkossakin tarjottava erityistä kertalu</w:t>
            </w:r>
            <w:r w:rsidRPr="0016228B">
              <w:t>onteista tukea helpottamaan työttömiksi jääneiden työntekijöiden integroitumista uudelleen ihmisarvoiseen ja kestävään työhön alueilla, aloilla, toimialueilla tai työmarkkina-alueilla, joihin kohdistuu äkillinen vakava talouden häiriötila. EU:n on varmiste</w:t>
            </w:r>
            <w:r w:rsidRPr="0016228B">
              <w:t>ttava vaurautensa</w:t>
            </w:r>
            <w:r w:rsidRPr="0016228B">
              <w:rPr>
                <w:b/>
                <w:i/>
              </w:rPr>
              <w:t>, strateginen autonomiansa</w:t>
            </w:r>
            <w:r w:rsidRPr="0016228B">
              <w:t xml:space="preserve"> ja kilpailukykynsä kestävällä tavalla niin, että se samalla säilyttää ainutlaatuisen sosiaalisen markkinataloutensa, onnistuu vihreässä ja digitaalisessa siirtymässä sekä turvaa demokratiansa, taloudellinen turva</w:t>
            </w:r>
            <w:r w:rsidRPr="0016228B">
              <w:t>llisuutensa ja geopoliittinen asemansa.</w:t>
            </w:r>
            <w:r w:rsidRPr="0016228B">
              <w:rPr>
                <w:b/>
                <w:i/>
              </w:rPr>
              <w:t xml:space="preserve"> Vihreään ja digitaaliseen siirtymään liittyvä tuotantomallien muutos kulkee käsi kädessä rakenneuudistusprosessien kanssa, millä saattaa olla olennainen vaikutus kun halutaan varmistaa yrityksen taloudellinen kestävy</w:t>
            </w:r>
            <w:r w:rsidRPr="0016228B">
              <w:rPr>
                <w:b/>
                <w:i/>
              </w:rPr>
              <w:t>ys ja työllisyyden vakaus pitkällä tähtäimellä ja vahvistaa näin unionin kilpailukykyä ja suojata samalla työpaikkoja.</w:t>
            </w:r>
            <w:r w:rsidRPr="0016228B">
              <w:t xml:space="preserve"> Jotta voidaan turvata EU:n tulevaisuus talouden edelläkävijänä ja edistyä sekä digitaalisessa että vihreässä siirtymässä, on olennaisen t</w:t>
            </w:r>
            <w:r w:rsidRPr="0016228B">
              <w:t xml:space="preserve">ärkeää tukea työntekijöitä, joita uhkaa välitön työpaikan menettäminen rakenneuudistusten kohteena olevissa yrityksissä, jotta he voivat hankkia taitoja, jotka auttavat heitä siirtymään eri tehtävään tai uuteen työpaikkaan. </w:t>
            </w:r>
            <w:r w:rsidRPr="0016228B">
              <w:rPr>
                <w:b/>
                <w:i/>
              </w:rPr>
              <w:t>Jos rakenneuudistusprosessi vaik</w:t>
            </w:r>
            <w:r w:rsidRPr="0016228B">
              <w:rPr>
                <w:b/>
                <w:i/>
              </w:rPr>
              <w:t>uttaa yritysten suorien toimittajien tai jatkokäyttäjien toimintaan, tuen olisi oltava myös näiden yritysten palveluksessa olevien työntekijöiden saatavilla. Tällaisissa tapauksissa kyseisten yritysten olisi osoitettava todennettu syy-yhteys alkuperäisen r</w:t>
            </w:r>
            <w:r w:rsidRPr="0016228B">
              <w:rPr>
                <w:b/>
                <w:i/>
              </w:rPr>
              <w:t>akenneuudistusprosessin kanssa.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2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Johdanto-osan 7 kappale</w:t>
      </w:r>
      <w:r w:rsidRPr="0016228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</w:pPr>
            <w:r w:rsidRPr="0016228B">
              <w:t>(7)</w:t>
            </w:r>
            <w:r w:rsidRPr="0016228B">
              <w:tab/>
              <w:t>Sen vuoksi on tarpeen muuttaa</w:t>
            </w:r>
            <w:r w:rsidRPr="0016228B">
              <w:t xml:space="preserve"> asetusta (EU) 2021/691 siten, että EGR:stä voidaan tarjota tukea myös työntekijöille, joita uhkaa välitön työpaikan menettäminen rakenneuudistusten kohteena olevassa yrityksessä. Koska nämä työntekijät ovat edelleen työelämässä, heidän työnantajansa voi p</w:t>
            </w:r>
            <w:r w:rsidRPr="0016228B">
              <w:t>yytää tukea asianomaisten jäsenvaltioiden viranomaisten kautta. Koska EGR:ää hallinnoidaan yhteistyössä jäsenvaltioiden kanssa, jäsenvaltioiden viranomaiset voivat hakea EGR:n yhteisrahoitusta yrityksen pyynnöstä edellyttäen, että yritys suostuu antamaan k</w:t>
            </w:r>
            <w:r w:rsidRPr="0016228B">
              <w:t>ansallisen yhteisrahoitusosuuden. Jos EGR:n rahoitustukea myönnetään, asianomaisen jäsenvaltion olisi asetettava pyydetyt varat yrityksen saataville kahden viikon kuluessa niiden vastaanottamisesta. Yrityksen olisi toimitettava jäsenvaltiolle kaikki tiedot</w:t>
            </w:r>
            <w:r w:rsidRPr="0016228B">
              <w:t>, joita tarvitaan asianomaisen rahoitustuen täytäntöönpanoa koskevan loppukertomuksen laatimiseksi, kuuden kuukauden kuluessa tuen täytäntöönpanon päättymisestä. Komissio laatii edunsaajia koskevan selvityksen, ja yrityksen olisi asetettava selvitys ohjelm</w:t>
            </w:r>
            <w:r w:rsidRPr="0016228B">
              <w:t>aan osallistuneiden työntekijöiden saataville.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t>(7)</w:t>
            </w:r>
            <w:r w:rsidRPr="0016228B">
              <w:tab/>
              <w:t>Sen vuoksi on tarpeen muuttaa asetusta (EU) 2021/691 siten, että EGR:stä voidaan tarjota tukea myös työntekijöille, joita uhkaa välitön työpaikan menettäminen rakenneuudistusten kohteena olevassa yritykses</w:t>
            </w:r>
            <w:r w:rsidRPr="0016228B">
              <w:t>sä</w:t>
            </w:r>
            <w:r w:rsidRPr="0016228B">
              <w:rPr>
                <w:b/>
                <w:i/>
              </w:rPr>
              <w:t xml:space="preserve"> sen toimittajat ja jatkokäyttäjät mukaan lukien. Rakenneuudistuksen kohteena oleville yrityksille olisi osoitettava tukea ainoastaan, jos prosessi tukee vihreää ja digitaalista siirtymää, jotta voidaan varmistaa EGR:n tehokas varainkäyttö</w:t>
            </w:r>
            <w:r w:rsidRPr="0016228B">
              <w:t>. Koska nämä ty</w:t>
            </w:r>
            <w:r w:rsidRPr="0016228B">
              <w:t>öntekijät ovat edelleen työelämässä, heidän työnantajansa voi pyytää tukea asianomaisten jäsenvaltioiden viranomaisten kautta.</w:t>
            </w:r>
            <w:r w:rsidRPr="0016228B">
              <w:rPr>
                <w:b/>
                <w:i/>
              </w:rPr>
              <w:t xml:space="preserve"> Jäsenvaltion olisi sallittava kollektiivisten hakemusten jättäminen poikkeusperustein silloin, kun rakenneuudistusprosessi vaikut</w:t>
            </w:r>
            <w:r w:rsidRPr="0016228B">
              <w:rPr>
                <w:b/>
                <w:i/>
              </w:rPr>
              <w:t>taa useaan yritykseen.</w:t>
            </w:r>
            <w:r w:rsidRPr="0016228B">
              <w:t xml:space="preserve"> Koska EGR:ää hallinnoidaan yhteistyössä jäsenvaltioiden kanssa, jäsenvaltioiden viranomaiset voivat hakea EGR:n yhteisrahoitusta yrityksen pyynnöstä edellyttäen, että yritys suostuu antamaan kansallisen yhteisrahoitusosuuden. Jos EGR</w:t>
            </w:r>
            <w:r w:rsidRPr="0016228B">
              <w:t>:n rahoitustukea myönnetään, asianomaisen jäsenvaltion olisi asetettava pyydetyt varat yrityksen saataville</w:t>
            </w:r>
            <w:r w:rsidRPr="0016228B">
              <w:rPr>
                <w:b/>
                <w:i/>
              </w:rPr>
              <w:t xml:space="preserve"> mahdollisimman pian ja aina viimeistään</w:t>
            </w:r>
            <w:r w:rsidRPr="0016228B">
              <w:t xml:space="preserve"> kahden viikon kuluessa niiden vastaanottamisesta. Yrityksen olisi toimitettava jäsenvaltiolle kaikki tiedot,</w:t>
            </w:r>
            <w:r w:rsidRPr="0016228B">
              <w:t xml:space="preserve"> joita tarvitaan asianomaisen rahoitustuen täytäntöönpanoa koskevan loppukertomuksen laatimiseksi, kuuden kuukauden kuluessa tuen täytäntöönpanon päättymisestä. Komissio laatii edunsaajia koskevan selvityksen, ja yrityksen olisi asetettava selvitys ohjelma</w:t>
            </w:r>
            <w:r w:rsidRPr="0016228B">
              <w:t>an osallistuneiden työntekijöiden saataville.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3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Johdanto-osan 7 a kappale (uusi)</w:t>
      </w:r>
      <w:r w:rsidRPr="0016228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</w:tcPr>
          <w:p w:rsidR="00D656D1" w:rsidRPr="0016228B" w:rsidRDefault="00D656D1">
            <w:pPr>
              <w:pStyle w:val="Normal6"/>
            </w:pP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rPr>
                <w:b/>
                <w:i/>
              </w:rPr>
              <w:t>(7 a)</w:t>
            </w:r>
            <w:r w:rsidRPr="0016228B">
              <w:rPr>
                <w:b/>
                <w:i/>
              </w:rPr>
              <w:tab/>
            </w:r>
            <w:r w:rsidRPr="0016228B">
              <w:rPr>
                <w:b/>
                <w:i/>
              </w:rPr>
              <w:t>Työntekijät, joita uhkaa välitön työpaikan menettäminen, ovat edelleen työelämässä, joten heidät on pidettävä ajan tasalla rakenneuudistusprosessin aikana. Yritysten on tämän vuoksi noudatettava voimassa olevaa kansallista lainsäädäntöä työmarkkinaosapuolt</w:t>
            </w:r>
            <w:r w:rsidRPr="0016228B">
              <w:rPr>
                <w:b/>
                <w:i/>
              </w:rPr>
              <w:t>en vuoropuhelusta, työehtosopimusneuvotteluista ja ammattiliittojen osallistumisesta rakenneuudistusprosessiin kokonaisuudessaan sekä pannessa täytäntöön EGR:n varoin rahoitettuja kohdennettuja tukipaketteja.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4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Johdanto-osan 9 kappale</w:t>
      </w:r>
      <w:r w:rsidRPr="0016228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</w:pPr>
            <w:r w:rsidRPr="0016228B">
              <w:t>(9)</w:t>
            </w:r>
            <w:r w:rsidRPr="0016228B">
              <w:tab/>
              <w:t xml:space="preserve">Sellaisille työntekijöille </w:t>
            </w:r>
            <w:r w:rsidRPr="0016228B">
              <w:rPr>
                <w:b/>
                <w:i/>
              </w:rPr>
              <w:t>annettavassa tuessa</w:t>
            </w:r>
            <w:r w:rsidRPr="0016228B">
              <w:t xml:space="preserve">, joita uhkaa välitön työpaikan menettäminen rakenneuudistuksen kohteena olevassa yrityksessä, olisi </w:t>
            </w:r>
            <w:r w:rsidRPr="0016228B">
              <w:rPr>
                <w:b/>
                <w:i/>
              </w:rPr>
              <w:t>otettava huomioon</w:t>
            </w:r>
            <w:r w:rsidRPr="0016228B">
              <w:t xml:space="preserve"> kansallisten toimenpiteiden puitteissa saatavilla </w:t>
            </w:r>
            <w:r w:rsidRPr="0016228B">
              <w:rPr>
                <w:b/>
                <w:i/>
              </w:rPr>
              <w:t>olevat tukimuodot</w:t>
            </w:r>
            <w:r w:rsidRPr="0016228B">
              <w:t>. Työajan lyhentämisjärjestelyjen ei pitäisi olla oikeutettuja EGR:n t</w:t>
            </w:r>
            <w:r w:rsidRPr="0016228B">
              <w:t xml:space="preserve">ukeen, koska ne eivät liity työpaikkojen menettämiseen vaan työskentelyn tilapäiseen keskeyttämiseen. Tukea hakenut yritys voi teettää alihankintana koordinoidun yksilöllisen toimenpidepaketin toteuttamisen tai osan siitä, jos kansalliset toimenpiteet sen </w:t>
            </w:r>
            <w:r w:rsidRPr="0016228B">
              <w:t>sallivat.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t>(9)</w:t>
            </w:r>
            <w:r w:rsidRPr="0016228B">
              <w:tab/>
              <w:t xml:space="preserve">Sellaisille työntekijöille annettavassa tuessa, joita uhkaa välitön työpaikan menettäminen rakenneuudistuksen kohteena olevassa yrityksessä, olisi </w:t>
            </w:r>
            <w:r w:rsidRPr="0016228B">
              <w:rPr>
                <w:b/>
                <w:i/>
              </w:rPr>
              <w:t>täydennettävä</w:t>
            </w:r>
            <w:r w:rsidRPr="0016228B">
              <w:t xml:space="preserve"> kansallisten toimenpiteiden puitteissa saatavilla </w:t>
            </w:r>
            <w:r w:rsidRPr="0016228B">
              <w:rPr>
                <w:b/>
                <w:i/>
              </w:rPr>
              <w:t xml:space="preserve">olevia tukimuotoja ja tuettava </w:t>
            </w:r>
            <w:r w:rsidRPr="0016228B">
              <w:rPr>
                <w:b/>
                <w:i/>
              </w:rPr>
              <w:t>vihreää ja digitaalista siirtymää uudelleen- ja täydennyskouluttamalla työntekijöitä ja varmistamalla näin, että syntyvät työpaikat ovat laadukkaita ja työolot asianmukaiset</w:t>
            </w:r>
            <w:r w:rsidRPr="0016228B">
              <w:t xml:space="preserve">. Työajan lyhentämisjärjestelyjen ei pitäisi olla oikeutettuja EGR:n tukeen, koska </w:t>
            </w:r>
            <w:r w:rsidRPr="0016228B">
              <w:t>ne eivät liity työpaikkojen menettämiseen vaan työskentelyn tilapäiseen keskeyttämiseen. Tukea hakenut yritys voi teettää alihankintana koordinoidun yksilöllisen toimenpidepaketin toteuttamisen tai osan siitä, jos kansalliset toimenpiteet sen sallivat.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5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Johdanto-osan 10 kappale</w:t>
      </w:r>
      <w:r w:rsidRPr="0016228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</w:pPr>
            <w:r w:rsidRPr="0016228B">
              <w:t>(10)</w:t>
            </w:r>
            <w:r w:rsidRPr="0016228B">
              <w:tab/>
              <w:t>Tällaisten toimenpiteiden, jotka on kohdennettu työntekijöih</w:t>
            </w:r>
            <w:r w:rsidRPr="0016228B">
              <w:t>in, joita uhkaa välitön työpaikan menettäminen rakenneuudistuksen kohteena olevassa yrityksessä, yhteisrahoitusosuuden olisi vastattava työttömiksi jääneille työntekijöille annettavan EGR:n tuen yhteisrahoitusosuutta. EGR-tukea hakevien yritysten olisi ann</w:t>
            </w:r>
            <w:r w:rsidRPr="0016228B">
              <w:t>ettava kansallinen yhteisrahoitusosuus.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t>(10)</w:t>
            </w:r>
            <w:r w:rsidRPr="0016228B">
              <w:tab/>
              <w:t xml:space="preserve">Tällaisten toimenpiteiden, jotka on kohdennettu työntekijöihin, joita uhkaa välitön työpaikan menettäminen rakenneuudistuksen kohteena olevassa yrityksessä, yhteisrahoitusosuuden olisi vastattava työttömiksi </w:t>
            </w:r>
            <w:r w:rsidRPr="0016228B">
              <w:t xml:space="preserve">jääneille työntekijöille annettavan EGR:n tuen yhteisrahoitusosuutta. </w:t>
            </w:r>
            <w:r w:rsidRPr="0016228B">
              <w:rPr>
                <w:b/>
                <w:i/>
              </w:rPr>
              <w:t>Kollektiivisiin hakemuksiin sisältyvien toimittajien ja jatkokäyttäjien olisi soveltuvissa tapauksissa vastattava yhteisrahoituksesta, joka kattaa niiden omien työntekijöiden tuen.</w:t>
            </w:r>
            <w:r w:rsidRPr="0016228B">
              <w:t xml:space="preserve"> EGR-t</w:t>
            </w:r>
            <w:r w:rsidRPr="0016228B">
              <w:t>ukea hakevien yritysten olisi annettava kansallinen yhteisrahoitusosuus.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6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Johdanto-osan 14 a kappale (uusi)</w:t>
      </w:r>
      <w:r w:rsidRPr="0016228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 xml:space="preserve">Komission </w:t>
            </w:r>
            <w:r w:rsidRPr="0016228B">
              <w:t>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</w:tcPr>
          <w:p w:rsidR="00D656D1" w:rsidRPr="0016228B" w:rsidRDefault="00D656D1">
            <w:pPr>
              <w:pStyle w:val="Normal6"/>
            </w:pP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rPr>
                <w:b/>
                <w:i/>
              </w:rPr>
              <w:t>(14 a)</w:t>
            </w:r>
            <w:r w:rsidRPr="0016228B">
              <w:rPr>
                <w:b/>
                <w:i/>
              </w:rPr>
              <w:tab/>
              <w:t xml:space="preserve">Joissakin jäsenvaltioissa nykyistä EGR:ää käytetään säännöllisesti, kun taas toisissa jäsenvaltioissa käyttöaste on jäänyt matalaksi. Näissä jäsenvaltioissa olisikin järjestettävä tiedotuskampanjoita, joilla voitaisiin lisätä </w:t>
            </w:r>
            <w:r w:rsidRPr="0016228B">
              <w:rPr>
                <w:b/>
                <w:i/>
              </w:rPr>
              <w:t>tietoa EGR:n saatavuudesta. Komission olisi avustettava jäsenvaltioita tarjoamalla teknistä opastusta ja jakamalla parhaita käytäntöjä.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7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</w:t>
      </w:r>
      <w:r w:rsidRPr="0016228B">
        <w:rPr>
          <w:rStyle w:val="HideTWBExt"/>
          <w:b w:val="0"/>
        </w:rPr>
        <w:t>rticle&gt;</w:t>
      </w:r>
      <w:r w:rsidRPr="0016228B">
        <w:t>1 artikla – 1 kohta – 1 alakohta</w:t>
      </w:r>
      <w:r w:rsidRPr="0016228B">
        <w:rPr>
          <w:rStyle w:val="HideTWBExt"/>
          <w:b w:val="0"/>
        </w:rPr>
        <w:t>&lt;/Article&gt;</w:t>
      </w:r>
    </w:p>
    <w:p w:rsidR="00D656D1" w:rsidRPr="0016228B" w:rsidRDefault="009921C7" w:rsidP="00D656D1">
      <w:pPr>
        <w:keepNext/>
      </w:pPr>
      <w:r w:rsidRPr="0016228B">
        <w:rPr>
          <w:rStyle w:val="HideTWBExt"/>
        </w:rPr>
        <w:t>&lt;DocAmend2&gt;</w:t>
      </w:r>
      <w:r w:rsidRPr="0016228B">
        <w:t>Asetus (EU) 2021/691</w:t>
      </w:r>
      <w:r w:rsidRPr="0016228B">
        <w:rPr>
          <w:rStyle w:val="HideTWBExt"/>
        </w:rPr>
        <w:t>&lt;/DocAmend2&gt;</w:t>
      </w:r>
    </w:p>
    <w:p w:rsidR="00D656D1" w:rsidRPr="0016228B" w:rsidRDefault="009921C7" w:rsidP="00D656D1">
      <w:r w:rsidRPr="0016228B">
        <w:rPr>
          <w:rStyle w:val="HideTWBExt"/>
        </w:rPr>
        <w:t>&lt;Article2&gt;</w:t>
      </w:r>
      <w:r w:rsidRPr="0016228B">
        <w:t>1 artikla – 2 kohta</w:t>
      </w:r>
      <w:r w:rsidRPr="0016228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</w:pPr>
            <w:r w:rsidRPr="0016228B">
              <w:t>”2.</w:t>
            </w:r>
            <w:r w:rsidRPr="0016228B">
              <w:tab/>
              <w:t xml:space="preserve">EGR tarjoaa 4 artiklan mukaisesti tukea merkittävien rakenneuudistusten yhteydessä </w:t>
            </w:r>
            <w:r w:rsidRPr="0016228B">
              <w:t>työttömiksi jääneille työntekijöille ja itsenäisille ammatinharjoittajille, joiden työskentely on loppunut, ja työntekijöille, joita uhkaa välitön työpaikan menettäminen rakenneuudistuksen kohteena olevassa yrityksessä.”;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t>”2.</w:t>
            </w:r>
            <w:r w:rsidRPr="0016228B">
              <w:tab/>
              <w:t>EGR tarjoaa 4 artiklan mukaise</w:t>
            </w:r>
            <w:r w:rsidRPr="0016228B">
              <w:t>sti tukea merkittävien rakenneuudistusten yhteydessä työttömiksi jääneille työntekijöille ja itsenäisille ammatinharjoittajille, joiden työskentely on loppunut, ja työntekijöille, joita uhkaa välitön työpaikan menettäminen rakenneuudistuksen kohteena oleva</w:t>
            </w:r>
            <w:r w:rsidRPr="0016228B">
              <w:t>ssa yrityksessä</w:t>
            </w:r>
            <w:r w:rsidRPr="0016228B">
              <w:rPr>
                <w:b/>
                <w:i/>
              </w:rPr>
              <w:t>, mukaan lukien niiden suorat toimittajat ja jatkokäyttäjät, edellyttäen, että direktiivin 98/59/EY mukaiset kansalliset velvoitteet on täytetty ennen EGR-hakemuksen jättämistä ja rakenneuudistus edistää vihreää ja digitaalista siirtymää</w:t>
            </w:r>
            <w:r w:rsidRPr="0016228B">
              <w:t>.”;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8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1 artikla – 1 kohta – 2 alakohta</w:t>
      </w:r>
      <w:r w:rsidRPr="0016228B">
        <w:rPr>
          <w:rStyle w:val="HideTWBExt"/>
          <w:b w:val="0"/>
        </w:rPr>
        <w:t>&lt;/Article&gt;</w:t>
      </w:r>
    </w:p>
    <w:p w:rsidR="00D656D1" w:rsidRPr="0016228B" w:rsidRDefault="009921C7" w:rsidP="00D656D1">
      <w:pPr>
        <w:keepNext/>
      </w:pPr>
      <w:r w:rsidRPr="0016228B">
        <w:rPr>
          <w:rStyle w:val="HideTWBExt"/>
        </w:rPr>
        <w:t>&lt;DocAmend2&gt;</w:t>
      </w:r>
      <w:r w:rsidRPr="0016228B">
        <w:t>Asetus (EU) 2021/691</w:t>
      </w:r>
      <w:r w:rsidRPr="0016228B">
        <w:rPr>
          <w:rStyle w:val="HideTWBExt"/>
        </w:rPr>
        <w:t>&lt;/DocAmend2&gt;</w:t>
      </w:r>
    </w:p>
    <w:p w:rsidR="00D656D1" w:rsidRPr="0016228B" w:rsidRDefault="009921C7" w:rsidP="00D656D1">
      <w:r w:rsidRPr="0016228B">
        <w:rPr>
          <w:rStyle w:val="HideTWBExt"/>
        </w:rPr>
        <w:t>&lt;Article2&gt;</w:t>
      </w:r>
      <w:r w:rsidRPr="0016228B">
        <w:t>2 artikla – 1 kohta</w:t>
      </w:r>
      <w:r w:rsidRPr="0016228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</w:pPr>
            <w:r w:rsidRPr="0016228B">
              <w:t>”1.</w:t>
            </w:r>
            <w:r w:rsidRPr="0016228B">
              <w:tab/>
              <w:t>EGR tukee globalisaatiosta ja teknologisista ja ympäristöön liittyvistä muutoksista johtuvia sosioekonomisia muutoksia auttamalla työttömiksi jääneitä työntekijöitä ja itsenäisiä ammatinharjoittajia, joiden työskentely on l</w:t>
            </w:r>
            <w:r w:rsidRPr="0016228B">
              <w:t>oppunut, sopeutumaan rakennemuutokseen. EGR on hätärahasto. Näin EGR edistää Euroopan sosiaalisten oikeuksien pilarissa vahvistettujen periaatteiden toteuttamista ja lisää sosiaalista ja taloudellista yhteenkuuluvuutta alueiden ja jäsenvaltioiden välillä.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t>”1.</w:t>
            </w:r>
            <w:r w:rsidRPr="0016228B">
              <w:tab/>
              <w:t>EGR tukee globalisaatiosta ja teknologisista ja ympäristöön liittyvistä muutoksista johtuvia sosioekonomisia muutoksia auttamalla työttömiksi jääneitä työntekijöitä ja itsenäisiä ammatinharjoittajia, joiden työskentely on loppunut, sopeutumaan rakennem</w:t>
            </w:r>
            <w:r w:rsidRPr="0016228B">
              <w:t xml:space="preserve">uutokseen. </w:t>
            </w:r>
            <w:r w:rsidRPr="0016228B">
              <w:rPr>
                <w:b/>
                <w:i/>
              </w:rPr>
              <w:t xml:space="preserve">EGR:stä tuetaan myös työntekijöitä tai itsenäisiä ammatinharjoittajia, joita uhkaa välitön työpaikan menettäminen. </w:t>
            </w:r>
            <w:r w:rsidRPr="0016228B">
              <w:t>EGR on hätärahasto. Näin EGR edistää Euroopan sosiaalisten oikeuksien pilarissa vahvistettujen periaatteiden toteuttamista</w:t>
            </w:r>
            <w:r w:rsidRPr="0016228B">
              <w:rPr>
                <w:b/>
                <w:i/>
              </w:rPr>
              <w:t>, edistä</w:t>
            </w:r>
            <w:r w:rsidRPr="0016228B">
              <w:rPr>
                <w:b/>
                <w:i/>
              </w:rPr>
              <w:t>ä kestävää työllisyyttä</w:t>
            </w:r>
            <w:r w:rsidRPr="0016228B">
              <w:t xml:space="preserve"> ja lisää sosiaalista ja taloudellista yhteenkuuluvuutta alueiden ja jäsenvaltioiden välillä.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9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 xml:space="preserve">1 artikla – </w:t>
      </w:r>
      <w:r w:rsidRPr="0016228B">
        <w:t>1 kohta – 4 alakohta – b alakohta</w:t>
      </w:r>
      <w:r w:rsidRPr="0016228B">
        <w:rPr>
          <w:rStyle w:val="HideTWBExt"/>
          <w:b w:val="0"/>
        </w:rPr>
        <w:t>&lt;/Article&gt;</w:t>
      </w:r>
    </w:p>
    <w:p w:rsidR="00D656D1" w:rsidRPr="0016228B" w:rsidRDefault="009921C7" w:rsidP="00D656D1">
      <w:pPr>
        <w:keepNext/>
      </w:pPr>
      <w:r w:rsidRPr="0016228B">
        <w:rPr>
          <w:rStyle w:val="HideTWBExt"/>
        </w:rPr>
        <w:t>&lt;DocAmend2&gt;</w:t>
      </w:r>
      <w:r w:rsidRPr="0016228B">
        <w:t>Asetus (EU) 2021/691</w:t>
      </w:r>
      <w:r w:rsidRPr="0016228B">
        <w:rPr>
          <w:rStyle w:val="HideTWBExt"/>
        </w:rPr>
        <w:t>&lt;/DocAmend2&gt;</w:t>
      </w:r>
    </w:p>
    <w:p w:rsidR="00D656D1" w:rsidRPr="0016228B" w:rsidRDefault="009921C7" w:rsidP="00D656D1">
      <w:r w:rsidRPr="0016228B">
        <w:rPr>
          <w:rStyle w:val="HideTWBExt"/>
        </w:rPr>
        <w:t>&lt;Article2&gt;</w:t>
      </w:r>
      <w:r w:rsidRPr="0016228B">
        <w:t>4 artikla – 2 kohta – d alakohta</w:t>
      </w:r>
      <w:r w:rsidRPr="0016228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</w:pPr>
            <w:r w:rsidRPr="0016228B">
              <w:t>”d)</w:t>
            </w:r>
            <w:r w:rsidRPr="0016228B">
              <w:tab/>
              <w:t>vähintään 200:aa työntekijää uhkaa välitön työpaikan menettäminen jäsenvaltiossa</w:t>
            </w:r>
            <w:r w:rsidRPr="0016228B">
              <w:t xml:space="preserve"> rakenneuudistuksen kohteena</w:t>
            </w:r>
            <w:r w:rsidRPr="0016228B">
              <w:rPr>
                <w:b/>
                <w:i/>
              </w:rPr>
              <w:t xml:space="preserve"> olevassa yrityksessä.”</w:t>
            </w:r>
            <w:r w:rsidRPr="0016228B">
              <w:t>;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t>”d)</w:t>
            </w:r>
            <w:r w:rsidRPr="0016228B">
              <w:tab/>
              <w:t>vähintään 200:aa työntekijää uhkaa välitön työpaikan menettäminen</w:t>
            </w:r>
            <w:r w:rsidRPr="0016228B">
              <w:rPr>
                <w:b/>
                <w:i/>
              </w:rPr>
              <w:t>, koska yritys on</w:t>
            </w:r>
            <w:r w:rsidRPr="0016228B">
              <w:t xml:space="preserve"> jäsenvaltiossa rakenneuudistuksen kohteena</w:t>
            </w:r>
            <w:r w:rsidRPr="0016228B">
              <w:rPr>
                <w:b/>
                <w:i/>
              </w:rPr>
              <w:t>, mukaan lukien yrityksen toimittajien ja jatkokäyttäjien työntekijät, joi</w:t>
            </w:r>
            <w:r w:rsidRPr="0016228B">
              <w:rPr>
                <w:b/>
                <w:i/>
              </w:rPr>
              <w:t>hin tämä vaikuttaa</w:t>
            </w:r>
            <w:r w:rsidRPr="0016228B">
              <w:t>;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10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1 artikla – 1 kohta – 6 alakohta</w:t>
      </w:r>
      <w:r w:rsidRPr="0016228B">
        <w:rPr>
          <w:rStyle w:val="HideTWBExt"/>
          <w:b w:val="0"/>
        </w:rPr>
        <w:t>&lt;/Article&gt;</w:t>
      </w:r>
    </w:p>
    <w:p w:rsidR="00D656D1" w:rsidRPr="0016228B" w:rsidRDefault="009921C7" w:rsidP="00D656D1">
      <w:pPr>
        <w:keepNext/>
      </w:pPr>
      <w:r w:rsidRPr="0016228B">
        <w:rPr>
          <w:rStyle w:val="HideTWBExt"/>
        </w:rPr>
        <w:t>&lt;DocAmend2&gt;</w:t>
      </w:r>
      <w:r w:rsidRPr="0016228B">
        <w:t>Asetus (EU) 2021/691</w:t>
      </w:r>
      <w:r w:rsidRPr="0016228B">
        <w:rPr>
          <w:rStyle w:val="HideTWBExt"/>
        </w:rPr>
        <w:t>&lt;/DocAmend2&gt;</w:t>
      </w:r>
    </w:p>
    <w:p w:rsidR="00D656D1" w:rsidRPr="0016228B" w:rsidRDefault="009921C7" w:rsidP="00D656D1">
      <w:r w:rsidRPr="0016228B">
        <w:rPr>
          <w:rStyle w:val="HideTWBExt"/>
        </w:rPr>
        <w:t>&lt;Article2&gt;</w:t>
      </w:r>
      <w:r w:rsidRPr="0016228B">
        <w:t>6 artikla –</w:t>
      </w:r>
      <w:r w:rsidRPr="0016228B">
        <w:t xml:space="preserve"> 1 kohta – c alakohta</w:t>
      </w:r>
      <w:r w:rsidRPr="0016228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</w:pPr>
            <w:r w:rsidRPr="0016228B">
              <w:t>”c)</w:t>
            </w:r>
            <w:r w:rsidRPr="0016228B">
              <w:tab/>
              <w:t xml:space="preserve">työntekijät, joita uhkaa välitön työpaikan menettäminen rakenneuudistuksen kohteena olevassa yrityksessä. Työntekijät pysyvät tukikelpoisina myös siinä tapauksessa, että työsuhde </w:t>
            </w:r>
            <w:r w:rsidRPr="0016228B">
              <w:t>tosiasiallisesti päättyy. Tukikelpoisia ovat ainoastaan ne rakenneuudistukset, jotka katsotaan direktiivin 98/59/EY mukaisiksi joukkovähentämisiksi.”;</w:t>
            </w:r>
          </w:p>
        </w:tc>
        <w:tc>
          <w:tcPr>
            <w:tcW w:w="4876" w:type="dxa"/>
            <w:hideMark/>
          </w:tcPr>
          <w:p w:rsidR="00D656D1" w:rsidRPr="0016228B" w:rsidRDefault="009921C7" w:rsidP="00271678">
            <w:pPr>
              <w:pStyle w:val="Normal6"/>
              <w:rPr>
                <w:szCs w:val="24"/>
              </w:rPr>
            </w:pPr>
            <w:r w:rsidRPr="0016228B">
              <w:t>”c)</w:t>
            </w:r>
            <w:r w:rsidRPr="0016228B">
              <w:tab/>
              <w:t>työntekijät, joita uhkaa välitön työpaikan menettäminen rakenneuudistuksen kohteena olevassa yritykse</w:t>
            </w:r>
            <w:r w:rsidRPr="0016228B">
              <w:t>ssä</w:t>
            </w:r>
            <w:r w:rsidRPr="0016228B">
              <w:rPr>
                <w:b/>
                <w:i/>
              </w:rPr>
              <w:t>, mukaan lukien niiden suorat toimittajat ja jatkokäyttäjät</w:t>
            </w:r>
            <w:r w:rsidRPr="0016228B">
              <w:t>. Työntekijät pysyvät tukikelpoisina myös siinä tapauksessa, että työsuhde tosiasiallisesti päättyy</w:t>
            </w:r>
            <w:r w:rsidRPr="0016228B">
              <w:rPr>
                <w:b/>
                <w:i/>
              </w:rPr>
              <w:t xml:space="preserve">. EGR:n tukea työsuhteen aikana saaneita työntekijöitä ei saa estää vastaanottamasta lisätukea </w:t>
            </w:r>
            <w:r w:rsidRPr="0016228B">
              <w:rPr>
                <w:b/>
                <w:i/>
              </w:rPr>
              <w:t>työsuhteen päättymisen jälkeen</w:t>
            </w:r>
            <w:r w:rsidRPr="0016228B">
              <w:t>. Tukikelpoisia ovat ainoastaan ne rakenneuudistukset, jotka katsotaan direktiivin 98/59/EY mukaisiksi joukkovähentämisiksi.”;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11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 xml:space="preserve">Ehdotus </w:t>
      </w:r>
      <w:r w:rsidRPr="0016228B">
        <w:t>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1 artikla – 1 kohta – 7 alakohta – a alakohta</w:t>
      </w:r>
      <w:r w:rsidRPr="0016228B">
        <w:rPr>
          <w:rStyle w:val="HideTWBExt"/>
          <w:b w:val="0"/>
        </w:rPr>
        <w:t>&lt;/Article&gt;</w:t>
      </w:r>
    </w:p>
    <w:p w:rsidR="00D656D1" w:rsidRPr="0016228B" w:rsidRDefault="009921C7" w:rsidP="00D656D1">
      <w:pPr>
        <w:keepNext/>
      </w:pPr>
      <w:r w:rsidRPr="0016228B">
        <w:rPr>
          <w:rStyle w:val="HideTWBExt"/>
        </w:rPr>
        <w:t>&lt;DocAmend2&gt;</w:t>
      </w:r>
      <w:r w:rsidRPr="0016228B">
        <w:t>Asetus (EU) 2021/691</w:t>
      </w:r>
      <w:r w:rsidRPr="0016228B">
        <w:rPr>
          <w:rStyle w:val="HideTWBExt"/>
        </w:rPr>
        <w:t>&lt;/DocAmend2&gt;</w:t>
      </w:r>
    </w:p>
    <w:p w:rsidR="00D656D1" w:rsidRPr="0016228B" w:rsidRDefault="009921C7" w:rsidP="00D656D1">
      <w:r w:rsidRPr="0016228B">
        <w:rPr>
          <w:rStyle w:val="HideTWBExt"/>
        </w:rPr>
        <w:t>&lt;Article2&gt;</w:t>
      </w:r>
      <w:r w:rsidRPr="0016228B">
        <w:t>7 artikla – 1 kohta</w:t>
      </w:r>
      <w:r w:rsidRPr="0016228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 w:rsidP="00271678">
            <w:pPr>
              <w:pStyle w:val="Normal6"/>
            </w:pPr>
            <w:r w:rsidRPr="0016228B">
              <w:t>”1.</w:t>
            </w:r>
            <w:r w:rsidRPr="0016228B">
              <w:tab/>
              <w:t xml:space="preserve">EGR:n rahoitustukea voidaan myöntää aktiivisen </w:t>
            </w:r>
            <w:r w:rsidRPr="0016228B">
              <w:t>työvoimapolitiikan toimenpiteisiin, jotka ovat osa koordinoitua pakettia, jonka tarkoituksena on helpottaa kohteena olevien edunsaajien, erityisesti niistä heikoimmassa asemassa olevien, integroitumista uudelleen palkkatyöhön tai itsenäiseen ammatinharjoit</w:t>
            </w:r>
            <w:r w:rsidRPr="0016228B">
              <w:t>tamiseen tai auttaa 6 artiklan ensimmäisen kohdan c alakohdassa tarkoitettuja työntekijöitä hankkimaan taidot, joita he tarvitsevat siirtyäkseen joko eri tehtävään nykyisen työnantajan palveluksessa tai eri työnantajan palvelukseen.”;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t>”1.</w:t>
            </w:r>
            <w:r w:rsidRPr="0016228B">
              <w:tab/>
              <w:t>EGR:n rahoitustuk</w:t>
            </w:r>
            <w:r w:rsidRPr="0016228B">
              <w:t xml:space="preserve">ea voidaan myöntää aktiivisen työvoimapolitiikan toimenpiteisiin, jotka ovat osa koordinoitua pakettia, jonka tarkoituksena on helpottaa kohteena olevien edunsaajien, erityisesti niistä heikoimmassa asemassa olevien, integroitumista uudelleen palkkatyöhön </w:t>
            </w:r>
            <w:r w:rsidRPr="0016228B">
              <w:t>tai itsenäiseen ammatinharjoittamiseen tai auttaa 6 artiklan ensimmäisen kohdan c alakohdassa tarkoitettuja työntekijöitä hankkimaan taidot, joita he tarvitsevat siirtyäkseen joko eri tehtävään nykyisen työnantajan palveluksessa tai eri työnantajan palvelu</w:t>
            </w:r>
            <w:r w:rsidRPr="0016228B">
              <w:t>kseen</w:t>
            </w:r>
            <w:r w:rsidRPr="0016228B">
              <w:rPr>
                <w:b/>
                <w:i/>
              </w:rPr>
              <w:t xml:space="preserve"> mielellään kotiseudullaan</w:t>
            </w:r>
            <w:r w:rsidRPr="0016228B">
              <w:t>.”;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12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1 artikla – 1 kohta – 7 alakohta – b alakohta</w:t>
      </w:r>
      <w:r w:rsidRPr="0016228B">
        <w:rPr>
          <w:rStyle w:val="HideTWBExt"/>
          <w:b w:val="0"/>
        </w:rPr>
        <w:t>&lt;/Article&gt;</w:t>
      </w:r>
    </w:p>
    <w:p w:rsidR="00D656D1" w:rsidRPr="0016228B" w:rsidRDefault="009921C7" w:rsidP="00D656D1">
      <w:pPr>
        <w:keepNext/>
      </w:pPr>
      <w:r w:rsidRPr="0016228B">
        <w:rPr>
          <w:rStyle w:val="HideTWBExt"/>
        </w:rPr>
        <w:t>&lt;DocAmend2&gt;</w:t>
      </w:r>
      <w:r w:rsidRPr="0016228B">
        <w:t>Asetus (EU) 2021/691</w:t>
      </w:r>
      <w:r w:rsidRPr="0016228B">
        <w:rPr>
          <w:rStyle w:val="HideTWBExt"/>
        </w:rPr>
        <w:t>&lt;/DocAmend2&gt;</w:t>
      </w:r>
    </w:p>
    <w:p w:rsidR="00D656D1" w:rsidRPr="0016228B" w:rsidRDefault="009921C7" w:rsidP="00D656D1">
      <w:r w:rsidRPr="0016228B">
        <w:rPr>
          <w:rStyle w:val="HideTWBExt"/>
        </w:rPr>
        <w:t>&lt;Article2&gt;</w:t>
      </w:r>
      <w:r w:rsidRPr="0016228B">
        <w:t>7 artikla – 2 kohta – 2 alakohta – c alakohta</w:t>
      </w:r>
      <w:r w:rsidRPr="0016228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 w:rsidP="00546A87">
            <w:pPr>
              <w:pStyle w:val="Normal6"/>
            </w:pPr>
            <w:r w:rsidRPr="0016228B">
              <w:t>”c)</w:t>
            </w:r>
            <w:r w:rsidRPr="0016228B">
              <w:tab/>
              <w:t xml:space="preserve">Koordinoituun pakettiin voi 6 artiklan ensimmäisen kohdan c alakohdassa tarkoitettujen edunsaajien osalta sisältyä työntekijän yksilöllisiin </w:t>
            </w:r>
            <w:r w:rsidRPr="0016228B">
              <w:t>tarpeisiin räätälöityä koulutusta ja uudelleenkoulutusta, mukaan lukien tieto- ja viestintätekniikka ja muut digitaalisella aikakaudella vaadittavat taidot, hankittujen tietojen ja taitojen sertifiointi, yksilöllisiä työnhakuneuvontapalveluja ja kohdennett</w:t>
            </w:r>
            <w:r w:rsidRPr="0016228B">
              <w:t>ua ryhmätoimintaa, ammatillista ohjausta, neuvontapalveluja, mentorointia, työnvälitysapua, yrittäjyyden edistämistä ja yhteistyötoimia. Siihen ei saa sisältyä työajan lyhentämisjärjestelyjä.”;</w:t>
            </w:r>
          </w:p>
        </w:tc>
        <w:tc>
          <w:tcPr>
            <w:tcW w:w="4876" w:type="dxa"/>
            <w:hideMark/>
          </w:tcPr>
          <w:p w:rsidR="00D656D1" w:rsidRPr="0016228B" w:rsidRDefault="009921C7" w:rsidP="00546A87">
            <w:pPr>
              <w:pStyle w:val="Normal6"/>
              <w:rPr>
                <w:szCs w:val="24"/>
              </w:rPr>
            </w:pPr>
            <w:r w:rsidRPr="0016228B">
              <w:t>”c)</w:t>
            </w:r>
            <w:r w:rsidRPr="0016228B">
              <w:tab/>
              <w:t xml:space="preserve">Koordinoituun pakettiin voi 6 artiklan ensimmäisen kohdan </w:t>
            </w:r>
            <w:r w:rsidRPr="0016228B">
              <w:t xml:space="preserve">c alakohdassa tarkoitettujen edunsaajien osalta sisältyä työntekijän yksilöllisiin tarpeisiin räätälöityä koulutusta ja uudelleenkoulutusta, </w:t>
            </w:r>
            <w:r w:rsidRPr="0016228B">
              <w:rPr>
                <w:b/>
                <w:i/>
              </w:rPr>
              <w:t xml:space="preserve">joka täydentää kansallisten toimien kautta saatavana olevaa tukea, </w:t>
            </w:r>
            <w:r w:rsidRPr="0016228B">
              <w:t>mukaan lukien tieto- ja viestintätekniikka ja mu</w:t>
            </w:r>
            <w:r w:rsidRPr="0016228B">
              <w:t>ut digitaalisella aikakaudella vaadittavat taidot, hankittujen tietojen ja taitojen sertifiointi, yksilöllisiä työnhakuneuvontapalveluja ja kohdennettua ryhmätoimintaa, ammatillista ohjausta, neuvontapalveluja, mentorointia, työnvälitysapua, yrittäjyyden e</w:t>
            </w:r>
            <w:r w:rsidRPr="0016228B">
              <w:t>distämistä ja yhteistyötoimia. Siihen ei saa sisältyä työajan lyhentämisjärjestelyjä.”;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13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1 artikla – 1 kohta – 7 alakohta – b a a</w:t>
      </w:r>
      <w:r w:rsidRPr="0016228B">
        <w:t>lakohta (uusi)</w:t>
      </w:r>
      <w:r w:rsidRPr="0016228B">
        <w:rPr>
          <w:rStyle w:val="HideTWBExt"/>
          <w:b w:val="0"/>
        </w:rPr>
        <w:t>&lt;/Article&gt;</w:t>
      </w:r>
    </w:p>
    <w:p w:rsidR="006E1004" w:rsidRPr="0016228B" w:rsidRDefault="009921C7" w:rsidP="006E1004">
      <w:pPr>
        <w:keepNext/>
      </w:pPr>
      <w:r w:rsidRPr="0016228B">
        <w:rPr>
          <w:rStyle w:val="HideTWBExt"/>
        </w:rPr>
        <w:t>&lt;DocAmend2&gt;</w:t>
      </w:r>
      <w:r w:rsidRPr="0016228B">
        <w:t>Asetus (EU) 2021/691</w:t>
      </w:r>
      <w:r w:rsidRPr="0016228B">
        <w:rPr>
          <w:rStyle w:val="HideTWBExt"/>
        </w:rPr>
        <w:t>&lt;/DocAmend2&gt;</w:t>
      </w:r>
    </w:p>
    <w:p w:rsidR="006E1004" w:rsidRPr="0016228B" w:rsidRDefault="009921C7" w:rsidP="006E2537">
      <w:r w:rsidRPr="0016228B">
        <w:rPr>
          <w:rStyle w:val="HideTWBExt"/>
        </w:rPr>
        <w:t>&lt;Article2&gt;</w:t>
      </w:r>
      <w:r w:rsidRPr="0016228B">
        <w:t>7 artikla – 2 kohta – 2 alakohta (uusi)</w:t>
      </w:r>
      <w:r w:rsidRPr="0016228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</w:tcPr>
          <w:p w:rsidR="00D656D1" w:rsidRPr="0016228B" w:rsidRDefault="00D656D1">
            <w:pPr>
              <w:pStyle w:val="Normal6"/>
            </w:pP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rPr>
                <w:b/>
                <w:i/>
              </w:rPr>
              <w:t>b a)</w:t>
            </w:r>
            <w:r w:rsidRPr="0016228B">
              <w:rPr>
                <w:b/>
                <w:i/>
              </w:rPr>
              <w:tab/>
              <w:t>lisätään 2 kohtaan alakohta seuraavasti: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</w:tcPr>
          <w:p w:rsidR="00D656D1" w:rsidRPr="0016228B" w:rsidRDefault="00D656D1">
            <w:pPr>
              <w:pStyle w:val="Normal6"/>
            </w:pP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rPr>
                <w:b/>
                <w:i/>
              </w:rPr>
              <w:t xml:space="preserve">”Laatiessaan koordinoituja paketteja tämän </w:t>
            </w:r>
            <w:r w:rsidRPr="0016228B">
              <w:rPr>
                <w:b/>
                <w:i/>
              </w:rPr>
              <w:t>kohdan mukaisesti työnantajan on varmistettava, että työmarkkinaosapuolet ovat mukana prosessissa sovellettavan kansallisen lainsäädännön mukaisesti erityisesti määrittämällä osaamistarpeita, osallistumalla koulutusohjelmien suunnitteluun, validoimalla laa</w:t>
            </w:r>
            <w:r w:rsidRPr="0016228B">
              <w:rPr>
                <w:b/>
                <w:i/>
              </w:rPr>
              <w:t xml:space="preserve">tua ja valvomalla täytäntöönpanoa.” 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14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1 artikla – 1 kohta – 9 alakohta</w:t>
      </w:r>
      <w:r w:rsidRPr="0016228B">
        <w:rPr>
          <w:rStyle w:val="HideTWBExt"/>
          <w:b w:val="0"/>
        </w:rPr>
        <w:t>&lt;/Article&gt;</w:t>
      </w:r>
    </w:p>
    <w:p w:rsidR="00D656D1" w:rsidRPr="0016228B" w:rsidRDefault="009921C7" w:rsidP="00D656D1">
      <w:pPr>
        <w:keepNext/>
      </w:pPr>
      <w:r w:rsidRPr="0016228B">
        <w:rPr>
          <w:rStyle w:val="HideTWBExt"/>
        </w:rPr>
        <w:t>&lt;DocAmend2&gt;</w:t>
      </w:r>
      <w:r w:rsidRPr="0016228B">
        <w:t>Asetus (EU) 2021/691</w:t>
      </w:r>
      <w:r w:rsidRPr="0016228B">
        <w:rPr>
          <w:rStyle w:val="HideTWBExt"/>
        </w:rPr>
        <w:t>&lt;/DocAmend2&gt;</w:t>
      </w:r>
    </w:p>
    <w:p w:rsidR="00D656D1" w:rsidRPr="0016228B" w:rsidRDefault="009921C7" w:rsidP="00D656D1">
      <w:r w:rsidRPr="0016228B">
        <w:rPr>
          <w:rStyle w:val="HideTWBExt"/>
        </w:rPr>
        <w:t>&lt;Art</w:t>
      </w:r>
      <w:r w:rsidRPr="0016228B">
        <w:rPr>
          <w:rStyle w:val="HideTWBExt"/>
        </w:rPr>
        <w:t>icle2&gt;</w:t>
      </w:r>
      <w:r w:rsidRPr="0016228B">
        <w:t>8 a artikla – 1 kohta</w:t>
      </w:r>
      <w:r w:rsidRPr="0016228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</w:pPr>
            <w:r w:rsidRPr="0016228B">
              <w:t>1.</w:t>
            </w:r>
            <w:r w:rsidRPr="0016228B">
              <w:tab/>
              <w:t>Rakenneuudistuksen kohteena olevat yritykset voivat pyytää asianomaista jäsenvaltiota esittämään EGR:n rahoitustukea koskevan hakemuksen, jos 4 artiklan 2 kohdan d alakohdassa säädetyt</w:t>
            </w:r>
            <w:r w:rsidRPr="0016228B">
              <w:t xml:space="preserve"> toimintakriteerit täyttyvät</w:t>
            </w:r>
            <w:r w:rsidRPr="0016228B">
              <w:rPr>
                <w:b/>
                <w:i/>
              </w:rPr>
              <w:t xml:space="preserve"> ja</w:t>
            </w:r>
            <w:r w:rsidRPr="0016228B">
              <w:t xml:space="preserve"> jos yritys haluaa tarjota EGR:stä yhteisrahoitettua tukea niille työvoimansa osille, joita uhkaa välitön työpaikan menettäminen 6 artiklan ensimmäisen kohdan c alakohdan mukaisesti. Yrityksen on esitettävä tällainen pyyntö k</w:t>
            </w:r>
            <w:r w:rsidRPr="0016228B">
              <w:t>ahden viikon kuluessa päivästä, jona se oli ilmoittanut kirjallisesti viranomaisille suunnitelluista joukkovähentämisistä direktiivin 98/59/EY 3 artiklan 1 kohdan mukaisesti.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t>1.</w:t>
            </w:r>
            <w:r w:rsidRPr="0016228B">
              <w:tab/>
              <w:t>Rakenneuudistuksen kohteena olevat yritykset voivat pyytää asianomaista jäsenv</w:t>
            </w:r>
            <w:r w:rsidRPr="0016228B">
              <w:t>altiota esittämään EGR:n rahoitustukea koskevan hakemuksen, jos 4 artiklan 2 kohdan d alakohdassa säädetyt toimintakriteerit täyttyvät</w:t>
            </w:r>
            <w:r w:rsidRPr="0016228B">
              <w:rPr>
                <w:b/>
                <w:i/>
              </w:rPr>
              <w:t>,</w:t>
            </w:r>
            <w:r w:rsidRPr="0016228B">
              <w:t xml:space="preserve"> jos yritys haluaa tarjota EGR:stä yhteisrahoitettua tukea niille työvoimansa osille, joita uhkaa välitön työpaikan menet</w:t>
            </w:r>
            <w:r w:rsidRPr="0016228B">
              <w:t>täminen 6 artiklan ensimmäisen kohdan c alakohdan mukaisesti</w:t>
            </w:r>
            <w:r w:rsidRPr="0016228B">
              <w:rPr>
                <w:b/>
                <w:i/>
              </w:rPr>
              <w:t xml:space="preserve"> ja kuultuaan työntekijöiden edustajia</w:t>
            </w:r>
            <w:r w:rsidRPr="0016228B">
              <w:t>. Yrityksen on esitettävä tällainen pyyntö kahden viikon kuluessa päivästä, jona se oli ilmoittanut kirjallisesti viranomaisille suunnitelluista joukkovähentä</w:t>
            </w:r>
            <w:r w:rsidRPr="0016228B">
              <w:t>misistä direktiivin 98/59/EY 3 artiklan 1 kohdan mukaisesti.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15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1 artikla – 1 kohta – 9 alakohta</w:t>
      </w:r>
      <w:r w:rsidRPr="0016228B">
        <w:rPr>
          <w:rStyle w:val="HideTWBExt"/>
          <w:b w:val="0"/>
        </w:rPr>
        <w:t>&lt;/Article&gt;</w:t>
      </w:r>
    </w:p>
    <w:p w:rsidR="00D656D1" w:rsidRPr="0016228B" w:rsidRDefault="009921C7" w:rsidP="00D656D1">
      <w:pPr>
        <w:keepNext/>
      </w:pPr>
      <w:r w:rsidRPr="0016228B">
        <w:rPr>
          <w:rStyle w:val="HideTWBExt"/>
        </w:rPr>
        <w:t>&lt;DocAmend2&gt;</w:t>
      </w:r>
      <w:r w:rsidRPr="0016228B">
        <w:t>Asetus (EU) 2</w:t>
      </w:r>
      <w:r w:rsidRPr="0016228B">
        <w:t>021/691</w:t>
      </w:r>
      <w:r w:rsidRPr="0016228B">
        <w:rPr>
          <w:rStyle w:val="HideTWBExt"/>
        </w:rPr>
        <w:t>&lt;/DocAmend2&gt;</w:t>
      </w:r>
    </w:p>
    <w:p w:rsidR="00D656D1" w:rsidRPr="0016228B" w:rsidRDefault="009921C7" w:rsidP="00D656D1">
      <w:r w:rsidRPr="0016228B">
        <w:rPr>
          <w:rStyle w:val="HideTWBExt"/>
        </w:rPr>
        <w:t>&lt;Article2&gt;</w:t>
      </w:r>
      <w:r w:rsidRPr="0016228B">
        <w:t>8 a artikla – 2 kohta</w:t>
      </w:r>
      <w:r w:rsidRPr="0016228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</w:pPr>
            <w:r w:rsidRPr="0016228B">
              <w:t>2.</w:t>
            </w:r>
            <w:r w:rsidRPr="0016228B">
              <w:tab/>
              <w:t xml:space="preserve">Kaikkien jäsenvaltioiden on nimettävä keskitetty asiointipiste, johon yritykset voivat osoittaa 1 kohdassa tarkoitetut pyynnöt, </w:t>
            </w:r>
            <w:r w:rsidRPr="0016228B">
              <w:rPr>
                <w:b/>
                <w:i/>
              </w:rPr>
              <w:t xml:space="preserve">ja julkaistava asiaankuuluvat </w:t>
            </w:r>
            <w:r w:rsidRPr="0016228B">
              <w:rPr>
                <w:b/>
                <w:i/>
              </w:rPr>
              <w:t>ohjeet ja mallit</w:t>
            </w:r>
            <w:r w:rsidRPr="0016228B">
              <w:t xml:space="preserve">. Näiden mallien mukaisesti kerättävien tietojen on katettava kaikki EGR:n rahoitustukea koskevaa hakemusta varten tarvittavat tiedot </w:t>
            </w:r>
            <w:r w:rsidRPr="0016228B">
              <w:rPr>
                <w:b/>
                <w:i/>
              </w:rPr>
              <w:t xml:space="preserve">jäljempänä olevan </w:t>
            </w:r>
            <w:r w:rsidRPr="0016228B">
              <w:t>kohdan mukaisesti.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t>2.</w:t>
            </w:r>
            <w:r w:rsidRPr="0016228B">
              <w:tab/>
              <w:t>Kaikkien jäsenvaltioiden on nimettävä keskitetty asiointipiste, jo</w:t>
            </w:r>
            <w:r w:rsidRPr="0016228B">
              <w:t>hon yritykset voivat osoittaa 1 kohdassa tarkoitetut pyynnöt</w:t>
            </w:r>
            <w:r w:rsidRPr="0016228B">
              <w:rPr>
                <w:b/>
                <w:i/>
              </w:rPr>
              <w:t>. Soveltuvissa tilanteissa tämä keskitetty asiointipiste voidaan perustaa niin, että kansallinen toimivaltajako otetaan huomioon. Komission on</w:t>
            </w:r>
            <w:r w:rsidRPr="0016228B">
              <w:t xml:space="preserve"> julkaistava asiaankuuluvat ohjeet ja </w:t>
            </w:r>
            <w:r w:rsidRPr="0016228B">
              <w:rPr>
                <w:b/>
                <w:i/>
              </w:rPr>
              <w:t xml:space="preserve">yhteiset </w:t>
            </w:r>
            <w:r w:rsidRPr="0016228B">
              <w:t>mallit</w:t>
            </w:r>
            <w:r w:rsidRPr="0016228B">
              <w:rPr>
                <w:b/>
                <w:i/>
              </w:rPr>
              <w:t xml:space="preserve"> </w:t>
            </w:r>
            <w:r w:rsidRPr="0016228B">
              <w:rPr>
                <w:b/>
                <w:i/>
              </w:rPr>
              <w:t>ja koordinoitava tätä jäsenvaltioiden kanssa. Ohjeiden on sisällettävä muun muassa opastusta asiaan soveltuvista valtiontukisäännöistä, jotta voidaan varmistaa että asianosaiset työntekijät saavat taloudellista tukea</w:t>
            </w:r>
            <w:r w:rsidRPr="0016228B">
              <w:t xml:space="preserve">. Näiden mallien mukaisesti kerättävien </w:t>
            </w:r>
            <w:r w:rsidRPr="0016228B">
              <w:t xml:space="preserve">tietojen on katettava kaikki EGR:n rahoitustukea koskevaa hakemusta varten tarvittavat tiedot </w:t>
            </w:r>
            <w:r w:rsidRPr="0016228B">
              <w:rPr>
                <w:b/>
                <w:i/>
              </w:rPr>
              <w:t>10 </w:t>
            </w:r>
            <w:r w:rsidRPr="0016228B">
              <w:t>kohdan mukaisesti.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16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 xml:space="preserve">1 artikla – </w:t>
      </w:r>
      <w:r w:rsidRPr="0016228B">
        <w:t>1 kohta – 9 alakohta</w:t>
      </w:r>
      <w:r w:rsidRPr="0016228B">
        <w:rPr>
          <w:rStyle w:val="HideTWBExt"/>
          <w:b w:val="0"/>
        </w:rPr>
        <w:t>&lt;/Article&gt;</w:t>
      </w:r>
    </w:p>
    <w:p w:rsidR="00D656D1" w:rsidRPr="0016228B" w:rsidRDefault="009921C7" w:rsidP="00D656D1">
      <w:pPr>
        <w:keepNext/>
      </w:pPr>
      <w:r w:rsidRPr="0016228B">
        <w:rPr>
          <w:rStyle w:val="HideTWBExt"/>
        </w:rPr>
        <w:t>&lt;DocAmend2&gt;</w:t>
      </w:r>
      <w:r w:rsidRPr="0016228B">
        <w:t>Asetus (EU) 2021/691</w:t>
      </w:r>
      <w:r w:rsidRPr="0016228B">
        <w:rPr>
          <w:rStyle w:val="HideTWBExt"/>
        </w:rPr>
        <w:t>&lt;/DocAmend2&gt;</w:t>
      </w:r>
    </w:p>
    <w:p w:rsidR="00D656D1" w:rsidRPr="0016228B" w:rsidRDefault="009921C7" w:rsidP="00D656D1">
      <w:r w:rsidRPr="0016228B">
        <w:rPr>
          <w:rStyle w:val="HideTWBExt"/>
        </w:rPr>
        <w:t>&lt;Article2&gt;</w:t>
      </w:r>
      <w:r w:rsidRPr="0016228B">
        <w:t>8 a artikla – 5 kohta</w:t>
      </w:r>
      <w:r w:rsidRPr="0016228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</w:pPr>
            <w:r w:rsidRPr="0016228B">
              <w:t>5.</w:t>
            </w:r>
            <w:r w:rsidRPr="0016228B">
              <w:tab/>
              <w:t>Asianomaisen jäsenvaltion on yrityksen pyynnöstä annettava yritykselle ohjausta koko hakumenettelyn ajan.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t>5.</w:t>
            </w:r>
            <w:r w:rsidRPr="0016228B">
              <w:tab/>
              <w:t xml:space="preserve">Asianomaisen jäsenvaltion on yrityksen </w:t>
            </w:r>
            <w:r w:rsidRPr="0016228B">
              <w:rPr>
                <w:b/>
                <w:i/>
              </w:rPr>
              <w:t xml:space="preserve">tai työntekijöiden edustajan </w:t>
            </w:r>
            <w:r w:rsidRPr="0016228B">
              <w:t>pyynnöstä annettava yritykselle ohjausta koko hakumenettelyn ajan.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17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</w:t>
      </w:r>
      <w:r w:rsidRPr="0016228B">
        <w:rPr>
          <w:rStyle w:val="HideTWBExt"/>
          <w:b w:val="0"/>
        </w:rPr>
        <w:t>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1 artikla – 1 kohta – 9 alakohta</w:t>
      </w:r>
      <w:r w:rsidRPr="0016228B">
        <w:rPr>
          <w:rStyle w:val="HideTWBExt"/>
          <w:b w:val="0"/>
        </w:rPr>
        <w:t>&lt;/Article&gt;</w:t>
      </w:r>
    </w:p>
    <w:p w:rsidR="00D656D1" w:rsidRPr="0016228B" w:rsidRDefault="009921C7" w:rsidP="00D656D1">
      <w:pPr>
        <w:keepNext/>
      </w:pPr>
      <w:r w:rsidRPr="0016228B">
        <w:rPr>
          <w:rStyle w:val="HideTWBExt"/>
        </w:rPr>
        <w:t>&lt;DocAmend2&gt;</w:t>
      </w:r>
      <w:r w:rsidRPr="0016228B">
        <w:t>Asetus (EU) 2021/691</w:t>
      </w:r>
      <w:r w:rsidRPr="0016228B">
        <w:rPr>
          <w:rStyle w:val="HideTWBExt"/>
        </w:rPr>
        <w:t>&lt;/DocAmend2&gt;</w:t>
      </w:r>
    </w:p>
    <w:p w:rsidR="00D656D1" w:rsidRPr="0016228B" w:rsidRDefault="009921C7" w:rsidP="00D656D1">
      <w:r w:rsidRPr="0016228B">
        <w:rPr>
          <w:rStyle w:val="HideTWBExt"/>
        </w:rPr>
        <w:t>&lt;Article2&gt;</w:t>
      </w:r>
      <w:r w:rsidRPr="0016228B">
        <w:t>8 a artikla – 6 kohta</w:t>
      </w:r>
      <w:r w:rsidRPr="0016228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</w:pPr>
            <w:r w:rsidRPr="0016228B">
              <w:t>6.</w:t>
            </w:r>
            <w:r w:rsidRPr="0016228B">
              <w:tab/>
              <w:t xml:space="preserve">Komissio antaa hakijajäsenvaltion pyynnöstä jäsenvaltiolle ohjausta koko </w:t>
            </w:r>
            <w:r w:rsidRPr="0016228B">
              <w:t>hakumenettelyn ajan.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t>6.</w:t>
            </w:r>
            <w:r w:rsidRPr="0016228B">
              <w:tab/>
              <w:t>Komissio antaa hakijajäsenvaltion pyynnöstä jäsenvaltiolle ohjausta koko hakumenettelyn ajan</w:t>
            </w:r>
            <w:r w:rsidRPr="0016228B">
              <w:rPr>
                <w:b/>
                <w:i/>
              </w:rPr>
              <w:t>, mukaan lukien keskitettyjen mallien tarjoaminen ja valtiontukisääntöjä koskevat ohjeet</w:t>
            </w:r>
            <w:r w:rsidRPr="0016228B">
              <w:t>.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18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1 artikla – 1 kohta – 9 alakohta</w:t>
      </w:r>
      <w:r w:rsidRPr="0016228B">
        <w:rPr>
          <w:rStyle w:val="HideTWBExt"/>
          <w:b w:val="0"/>
        </w:rPr>
        <w:t>&lt;/Article&gt;</w:t>
      </w:r>
    </w:p>
    <w:p w:rsidR="00D656D1" w:rsidRPr="0016228B" w:rsidRDefault="009921C7" w:rsidP="00D656D1">
      <w:pPr>
        <w:keepNext/>
      </w:pPr>
      <w:r w:rsidRPr="0016228B">
        <w:rPr>
          <w:rStyle w:val="HideTWBExt"/>
        </w:rPr>
        <w:t>&lt;DocAmend2&gt;</w:t>
      </w:r>
      <w:r w:rsidRPr="0016228B">
        <w:t>Asetus (EU) 2021/691</w:t>
      </w:r>
      <w:r w:rsidRPr="0016228B">
        <w:rPr>
          <w:rStyle w:val="HideTWBExt"/>
        </w:rPr>
        <w:t>&lt;/DocAmend2&gt;</w:t>
      </w:r>
    </w:p>
    <w:p w:rsidR="00D656D1" w:rsidRPr="0016228B" w:rsidRDefault="009921C7" w:rsidP="00D656D1">
      <w:r w:rsidRPr="0016228B">
        <w:rPr>
          <w:rStyle w:val="HideTWBExt"/>
        </w:rPr>
        <w:t>&lt;Article2&gt;</w:t>
      </w:r>
      <w:r w:rsidRPr="0016228B">
        <w:t>8 a artikla – 9 kohta – 1 alakohta</w:t>
      </w:r>
      <w:r w:rsidRPr="0016228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</w:pPr>
            <w:r w:rsidRPr="0016228B">
              <w:t>Haki</w:t>
            </w:r>
            <w:r w:rsidRPr="0016228B">
              <w:t>jajäsenvaltion toimittamien tietojen perusteella komissio saattaa päätökseen arviointinsa siitä, täyttääkö hakemus rahoitustuen myöntämistä koskevat edellytykset, 30 työpäivän kuluessa täydellisen hakemuksen tai tapauksen mukaan sen käännöksen vastaanottam</w:t>
            </w:r>
            <w:r w:rsidRPr="0016228B">
              <w:t>isesta.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t xml:space="preserve">Hakijajäsenvaltion toimittamien tietojen perusteella komissio saattaa päätökseen arviointinsa siitä, täyttääkö hakemus rahoitustuen myöntämistä koskevat edellytykset, 30 työpäivän kuluessa täydellisen hakemuksen tai tapauksen mukaan sen käännöksen </w:t>
            </w:r>
            <w:r w:rsidRPr="0016228B">
              <w:t xml:space="preserve">vastaanottamisesta. </w:t>
            </w:r>
            <w:r w:rsidRPr="0016228B">
              <w:rPr>
                <w:b/>
                <w:i/>
              </w:rPr>
              <w:t>Arvioinnin on sisällettävä yhteenveto kuulemismenettelyn riittävyydestä ja ehdotetuista koulutustoimenpiteistä.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19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1 artikla – 1 kohta – 9 alakohta</w:t>
      </w:r>
      <w:r w:rsidRPr="0016228B">
        <w:rPr>
          <w:rStyle w:val="HideTWBExt"/>
          <w:b w:val="0"/>
        </w:rPr>
        <w:t>&lt;/Article&gt;</w:t>
      </w:r>
    </w:p>
    <w:p w:rsidR="00D656D1" w:rsidRPr="0016228B" w:rsidRDefault="009921C7" w:rsidP="00D656D1">
      <w:pPr>
        <w:keepNext/>
      </w:pPr>
      <w:r w:rsidRPr="0016228B">
        <w:rPr>
          <w:rStyle w:val="HideTWBExt"/>
        </w:rPr>
        <w:t>&lt;DocAmend2&gt;</w:t>
      </w:r>
      <w:r w:rsidRPr="0016228B">
        <w:t>Asetus (EU) 2021/691</w:t>
      </w:r>
      <w:r w:rsidRPr="0016228B">
        <w:rPr>
          <w:rStyle w:val="HideTWBExt"/>
        </w:rPr>
        <w:t>&lt;/DocAmend2&gt;</w:t>
      </w:r>
    </w:p>
    <w:p w:rsidR="00D656D1" w:rsidRPr="0016228B" w:rsidRDefault="009921C7" w:rsidP="00D656D1">
      <w:r w:rsidRPr="0016228B">
        <w:rPr>
          <w:rStyle w:val="HideTWBExt"/>
        </w:rPr>
        <w:t>&lt;Article2&gt;</w:t>
      </w:r>
      <w:r w:rsidRPr="0016228B">
        <w:t xml:space="preserve">8 a artikla – 10 kohta – johdantokappale </w:t>
      </w:r>
      <w:r w:rsidRPr="0016228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</w:pPr>
            <w:r w:rsidRPr="0016228B">
              <w:t>10.</w:t>
            </w:r>
            <w:r w:rsidRPr="0016228B">
              <w:tab/>
            </w:r>
            <w:r w:rsidRPr="0016228B">
              <w:rPr>
                <w:b/>
                <w:i/>
              </w:rPr>
              <w:t>Hakemuksessa</w:t>
            </w:r>
            <w:r w:rsidRPr="0016228B">
              <w:t xml:space="preserve"> on oltava seuraavat tiedot: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t>10.</w:t>
            </w:r>
            <w:r w:rsidRPr="0016228B">
              <w:tab/>
            </w:r>
            <w:r w:rsidRPr="0016228B">
              <w:rPr>
                <w:b/>
                <w:i/>
              </w:rPr>
              <w:t xml:space="preserve">Hakemuksen on </w:t>
            </w:r>
            <w:r w:rsidRPr="0016228B">
              <w:rPr>
                <w:b/>
                <w:i/>
              </w:rPr>
              <w:t>perustuttava keskitettyyn malliin ja siinä</w:t>
            </w:r>
            <w:r w:rsidRPr="0016228B">
              <w:t xml:space="preserve"> on oltava seuraavat tiedot: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20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1 artikla – 1 kohta – 9 alakohta</w:t>
      </w:r>
      <w:r w:rsidRPr="0016228B">
        <w:rPr>
          <w:rStyle w:val="HideTWBExt"/>
          <w:b w:val="0"/>
        </w:rPr>
        <w:t>&lt;/Article&gt;</w:t>
      </w:r>
    </w:p>
    <w:p w:rsidR="00D656D1" w:rsidRPr="0016228B" w:rsidRDefault="009921C7" w:rsidP="00D656D1">
      <w:pPr>
        <w:keepNext/>
      </w:pPr>
      <w:r w:rsidRPr="0016228B">
        <w:rPr>
          <w:rStyle w:val="HideTWBExt"/>
        </w:rPr>
        <w:t>&lt;DocAmend2&gt;</w:t>
      </w:r>
      <w:r w:rsidRPr="0016228B">
        <w:t>Asetus (EU) 2021/691</w:t>
      </w:r>
      <w:r w:rsidRPr="0016228B">
        <w:rPr>
          <w:rStyle w:val="HideTWBExt"/>
        </w:rPr>
        <w:t>&lt;/DocAmend2&gt;</w:t>
      </w:r>
    </w:p>
    <w:p w:rsidR="00D656D1" w:rsidRPr="0016228B" w:rsidRDefault="009921C7" w:rsidP="00D656D1">
      <w:r w:rsidRPr="0016228B">
        <w:rPr>
          <w:rStyle w:val="HideTWBExt"/>
        </w:rPr>
        <w:t>&lt;Article2&gt;</w:t>
      </w:r>
      <w:r w:rsidRPr="0016228B">
        <w:t>8 a artikla – 10 kohta – a alakohta</w:t>
      </w:r>
      <w:r w:rsidRPr="0016228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</w:pPr>
            <w:r w:rsidRPr="0016228B">
              <w:t>a)</w:t>
            </w:r>
            <w:r w:rsidRPr="0016228B">
              <w:tab/>
              <w:t>asianomaisen yrityksen tunnistetiedot;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t>a)</w:t>
            </w:r>
            <w:r w:rsidRPr="0016228B">
              <w:tab/>
              <w:t>asianomaisen yrityksen tunnistetiedot</w:t>
            </w:r>
            <w:r w:rsidRPr="0016228B">
              <w:rPr>
                <w:b/>
                <w:i/>
              </w:rPr>
              <w:t xml:space="preserve"> ja soveltuvissa tapauksissa asianomaisten toimittajien tai jatkokäyttäjien tunnistetiedot</w:t>
            </w:r>
            <w:r w:rsidRPr="0016228B">
              <w:t>;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21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1 artikla – 1 kohta – 9 alakohta</w:t>
      </w:r>
      <w:r w:rsidRPr="0016228B">
        <w:rPr>
          <w:rStyle w:val="HideTWBExt"/>
          <w:b w:val="0"/>
        </w:rPr>
        <w:t>&lt;/Ar</w:t>
      </w:r>
      <w:r w:rsidRPr="0016228B">
        <w:rPr>
          <w:rStyle w:val="HideTWBExt"/>
          <w:b w:val="0"/>
        </w:rPr>
        <w:t>ticle&gt;</w:t>
      </w:r>
    </w:p>
    <w:p w:rsidR="00D656D1" w:rsidRPr="0016228B" w:rsidRDefault="009921C7" w:rsidP="00D656D1">
      <w:pPr>
        <w:keepNext/>
      </w:pPr>
      <w:r w:rsidRPr="0016228B">
        <w:rPr>
          <w:rStyle w:val="HideTWBExt"/>
        </w:rPr>
        <w:t>&lt;DocAmend2&gt;</w:t>
      </w:r>
      <w:r w:rsidRPr="0016228B">
        <w:t>Asetus (EU) 2021/691</w:t>
      </w:r>
      <w:r w:rsidRPr="0016228B">
        <w:rPr>
          <w:rStyle w:val="HideTWBExt"/>
        </w:rPr>
        <w:t>&lt;/DocAmend2&gt;</w:t>
      </w:r>
    </w:p>
    <w:p w:rsidR="00D656D1" w:rsidRPr="0016228B" w:rsidRDefault="009921C7" w:rsidP="00D656D1">
      <w:r w:rsidRPr="0016228B">
        <w:rPr>
          <w:rStyle w:val="HideTWBExt"/>
        </w:rPr>
        <w:t>&lt;Article2&gt;</w:t>
      </w:r>
      <w:r w:rsidRPr="0016228B">
        <w:t>8 a artikla – 10 kohta – c a alakohta (uusi)</w:t>
      </w:r>
      <w:r w:rsidRPr="0016228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</w:tcPr>
          <w:p w:rsidR="00D656D1" w:rsidRPr="0016228B" w:rsidRDefault="00D656D1">
            <w:pPr>
              <w:pStyle w:val="Normal6"/>
            </w:pP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rPr>
                <w:b/>
                <w:i/>
              </w:rPr>
              <w:t>c a)</w:t>
            </w:r>
            <w:r w:rsidRPr="0016228B">
              <w:rPr>
                <w:b/>
                <w:i/>
              </w:rPr>
              <w:tab/>
              <w:t>soveltuvissa tapauksissa toimittajan tai jatkokäyttäjän toimittama perusteltu erittely, joissa kuvataan</w:t>
            </w:r>
            <w:r w:rsidRPr="0016228B">
              <w:rPr>
                <w:b/>
                <w:i/>
              </w:rPr>
              <w:t xml:space="preserve"> välittömät ja syy-yhteydet kollektiivisen hakemuksen yritysten välillä, mukaan lukien yhteys, joka on työpaikkojen menetysten kohteena olevien pääasiallisten työpaikkojen ja toimittajien tai jatkokäyttäjien kohteena olevien työpaikkojen välillä;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</w:t>
      </w:r>
      <w:r w:rsidRPr="0016228B">
        <w:rPr>
          <w:rStyle w:val="HideTWBExt"/>
        </w:rPr>
        <w:t>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22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1 artikla – 1 kohta – 9 alakohta</w:t>
      </w:r>
      <w:r w:rsidRPr="0016228B">
        <w:rPr>
          <w:rStyle w:val="HideTWBExt"/>
          <w:b w:val="0"/>
        </w:rPr>
        <w:t>&lt;/Article&gt;</w:t>
      </w:r>
    </w:p>
    <w:p w:rsidR="00D656D1" w:rsidRPr="0016228B" w:rsidRDefault="009921C7" w:rsidP="00D656D1">
      <w:pPr>
        <w:keepNext/>
      </w:pPr>
      <w:r w:rsidRPr="0016228B">
        <w:rPr>
          <w:rStyle w:val="HideTWBExt"/>
        </w:rPr>
        <w:t>&lt;DocAmend2&gt;</w:t>
      </w:r>
      <w:r w:rsidRPr="0016228B">
        <w:t>Asetus (EU) 2021/691</w:t>
      </w:r>
      <w:r w:rsidRPr="0016228B">
        <w:rPr>
          <w:rStyle w:val="HideTWBExt"/>
        </w:rPr>
        <w:t>&lt;/DocAmend2&gt;</w:t>
      </w:r>
    </w:p>
    <w:p w:rsidR="00D656D1" w:rsidRPr="0016228B" w:rsidRDefault="009921C7" w:rsidP="00D656D1">
      <w:r w:rsidRPr="0016228B">
        <w:rPr>
          <w:rStyle w:val="HideTWBExt"/>
        </w:rPr>
        <w:t>&lt;Article2&gt;</w:t>
      </w:r>
      <w:r w:rsidRPr="0016228B">
        <w:t>8 a artikla – 10 kohta – d alakohta</w:t>
      </w:r>
      <w:r w:rsidRPr="0016228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D656D1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D656D1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</w:pPr>
            <w:r w:rsidRPr="0016228B">
              <w:t>d)</w:t>
            </w:r>
            <w:r w:rsidRPr="0016228B">
              <w:tab/>
              <w:t>vahvistus siitä, että yritys on noudattanut ja noudattaa edelleen lakisääteisiä velvoitteitaan tai työehtosopimuksia, jotka koskevat suunniteltuja vähentämisiä, ja huolehtii työntekijöistä niiden mukaisesti, sek</w:t>
            </w:r>
            <w:r w:rsidRPr="0016228B">
              <w:t>ä kuvaus menettelyistä, joita yritys noudattaa kuullakseen kohteena olevia edunsaajia tai heidän edustajiaan;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t>d)</w:t>
            </w:r>
            <w:r w:rsidRPr="0016228B">
              <w:tab/>
              <w:t>vahvistus siitä, että yritys on noudattanut ja noudattaa edelleen lakisääteisiä velvoitteitaan tai työehtosopimuksia, jotka koskevat suunnitelt</w:t>
            </w:r>
            <w:r w:rsidRPr="0016228B">
              <w:t>uja vähentämisiä, ja huolehtii työntekijöistä niiden mukaisesti, sekä kuvaus menettelyistä, joita yritys noudattaa kuullakseen kohteena olevia edunsaajia tai heidän edustajiaan</w:t>
            </w:r>
            <w:r w:rsidRPr="0016228B">
              <w:rPr>
                <w:b/>
                <w:i/>
              </w:rPr>
              <w:t xml:space="preserve"> läpi koko prosessin, myös koordinoitujen pakettien luomisen aikana</w:t>
            </w:r>
            <w:r w:rsidRPr="0016228B">
              <w:t>;</w:t>
            </w:r>
          </w:p>
        </w:tc>
      </w:tr>
    </w:tbl>
    <w:p w:rsidR="00D656D1" w:rsidRPr="0016228B" w:rsidRDefault="009921C7" w:rsidP="00D656D1">
      <w:pPr>
        <w:pStyle w:val="Olang"/>
        <w:rPr>
          <w:sz w:val="24"/>
          <w:szCs w:val="24"/>
        </w:rPr>
      </w:pPr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D656D1" w:rsidRPr="0016228B" w:rsidRDefault="009921C7" w:rsidP="00D656D1">
      <w:pPr>
        <w:rPr>
          <w:szCs w:val="24"/>
        </w:rPr>
      </w:pPr>
      <w:r w:rsidRPr="0016228B">
        <w:rPr>
          <w:rStyle w:val="HideTWBExt"/>
        </w:rPr>
        <w:t>&lt;/Amend&gt;</w:t>
      </w:r>
    </w:p>
    <w:p w:rsidR="00D656D1" w:rsidRPr="0016228B" w:rsidRDefault="009921C7" w:rsidP="00D656D1">
      <w:pPr>
        <w:pStyle w:val="AMNumberTabs0"/>
        <w:keepNext/>
      </w:pPr>
      <w:r w:rsidRPr="0016228B">
        <w:rPr>
          <w:rStyle w:val="HideTWBExt"/>
          <w:b w:val="0"/>
        </w:rPr>
        <w:t>&lt;Amend&gt;</w:t>
      </w:r>
      <w:r w:rsidRPr="0016228B">
        <w:t>Tarkistus</w:t>
      </w:r>
      <w:r w:rsidRPr="0016228B">
        <w:tab/>
      </w:r>
      <w:r w:rsidRPr="0016228B">
        <w:tab/>
      </w:r>
      <w:r w:rsidRPr="0016228B">
        <w:rPr>
          <w:rStyle w:val="HideTWBExt"/>
          <w:b w:val="0"/>
        </w:rPr>
        <w:t>&lt;NumAm&gt;</w:t>
      </w:r>
      <w:r w:rsidRPr="0016228B">
        <w:t>23</w:t>
      </w:r>
      <w:r w:rsidRPr="0016228B">
        <w:rPr>
          <w:rStyle w:val="HideTWBExt"/>
          <w:b w:val="0"/>
        </w:rPr>
        <w:t>&lt;/NumAm&gt;</w:t>
      </w:r>
    </w:p>
    <w:p w:rsidR="00D656D1" w:rsidRPr="0016228B" w:rsidRDefault="009921C7" w:rsidP="00D656D1">
      <w:pPr>
        <w:pStyle w:val="NormalBold12b"/>
        <w:keepNext/>
      </w:pPr>
      <w:r w:rsidRPr="0016228B">
        <w:rPr>
          <w:rStyle w:val="HideTWBExt"/>
          <w:b w:val="0"/>
        </w:rPr>
        <w:t>&lt;DocAmend&gt;</w:t>
      </w:r>
      <w:r w:rsidRPr="0016228B">
        <w:t>Ehdotus asetukseksi</w:t>
      </w:r>
      <w:r w:rsidRPr="0016228B">
        <w:rPr>
          <w:rStyle w:val="HideTWBExt"/>
          <w:b w:val="0"/>
        </w:rPr>
        <w:t>&lt;/DocAmend&gt;</w:t>
      </w:r>
    </w:p>
    <w:p w:rsidR="00D656D1" w:rsidRPr="0016228B" w:rsidRDefault="009921C7" w:rsidP="00D656D1">
      <w:pPr>
        <w:pStyle w:val="NormalBold"/>
      </w:pPr>
      <w:r w:rsidRPr="0016228B">
        <w:rPr>
          <w:rStyle w:val="HideTWBExt"/>
          <w:b w:val="0"/>
        </w:rPr>
        <w:t>&lt;Article&gt;</w:t>
      </w:r>
      <w:r w:rsidRPr="0016228B">
        <w:t>1 artikla – 1 kohta – 17 alakohta</w:t>
      </w:r>
      <w:r w:rsidRPr="0016228B">
        <w:rPr>
          <w:rStyle w:val="HideTWBExt"/>
          <w:b w:val="0"/>
        </w:rPr>
        <w:t>&lt;/Article&gt;</w:t>
      </w:r>
    </w:p>
    <w:p w:rsidR="00D656D1" w:rsidRPr="0016228B" w:rsidRDefault="009921C7" w:rsidP="00D656D1">
      <w:pPr>
        <w:keepNext/>
      </w:pPr>
      <w:r w:rsidRPr="0016228B">
        <w:rPr>
          <w:rStyle w:val="HideTWBExt"/>
        </w:rPr>
        <w:t>&lt;DocAmend2&gt;</w:t>
      </w:r>
      <w:r w:rsidRPr="0016228B">
        <w:t>Asetus (EU) 2021/691</w:t>
      </w:r>
      <w:r w:rsidRPr="0016228B">
        <w:rPr>
          <w:rStyle w:val="HideTWBExt"/>
        </w:rPr>
        <w:t>&lt;/DocAmend2&gt;</w:t>
      </w:r>
    </w:p>
    <w:p w:rsidR="00D656D1" w:rsidRPr="0016228B" w:rsidRDefault="009921C7" w:rsidP="00D656D1">
      <w:r w:rsidRPr="0016228B">
        <w:rPr>
          <w:rStyle w:val="HideTWBExt"/>
        </w:rPr>
        <w:t>&lt;Article2&gt;</w:t>
      </w:r>
      <w:r w:rsidRPr="0016228B">
        <w:t>22 artikla – 4 kohta</w:t>
      </w:r>
      <w:r w:rsidRPr="0016228B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4F2F" w:rsidRPr="0016228B" w:rsidTr="00F70A35">
        <w:trPr>
          <w:jc w:val="center"/>
        </w:trPr>
        <w:tc>
          <w:tcPr>
            <w:tcW w:w="9752" w:type="dxa"/>
            <w:gridSpan w:val="2"/>
          </w:tcPr>
          <w:p w:rsidR="00D656D1" w:rsidRPr="0016228B" w:rsidRDefault="00D656D1">
            <w:pPr>
              <w:keepNext/>
            </w:pPr>
          </w:p>
        </w:tc>
      </w:tr>
      <w:tr w:rsidR="003B4F2F" w:rsidRPr="0016228B" w:rsidTr="00F70A35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Komission teksti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ColumnHeading"/>
              <w:keepNext/>
            </w:pPr>
            <w:r w:rsidRPr="0016228B">
              <w:t>Tarkistus</w:t>
            </w:r>
          </w:p>
        </w:tc>
      </w:tr>
      <w:tr w:rsidR="003B4F2F" w:rsidRPr="0016228B" w:rsidTr="00F70A35">
        <w:trPr>
          <w:jc w:val="center"/>
        </w:trPr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</w:pPr>
            <w:r w:rsidRPr="0016228B">
              <w:t>4.</w:t>
            </w:r>
            <w:r w:rsidRPr="0016228B">
              <w:tab/>
              <w:t xml:space="preserve">Edunsaajia koskeva selvitys on käynnistettävä kuuden kuukauden kuluessa kunkin täytäntöönpanokauden päättymisestä. Edunsaajia koskevan selvityksen on oltava avoinna edunsaajille ainakin neljän viikon ajan. Jäsenvaltioiden on </w:t>
            </w:r>
            <w:r w:rsidRPr="0016228B">
              <w:t>toimitettava edunsaajia koskeva selvitys edunsaajille, lähetettävä vähintään yksi muistutus ja ilmoitettava komissiolle toimituksesta ja muistutuksen lähetyksestä. Jos kyseessä on yrityksen täytäntöön panema tuki, jonka kohteena ovat 6 artiklan ensimmäisen</w:t>
            </w:r>
            <w:r w:rsidRPr="0016228B">
              <w:t xml:space="preserve"> kohdan c alakohdan mukaiset edunsaajat, kyseinen yritys vastaa komission laatiman selvityksen toimittamisesta toimenpiteisiin osallistuneille työntekijöille. Komissio kerää ja analysoi edunsaajia koskevan selvityksen vastaukset, joita se käyttää pohjana t</w:t>
            </w:r>
            <w:r w:rsidRPr="0016228B">
              <w:t>ulevissa arvioinneissa.”;</w:t>
            </w:r>
          </w:p>
        </w:tc>
        <w:tc>
          <w:tcPr>
            <w:tcW w:w="4876" w:type="dxa"/>
            <w:hideMark/>
          </w:tcPr>
          <w:p w:rsidR="00D656D1" w:rsidRPr="0016228B" w:rsidRDefault="009921C7">
            <w:pPr>
              <w:pStyle w:val="Normal6"/>
              <w:rPr>
                <w:szCs w:val="24"/>
              </w:rPr>
            </w:pPr>
            <w:r w:rsidRPr="0016228B">
              <w:t>4.</w:t>
            </w:r>
            <w:r w:rsidRPr="0016228B">
              <w:tab/>
              <w:t>Edunsaajia koskeva selvitys on käynnistettävä kuuden kuukauden kuluessa kunkin täytäntöönpanokauden päättymisestä. Edunsaajia koskevan selvityksen on oltava avoinna edunsaajille ainakin neljän viikon ajan. Jäsenvaltioiden on to</w:t>
            </w:r>
            <w:r w:rsidRPr="0016228B">
              <w:t>imitettava edunsaajia koskeva selvitys edunsaajille, lähetettävä vähintään yksi muistutus ja ilmoitettava komissiolle toimituksesta ja muistutuksen lähetyksestä. Jos kyseessä on yrityksen täytäntöön panema tuki, jonka kohteena ovat 6 artiklan ensimmäisen k</w:t>
            </w:r>
            <w:r w:rsidRPr="0016228B">
              <w:t>ohdan c alakohdan mukaiset edunsaajat, kyseinen yritys vastaa komission laatiman selvityksen toimittamisesta toimenpiteisiin osallistuneille työntekijöille</w:t>
            </w:r>
            <w:r w:rsidRPr="0016228B">
              <w:rPr>
                <w:b/>
                <w:i/>
              </w:rPr>
              <w:t xml:space="preserve"> ja työntekijöiden edustajille</w:t>
            </w:r>
            <w:r w:rsidRPr="0016228B">
              <w:t>. Komissio kerää ja analysoi edunsaajia koskevan selvityksen vastaukset</w:t>
            </w:r>
            <w:r w:rsidRPr="0016228B">
              <w:t>, joita se käyttää pohjana tulevissa arvioinneissa.”;</w:t>
            </w:r>
          </w:p>
        </w:tc>
      </w:tr>
    </w:tbl>
    <w:p w:rsidR="00F70A35" w:rsidRPr="0016228B" w:rsidRDefault="009921C7" w:rsidP="00F70A35">
      <w:pPr>
        <w:pStyle w:val="Olang"/>
        <w:rPr>
          <w:sz w:val="24"/>
          <w:szCs w:val="24"/>
        </w:rPr>
      </w:pPr>
      <w:bookmarkStart w:id="2" w:name="FootprintPageRR"/>
      <w:r w:rsidRPr="0016228B">
        <w:rPr>
          <w:sz w:val="24"/>
          <w:szCs w:val="24"/>
        </w:rPr>
        <w:t xml:space="preserve">Or. </w:t>
      </w:r>
      <w:r w:rsidRPr="0016228B">
        <w:rPr>
          <w:rStyle w:val="HideTWBExt"/>
        </w:rPr>
        <w:t>&lt;Original&gt;</w:t>
      </w:r>
      <w:r w:rsidRPr="0016228B">
        <w:rPr>
          <w:rStyle w:val="HideTWBInt"/>
          <w:sz w:val="24"/>
          <w:szCs w:val="24"/>
        </w:rPr>
        <w:t>{EN}</w:t>
      </w:r>
      <w:r w:rsidRPr="0016228B">
        <w:rPr>
          <w:sz w:val="24"/>
          <w:szCs w:val="24"/>
        </w:rPr>
        <w:t>en</w:t>
      </w:r>
      <w:r w:rsidRPr="0016228B">
        <w:rPr>
          <w:rStyle w:val="HideTWBExt"/>
        </w:rPr>
        <w:t>&lt;/Original&gt;</w:t>
      </w:r>
    </w:p>
    <w:p w:rsidR="00F70A35" w:rsidRPr="0016228B" w:rsidRDefault="009921C7" w:rsidP="00F70A35">
      <w:pPr>
        <w:rPr>
          <w:szCs w:val="24"/>
        </w:rPr>
      </w:pPr>
      <w:r w:rsidRPr="0016228B">
        <w:rPr>
          <w:rStyle w:val="HideTWBExt"/>
        </w:rPr>
        <w:t>&lt;/Amend&gt;&lt;/RepeatBlock-Amend&gt;</w:t>
      </w:r>
    </w:p>
    <w:p w:rsidR="00F70A35" w:rsidRPr="0016228B" w:rsidRDefault="009921C7" w:rsidP="00F70A35">
      <w:pPr>
        <w:pStyle w:val="Olang"/>
        <w:rPr>
          <w:rStyle w:val="HideTWBExt"/>
        </w:rPr>
      </w:pPr>
      <w:r w:rsidRPr="0016228B">
        <w:rPr>
          <w:rStyle w:val="HideTWBExt"/>
        </w:rPr>
        <w:br w:type="page"/>
      </w:r>
    </w:p>
    <w:p w:rsidR="00F70A35" w:rsidRPr="0016228B" w:rsidRDefault="00F70A35" w:rsidP="00F70A35">
      <w:pPr>
        <w:pStyle w:val="Olang"/>
      </w:pPr>
    </w:p>
    <w:p w:rsidR="00EA317C" w:rsidRPr="0016228B" w:rsidRDefault="009921C7">
      <w:pPr>
        <w:widowControl/>
        <w:rPr>
          <w:rFonts w:ascii="Arial" w:hAnsi="Arial" w:cs="Arial"/>
          <w:b/>
          <w:noProof/>
        </w:rPr>
      </w:pPr>
      <w:r w:rsidRPr="0016228B">
        <w:br w:type="page"/>
      </w:r>
    </w:p>
    <w:p w:rsidR="001A64E7" w:rsidRPr="0016228B" w:rsidRDefault="009921C7" w:rsidP="001A64E7">
      <w:pPr>
        <w:pStyle w:val="PageHeading"/>
        <w:rPr>
          <w:noProof/>
        </w:rPr>
      </w:pPr>
      <w:bookmarkStart w:id="3" w:name="_Toc203376563"/>
      <w:r w:rsidRPr="0016228B">
        <w:t>PERUSTELUT</w:t>
      </w:r>
      <w:bookmarkEnd w:id="3"/>
    </w:p>
    <w:p w:rsidR="001A64E7" w:rsidRPr="0016228B" w:rsidRDefault="009921C7" w:rsidP="001A64E7">
      <w:pPr>
        <w:rPr>
          <w:bCs/>
          <w:iCs/>
        </w:rPr>
      </w:pPr>
      <w:r w:rsidRPr="0016228B">
        <w:t>Euroopan globalisaatiorahasto (EGR) on tällä hetkellä hätärahasto, jota käytetään tukemaan työttömäksi jääneitä työntekijöit</w:t>
      </w:r>
      <w:r w:rsidRPr="0016228B">
        <w:t>ä, jotka ovat menettäneet työpaikkansa talouden rakenneuudistusten seurauksena. Tuki auttaa kaikkein heikoimmassa asemassa olevia, laajamittaisissa rakenneuudistuksissa työpaikkansa menettäviä työntekijöitä työllistymään uudelleen mahdollisimman pian. Rake</w:t>
      </w:r>
      <w:r w:rsidRPr="0016228B">
        <w:t>nneuudistusprosessien määrä voi kuitenkin kasvaa entisestään seurauksena vihreään ja digitaaliseen siirtymään liittyvistä tuotantomallien muutoksista. Tämä kohdistaa lisäpainetta yrityksiin, joiden on jo investoitava näihin siirtymiin. Kansainvälisen kaupa</w:t>
      </w:r>
      <w:r w:rsidRPr="0016228B">
        <w:t xml:space="preserve">n kehityskulut lisäävät samaan aikaan eurooppalaisiin yrityksiin kohdistuvia paineita, koska niiden seurauksena yrityksiin kohdistuu paineita tehdä muutoksia operatiiviseen organisaatioonsa. </w:t>
      </w:r>
    </w:p>
    <w:p w:rsidR="001A64E7" w:rsidRPr="0016228B" w:rsidRDefault="001A64E7" w:rsidP="001A64E7">
      <w:pPr>
        <w:rPr>
          <w:bCs/>
          <w:iCs/>
        </w:rPr>
      </w:pPr>
    </w:p>
    <w:p w:rsidR="001A64E7" w:rsidRPr="0016228B" w:rsidRDefault="009921C7" w:rsidP="001A64E7">
      <w:pPr>
        <w:rPr>
          <w:bCs/>
          <w:iCs/>
        </w:rPr>
      </w:pPr>
      <w:r w:rsidRPr="0016228B">
        <w:t>Nämä syyt ja tarve suojella Euroopan unionin ja Euroopan työpai</w:t>
      </w:r>
      <w:r w:rsidRPr="0016228B">
        <w:t>kkojen strategista itsenäisyyttä tarkoittavat, että yritysten toiminnan lopettamista ja työpaikkojen menetyksiä olisi pyrittävä välttämään kaikin mahdollisin keinoin. Siksi EGR:stä olisi voitava osoittaa ennakoivaa, erillistä ja kohdennettua tukea sellaist</w:t>
      </w:r>
      <w:r w:rsidRPr="0016228B">
        <w:t xml:space="preserve">en yritysten työntekijöille, joissa rakenneuudistus on käynnissä. Tuen pitäisi tarjota työntekijöille mahdollisuuksia työllistyä uusiin tehtäviin saman yrityksen palveluksessa tai löytää töitä toisesta yrityksestä. Ammattitaitoisen työvoiman säilyttäminen </w:t>
      </w:r>
      <w:r w:rsidRPr="0016228B">
        <w:t xml:space="preserve">voi myös tukea rakenneuudistuksen kohteena olevia yrityksiä jatkamaan toimintojaan Euroopassa. </w:t>
      </w:r>
    </w:p>
    <w:p w:rsidR="001A64E7" w:rsidRPr="0016228B" w:rsidRDefault="001A64E7" w:rsidP="001A64E7">
      <w:pPr>
        <w:rPr>
          <w:bCs/>
          <w:iCs/>
        </w:rPr>
      </w:pPr>
    </w:p>
    <w:p w:rsidR="001A64E7" w:rsidRPr="0016228B" w:rsidRDefault="009921C7" w:rsidP="001A64E7">
      <w:r w:rsidRPr="0016228B">
        <w:t xml:space="preserve">EGR:n tuen yhdenmukaistaminen unionin laajempien strategisten tavoitteiden kanssa on tärkeää, joten tässä asetuksessa on varmistettava käytettävissä olevan </w:t>
      </w:r>
      <w:r w:rsidRPr="0016228B">
        <w:t>EGR:n tuen ohjautuminen vihreää ja digitaalista siirtymää rakenneuudistuksellaan vahvistaville yrityksille ja työntekijöille, joihin välitön työpaikan menetys vaikuttaa. Tämä lujittaa rahaston roolia kestävän innovoinnin ja osaamisen kehittämisen edistäjän</w:t>
      </w:r>
      <w:r w:rsidRPr="0016228B">
        <w:t>ä. Se myös turvaa julkisten varojen käyttöä ja varmistaa, että EGR:stä ei tule ainoastaan lieventämisen väline, vaan myös muutoksen edistäjä.</w:t>
      </w:r>
    </w:p>
    <w:p w:rsidR="001A64E7" w:rsidRPr="0016228B" w:rsidRDefault="001A64E7" w:rsidP="001A64E7"/>
    <w:p w:rsidR="001A64E7" w:rsidRPr="0016228B" w:rsidRDefault="009921C7" w:rsidP="001A64E7">
      <w:r w:rsidRPr="0016228B">
        <w:t>Yksi tärkeimmistä muutoksista on sisällyttää mukaan työntekijät, jotka työskentelevät rakenneuudistuksen kohteena</w:t>
      </w:r>
      <w:r w:rsidRPr="0016228B">
        <w:t xml:space="preserve"> olevien yritysten suorien toimittajien ja jatkokäyttäjien palveluksessa, koska he kuuluvat myös nykyisen EGR:n tuen piiriin. Tämä kuvastaa sitä, kuinka monimutkaisia nykyhetken arvoketjujen riippuvuussuhteet ovat, ja siinä otetaan huomioon rakenneuudistuk</w:t>
      </w:r>
      <w:r w:rsidRPr="0016228B">
        <w:t>sen kerrannaisvaikutukset, jotka ulottuvat usein muihinkin kuin sen kohteena olevaan yritykseen. Jotta voidaan ylläpitää vastuuvelvollisuutta ja varmistaa kohdistetut toimet, lisäyksistä on esitettävä todiste osoitetusta syy-yhteydestä työntekijöiden ja en</w:t>
      </w:r>
      <w:r w:rsidRPr="0016228B">
        <w:t>sisijaisen rakenneuudistuksen välillä.</w:t>
      </w:r>
    </w:p>
    <w:p w:rsidR="001A64E7" w:rsidRPr="0016228B" w:rsidRDefault="001A64E7" w:rsidP="001A64E7"/>
    <w:p w:rsidR="001A64E7" w:rsidRPr="0016228B" w:rsidRDefault="009921C7" w:rsidP="001A64E7">
      <w:r w:rsidRPr="0016228B">
        <w:t xml:space="preserve">On erittäin tärkeää osallistaa työntekijät ja heidän edustajansa varhaisessa vaiheessa ja mielekkäästi, koska se auttaa varmistamaan, että kohdistetut paketit suunnitellaan niille työntekijöille, joita uhkaa välitön </w:t>
      </w:r>
      <w:r w:rsidRPr="0016228B">
        <w:t>työpaikan menetys. Työmarkkinaosapuolten vuoropuhelua koskevaa sovellettavaa kansallista lainsäädäntöä olisi siis aina noudatettava koko prosessin ajan. Tarkistuksilla edistetään avoimuutta ja oikeudenmukaisuutta rakenneuudistusten aikana ja turvataan työn</w:t>
      </w:r>
      <w:r w:rsidRPr="0016228B">
        <w:t>tekijöiden oikeudet osallistua heidän tulevaisuuteensa vaikuttavien päätösten tekemiseen. Luonnoksessa ehdotetaan myös työmarkkinaosapuolten roolin vahvistamista koordinoitujen tukipakettien suunnittelussa, koska näin voitaisiin varmistaa räätälöidyt, teho</w:t>
      </w:r>
      <w:r w:rsidRPr="0016228B">
        <w:t xml:space="preserve">kkaat ja alueellisten työmarkkinoiden kannalta oleelliset koulutus- ja täydennyskoulutustoimenpiteet. </w:t>
      </w:r>
    </w:p>
    <w:p w:rsidR="001A64E7" w:rsidRPr="0016228B" w:rsidRDefault="001A64E7" w:rsidP="001A64E7"/>
    <w:p w:rsidR="001A64E7" w:rsidRPr="0016228B" w:rsidRDefault="009921C7" w:rsidP="001A64E7">
      <w:r w:rsidRPr="0016228B">
        <w:t>Jotta sekä jäsenvaltioihin että yrityksiin kohdistuvaa hallinnollista taakkaa voidaan lievittää, lisäyksissä ehdotetaan myös vakiomuotoisten mallien käy</w:t>
      </w:r>
      <w:r w:rsidRPr="0016228B">
        <w:t>ttöä, keskitettyä opastusta ja valtiontukisääntöjen selkeyttämistä nykyisestä.</w:t>
      </w:r>
    </w:p>
    <w:p w:rsidR="001A64E7" w:rsidRPr="0016228B" w:rsidRDefault="009921C7" w:rsidP="001A64E7">
      <w:r w:rsidRPr="0016228B">
        <w:t xml:space="preserve">Yhteenvetona voidaan todeta, että lisäyksillä vastataan sekä työpaikkojen menetyksen muuttuvaan luonteeseen että unionin strategisiin painopisteisiin. Niiden tavoitteena on </w:t>
      </w:r>
      <w:r w:rsidRPr="0016228B">
        <w:t>tehdä EGR:stä osallistavampi, tulevaisuuteen suuntautuneempi ja paremmin EU:n sosiaali- ja teollisuuspolitiikkaan integroitu sekä varmistaa, että se on jatkossakin elintärkeä mekanismi siirtymävaiheessa olevien työntekijöiden tukemisessa.</w:t>
      </w:r>
    </w:p>
    <w:p w:rsidR="001A64E7" w:rsidRPr="0016228B" w:rsidRDefault="009921C7">
      <w:pPr>
        <w:widowControl/>
        <w:rPr>
          <w:rFonts w:ascii="Arial" w:hAnsi="Arial" w:cs="Arial"/>
          <w:b/>
          <w:noProof/>
        </w:rPr>
      </w:pPr>
      <w:r w:rsidRPr="0016228B">
        <w:br w:type="page"/>
      </w:r>
    </w:p>
    <w:p w:rsidR="00F70A35" w:rsidRPr="0016228B" w:rsidRDefault="009921C7" w:rsidP="00D13769">
      <w:pPr>
        <w:pStyle w:val="PageHeading"/>
        <w:rPr>
          <w:noProof/>
        </w:rPr>
      </w:pPr>
      <w:bookmarkStart w:id="4" w:name="_Toc203376564"/>
      <w:r w:rsidRPr="0016228B">
        <w:t>LIITE: YHTEISÖT</w:t>
      </w:r>
      <w:r w:rsidRPr="0016228B">
        <w:t xml:space="preserve"> TAI HENKILÖT,</w:t>
      </w:r>
      <w:r w:rsidRPr="0016228B">
        <w:br/>
        <w:t>JOILTA ESITTELIJÄ ON SAANUT TIETOJA</w:t>
      </w:r>
      <w:bookmarkEnd w:id="4"/>
    </w:p>
    <w:p w:rsidR="00F70A35" w:rsidRPr="0016228B" w:rsidRDefault="009921C7" w:rsidP="00D13769">
      <w:pPr>
        <w:pStyle w:val="Normal24a"/>
        <w:spacing w:after="240"/>
      </w:pPr>
      <w:r w:rsidRPr="0016228B">
        <w:rPr>
          <w:rStyle w:val="HideTWBExt"/>
        </w:rPr>
        <w:t>&lt;FootprintIntro&gt;</w:t>
      </w:r>
      <w:r w:rsidRPr="0016228B">
        <w:t>Esittelijä ilmoittaa työjärjestyksen liitteessä I olevan 8 artiklan mukaisesti saaneensa tietoja seuraavilta yhteisöiltä tai henkilöiltä valmistellessaan mietintöluonnosta:</w:t>
      </w:r>
      <w:r w:rsidRPr="0016228B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  <w:gridCol w:w="44"/>
      </w:tblGrid>
      <w:tr w:rsidR="003B4F2F" w:rsidRPr="0016228B" w:rsidTr="00D13769">
        <w:tc>
          <w:tcPr>
            <w:tcW w:w="9060" w:type="dxa"/>
            <w:gridSpan w:val="2"/>
            <w:shd w:val="clear" w:color="auto" w:fill="auto"/>
          </w:tcPr>
          <w:p w:rsidR="00F70A35" w:rsidRPr="0016228B" w:rsidRDefault="009921C7" w:rsidP="001A2D28">
            <w:pPr>
              <w:pStyle w:val="NormalBoldCenter"/>
            </w:pPr>
            <w:r w:rsidRPr="0016228B">
              <w:t>Yhteisö ja/tai henkilö</w:t>
            </w:r>
          </w:p>
        </w:tc>
      </w:tr>
      <w:tr w:rsidR="003B4F2F" w:rsidRPr="0016228B" w:rsidTr="00F70A35">
        <w:trPr>
          <w:gridAfter w:val="1"/>
          <w:wAfter w:w="44" w:type="dxa"/>
        </w:trPr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A35" w:rsidRPr="0016228B" w:rsidRDefault="009921C7">
            <w:pPr>
              <w:pStyle w:val="NormalSingle"/>
            </w:pPr>
            <w:r w:rsidRPr="0016228B">
              <w:t>European Trade Union Confederation</w:t>
            </w:r>
          </w:p>
        </w:tc>
      </w:tr>
      <w:tr w:rsidR="003B4F2F" w:rsidRPr="0016228B" w:rsidTr="00F70A35">
        <w:trPr>
          <w:gridAfter w:val="1"/>
          <w:wAfter w:w="44" w:type="dxa"/>
        </w:trPr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A35" w:rsidRPr="0016228B" w:rsidRDefault="009921C7">
            <w:pPr>
              <w:pStyle w:val="NormalSingle"/>
            </w:pPr>
            <w:r w:rsidRPr="0016228B">
              <w:t>ACV-CSC</w:t>
            </w:r>
          </w:p>
        </w:tc>
      </w:tr>
      <w:tr w:rsidR="003B4F2F" w:rsidRPr="0016228B" w:rsidTr="00F70A35">
        <w:trPr>
          <w:gridAfter w:val="1"/>
          <w:wAfter w:w="44" w:type="dxa"/>
        </w:trPr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A35" w:rsidRPr="0016228B" w:rsidRDefault="009921C7">
            <w:pPr>
              <w:pStyle w:val="NormalSingle"/>
            </w:pPr>
            <w:r w:rsidRPr="0016228B">
              <w:t>Business Europe</w:t>
            </w:r>
          </w:p>
        </w:tc>
      </w:tr>
      <w:tr w:rsidR="003B4F2F" w:rsidRPr="0016228B" w:rsidTr="00F70A35">
        <w:trPr>
          <w:gridAfter w:val="1"/>
          <w:wAfter w:w="44" w:type="dxa"/>
        </w:trPr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A35" w:rsidRPr="0016228B" w:rsidRDefault="009921C7">
            <w:pPr>
              <w:pStyle w:val="NormalSingle"/>
              <w:tabs>
                <w:tab w:val="left" w:pos="1215"/>
              </w:tabs>
            </w:pPr>
            <w:r w:rsidRPr="0016228B">
              <w:t>VBO-FEB</w:t>
            </w:r>
          </w:p>
        </w:tc>
      </w:tr>
      <w:tr w:rsidR="003B4F2F" w:rsidRPr="0016228B" w:rsidTr="00F70A35">
        <w:trPr>
          <w:gridAfter w:val="1"/>
          <w:wAfter w:w="44" w:type="dxa"/>
        </w:trPr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A35" w:rsidRPr="0016228B" w:rsidRDefault="009921C7">
            <w:pPr>
              <w:pStyle w:val="NormalSingle"/>
              <w:tabs>
                <w:tab w:val="left" w:pos="1215"/>
              </w:tabs>
            </w:pPr>
            <w:r w:rsidRPr="0016228B">
              <w:t>IndustriAll - European Trade Union</w:t>
            </w:r>
          </w:p>
        </w:tc>
      </w:tr>
      <w:tr w:rsidR="003B4F2F" w:rsidRPr="0016228B" w:rsidTr="00F70A35">
        <w:trPr>
          <w:gridAfter w:val="1"/>
          <w:wAfter w:w="44" w:type="dxa"/>
        </w:trPr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A35" w:rsidRPr="0016228B" w:rsidRDefault="009921C7">
            <w:pPr>
              <w:pStyle w:val="NormalSingle"/>
              <w:tabs>
                <w:tab w:val="left" w:pos="1215"/>
              </w:tabs>
            </w:pPr>
            <w:r w:rsidRPr="0016228B">
              <w:t>European Economic &amp; Social Committee</w:t>
            </w:r>
          </w:p>
        </w:tc>
      </w:tr>
    </w:tbl>
    <w:p w:rsidR="00F70A35" w:rsidRPr="0016228B" w:rsidRDefault="009921C7" w:rsidP="00D13769">
      <w:pPr>
        <w:pStyle w:val="Footprint12b"/>
      </w:pPr>
      <w:r w:rsidRPr="0016228B">
        <w:t>Esittelijä on yksin vastuussa edellä olevan luettelon laatimisesta.</w:t>
      </w:r>
    </w:p>
    <w:p w:rsidR="00F70A35" w:rsidRPr="0016228B" w:rsidRDefault="009921C7" w:rsidP="00D13769">
      <w:pPr>
        <w:pStyle w:val="Footprint12b"/>
      </w:pPr>
      <w:r w:rsidRPr="0016228B">
        <w:t xml:space="preserve">Kun luettelossa </w:t>
      </w:r>
      <w:r w:rsidRPr="0016228B">
        <w:t>mainitaan luonnollisen henkilön nimi ja/tai tehtävänimike, esittelijä vakuuttaa antaneensa kyseiselle henkilölle Euroopan parlamentin tietosuojaselosteen numero 484 (</w:t>
      </w:r>
      <w:hyperlink r:id="rId9" w:history="1">
        <w:r w:rsidRPr="0016228B">
          <w:rPr>
            <w:rStyle w:val="Hyperlink"/>
          </w:rPr>
          <w:t>https://www.europarl.</w:t>
        </w:r>
        <w:r w:rsidRPr="0016228B">
          <w:rPr>
            <w:rStyle w:val="Hyperlink"/>
          </w:rPr>
          <w:t>europa.eu/data-protect/index.do</w:t>
        </w:r>
      </w:hyperlink>
      <w:r w:rsidRPr="0016228B">
        <w:t>), jossa määritetään henkilötietojen käsittelyyn sovellettavat ehdot ja siihen liittyvät oikeudet.</w:t>
      </w:r>
    </w:p>
    <w:bookmarkEnd w:id="2"/>
    <w:p w:rsidR="00F70A35" w:rsidRPr="0016228B" w:rsidRDefault="00F70A35">
      <w:pPr>
        <w:widowControl/>
        <w:rPr>
          <w:rStyle w:val="HideTWBExt"/>
          <w:vanish w:val="0"/>
        </w:rPr>
      </w:pPr>
    </w:p>
    <w:sectPr w:rsidR="00F70A35" w:rsidRPr="0016228B" w:rsidSect="0016228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16228B" w:rsidRDefault="009921C7">
      <w:r w:rsidRPr="0016228B">
        <w:separator/>
      </w:r>
    </w:p>
  </w:endnote>
  <w:endnote w:type="continuationSeparator" w:id="0">
    <w:p w:rsidR="00000000" w:rsidRPr="0016228B" w:rsidRDefault="009921C7">
      <w:r w:rsidRPr="001622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28B" w:rsidRPr="0016228B" w:rsidRDefault="0016228B" w:rsidP="0016228B">
    <w:pPr>
      <w:pStyle w:val="EPFooter"/>
    </w:pPr>
    <w:r w:rsidRPr="0016228B">
      <w:t>PE</w:t>
    </w:r>
    <w:r w:rsidRPr="0016228B">
      <w:rPr>
        <w:rStyle w:val="HideTWBExt"/>
      </w:rPr>
      <w:t>&lt;NoPE&gt;</w:t>
    </w:r>
    <w:r w:rsidRPr="0016228B">
      <w:t>774.423</w:t>
    </w:r>
    <w:r w:rsidRPr="0016228B">
      <w:rPr>
        <w:rStyle w:val="HideTWBExt"/>
      </w:rPr>
      <w:t>&lt;/NoPE&gt;&lt;Version&gt;</w:t>
    </w:r>
    <w:r w:rsidRPr="0016228B">
      <w:t>v01-00</w:t>
    </w:r>
    <w:r w:rsidRPr="0016228B">
      <w:rPr>
        <w:rStyle w:val="HideTWBExt"/>
      </w:rPr>
      <w:t>&lt;/Version&gt;</w:t>
    </w:r>
    <w:r w:rsidRPr="0016228B">
      <w:tab/>
    </w:r>
    <w:r w:rsidRPr="0016228B">
      <w:fldChar w:fldCharType="begin"/>
    </w:r>
    <w:r w:rsidRPr="0016228B">
      <w:instrText xml:space="preserve"> PAGE  \* MERGEFORMAT </w:instrText>
    </w:r>
    <w:r w:rsidRPr="0016228B">
      <w:fldChar w:fldCharType="separate"/>
    </w:r>
    <w:r w:rsidR="009921C7">
      <w:rPr>
        <w:noProof/>
      </w:rPr>
      <w:t>2</w:t>
    </w:r>
    <w:r w:rsidRPr="0016228B">
      <w:fldChar w:fldCharType="end"/>
    </w:r>
    <w:r w:rsidRPr="0016228B">
      <w:t>/</w:t>
    </w:r>
    <w:fldSimple w:instr=" NUMPAGES  \* MERGEFORMAT ">
      <w:r w:rsidR="009921C7">
        <w:rPr>
          <w:noProof/>
        </w:rPr>
        <w:t>21</w:t>
      </w:r>
    </w:fldSimple>
    <w:r w:rsidRPr="0016228B">
      <w:tab/>
    </w:r>
    <w:r w:rsidRPr="0016228B">
      <w:rPr>
        <w:rStyle w:val="HideTWBExt"/>
      </w:rPr>
      <w:t>&lt;PathFdR&gt;</w:t>
    </w:r>
    <w:r w:rsidRPr="0016228B">
      <w:t>PR\1322767FI.docx</w:t>
    </w:r>
    <w:r w:rsidRPr="0016228B">
      <w:rPr>
        <w:rStyle w:val="HideTWBExt"/>
      </w:rPr>
      <w:t>&lt;/PathFdR&gt;</w:t>
    </w:r>
  </w:p>
  <w:p w:rsidR="00D13769" w:rsidRPr="0016228B" w:rsidRDefault="0016228B" w:rsidP="0016228B">
    <w:pPr>
      <w:pStyle w:val="EPFooter2"/>
    </w:pPr>
    <w:r w:rsidRPr="0016228B">
      <w:t>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28B" w:rsidRPr="0016228B" w:rsidRDefault="0016228B" w:rsidP="0016228B">
    <w:pPr>
      <w:pStyle w:val="EPFooter"/>
    </w:pPr>
    <w:r w:rsidRPr="0016228B">
      <w:rPr>
        <w:rStyle w:val="HideTWBExt"/>
      </w:rPr>
      <w:t>&lt;PathFdR&gt;</w:t>
    </w:r>
    <w:r w:rsidRPr="0016228B">
      <w:t>PR\1322767FI.docx</w:t>
    </w:r>
    <w:r w:rsidRPr="0016228B">
      <w:rPr>
        <w:rStyle w:val="HideTWBExt"/>
      </w:rPr>
      <w:t>&lt;/PathFdR&gt;</w:t>
    </w:r>
    <w:r w:rsidRPr="0016228B">
      <w:tab/>
    </w:r>
    <w:r w:rsidRPr="0016228B">
      <w:fldChar w:fldCharType="begin"/>
    </w:r>
    <w:r w:rsidRPr="0016228B">
      <w:instrText xml:space="preserve"> PAGE  \* MERGEFORMAT </w:instrText>
    </w:r>
    <w:r w:rsidRPr="0016228B">
      <w:fldChar w:fldCharType="separate"/>
    </w:r>
    <w:r w:rsidR="009921C7">
      <w:rPr>
        <w:noProof/>
      </w:rPr>
      <w:t>19</w:t>
    </w:r>
    <w:r w:rsidRPr="0016228B">
      <w:fldChar w:fldCharType="end"/>
    </w:r>
    <w:r w:rsidRPr="0016228B">
      <w:t>/</w:t>
    </w:r>
    <w:fldSimple w:instr=" NUMPAGES  \* MERGEFORMAT ">
      <w:r w:rsidR="009921C7">
        <w:rPr>
          <w:noProof/>
        </w:rPr>
        <w:t>21</w:t>
      </w:r>
    </w:fldSimple>
    <w:r w:rsidRPr="0016228B">
      <w:tab/>
      <w:t>PE</w:t>
    </w:r>
    <w:r w:rsidRPr="0016228B">
      <w:rPr>
        <w:rStyle w:val="HideTWBExt"/>
      </w:rPr>
      <w:t>&lt;NoPE&gt;</w:t>
    </w:r>
    <w:r w:rsidRPr="0016228B">
      <w:t>774.423</w:t>
    </w:r>
    <w:r w:rsidRPr="0016228B">
      <w:rPr>
        <w:rStyle w:val="HideTWBExt"/>
      </w:rPr>
      <w:t>&lt;/NoPE&gt;&lt;Version&gt;</w:t>
    </w:r>
    <w:r w:rsidRPr="0016228B">
      <w:t>v01-00</w:t>
    </w:r>
    <w:r w:rsidRPr="0016228B">
      <w:rPr>
        <w:rStyle w:val="HideTWBExt"/>
      </w:rPr>
      <w:t>&lt;/Version&gt;</w:t>
    </w:r>
  </w:p>
  <w:p w:rsidR="00D13769" w:rsidRPr="0016228B" w:rsidRDefault="0016228B" w:rsidP="0016228B">
    <w:pPr>
      <w:pStyle w:val="EPFooter2"/>
    </w:pPr>
    <w:r w:rsidRPr="0016228B">
      <w:tab/>
    </w:r>
    <w:r w:rsidRPr="0016228B">
      <w:tab/>
      <w:t>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28B" w:rsidRPr="0016228B" w:rsidRDefault="0016228B" w:rsidP="0016228B">
    <w:pPr>
      <w:pStyle w:val="EPFooter"/>
    </w:pPr>
    <w:r w:rsidRPr="0016228B">
      <w:rPr>
        <w:rStyle w:val="HideTWBExt"/>
      </w:rPr>
      <w:t>&lt;PathFdR&gt;</w:t>
    </w:r>
    <w:r w:rsidRPr="0016228B">
      <w:t>PR\1322767FI.docx</w:t>
    </w:r>
    <w:r w:rsidRPr="0016228B">
      <w:rPr>
        <w:rStyle w:val="HideTWBExt"/>
      </w:rPr>
      <w:t>&lt;/PathFdR&gt;</w:t>
    </w:r>
    <w:r w:rsidRPr="0016228B">
      <w:tab/>
    </w:r>
    <w:r w:rsidRPr="0016228B">
      <w:tab/>
      <w:t>PE</w:t>
    </w:r>
    <w:r w:rsidRPr="0016228B">
      <w:rPr>
        <w:rStyle w:val="HideTWBExt"/>
      </w:rPr>
      <w:t>&lt;NoPE&gt;</w:t>
    </w:r>
    <w:r w:rsidRPr="0016228B">
      <w:t>774.423</w:t>
    </w:r>
    <w:r w:rsidRPr="0016228B">
      <w:rPr>
        <w:rStyle w:val="HideTWBExt"/>
      </w:rPr>
      <w:t>&lt;/NoPE&gt;&lt;Version&gt;</w:t>
    </w:r>
    <w:r w:rsidRPr="0016228B">
      <w:t>v01-00</w:t>
    </w:r>
    <w:r w:rsidRPr="0016228B">
      <w:rPr>
        <w:rStyle w:val="HideTWBExt"/>
      </w:rPr>
      <w:t>&lt;/Version&gt;</w:t>
    </w:r>
  </w:p>
  <w:p w:rsidR="00D13769" w:rsidRPr="0016228B" w:rsidRDefault="0016228B" w:rsidP="0016228B">
    <w:pPr>
      <w:pStyle w:val="EPFooter2"/>
    </w:pPr>
    <w:r w:rsidRPr="0016228B">
      <w:t>FI</w:t>
    </w:r>
    <w:r w:rsidRPr="0016228B">
      <w:tab/>
    </w:r>
    <w:r w:rsidRPr="0016228B">
      <w:rPr>
        <w:b w:val="0"/>
        <w:i/>
        <w:color w:val="C0C0C0"/>
        <w:sz w:val="22"/>
      </w:rPr>
      <w:t>Moninaisuudessaan yhtenäinen</w:t>
    </w:r>
    <w:r w:rsidRPr="0016228B">
      <w:tab/>
      <w:t>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769" w:rsidRPr="0016228B" w:rsidRDefault="009921C7">
      <w:r w:rsidRPr="0016228B">
        <w:separator/>
      </w:r>
    </w:p>
  </w:footnote>
  <w:footnote w:type="continuationSeparator" w:id="0">
    <w:p w:rsidR="00D13769" w:rsidRPr="0016228B" w:rsidRDefault="009921C7">
      <w:r w:rsidRPr="0016228B">
        <w:continuationSeparator/>
      </w:r>
    </w:p>
  </w:footnote>
  <w:footnote w:id="1">
    <w:p w:rsidR="00D13769" w:rsidRPr="0016228B" w:rsidRDefault="009921C7">
      <w:pPr>
        <w:pStyle w:val="FootnoteText"/>
      </w:pPr>
      <w:r w:rsidRPr="0016228B">
        <w:rPr>
          <w:rStyle w:val="FootnoteReference"/>
        </w:rPr>
        <w:footnoteRef/>
      </w:r>
      <w:r w:rsidRPr="0016228B">
        <w:tab/>
        <w:t xml:space="preserve">EUVL C, , ELI: http://data.europa.eu/eli/C/2024/.../oj. / Ei vielä julkaistu virallisessa lehdessä. </w:t>
      </w:r>
    </w:p>
  </w:footnote>
  <w:footnote w:id="2">
    <w:p w:rsidR="00D13769" w:rsidRPr="0016228B" w:rsidRDefault="009921C7" w:rsidP="00BB6162">
      <w:pPr>
        <w:pStyle w:val="FootnoteText"/>
      </w:pPr>
      <w:r w:rsidRPr="0016228B">
        <w:rPr>
          <w:rStyle w:val="FootnoteReference"/>
        </w:rPr>
        <w:footnoteRef/>
      </w:r>
      <w:r w:rsidRPr="0016228B">
        <w:tab/>
        <w:t>EUVL C, , ELI: http://data.europa.e</w:t>
      </w:r>
      <w:r w:rsidRPr="0016228B">
        <w:t xml:space="preserve">u/eli/C/2024/.../oj. / Ei vielä julkaistu virallisessa lehdessä.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1C7" w:rsidRDefault="009921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1C7" w:rsidRDefault="009921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1C7" w:rsidRDefault="009921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UTHORMFPMNU" w:val=" 2"/>
    <w:docVar w:name="CJMNU" w:val="1"/>
    <w:docVar w:name="COMKEY" w:val="EMPL"/>
    <w:docVar w:name="CONTRIBUTIONMNU" w:val=" 1"/>
    <w:docVar w:name="CopyToNetwork" w:val="-1"/>
    <w:docVar w:name="CVar" w:val="1"/>
    <w:docVar w:name="DOCDT" w:val="27/06/2025"/>
    <w:docVar w:name="DOCMNU" w:val=" 1"/>
    <w:docVar w:name="EPSTATMNU" w:val=" 1"/>
    <w:docVar w:name="EVABUDGMNU" w:val=" 1"/>
    <w:docVar w:name="iNoAmend" w:val="1"/>
    <w:docVar w:name="INSTITUTIONSMNU" w:val=" 2"/>
    <w:docVar w:name="JURI1MNU" w:val=" 2"/>
    <w:docVar w:name="JURI2MNU" w:val=" 2"/>
    <w:docVar w:name="LastEditedSection" w:val=" 1"/>
    <w:docVar w:name="NVAR1" w:val="0"/>
    <w:docVar w:name="ORLANGKEY" w:val="EN"/>
    <w:docVar w:name="ORLANGMNU" w:val=" 1"/>
    <w:docVar w:name="OTHERSTATMNU" w:val=" 4"/>
    <w:docVar w:name="PARLIAMENTSMNU" w:val=" 1"/>
    <w:docVar w:name="PARLMNU" w:val=" 1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3\fbidi \froman\fcharset238\fprq2 Times New Roman CE;}{\f334\fbidi \froman\fcharset204\fprq2 Times New Roman Cyr;}_x000d__x000a_{\f336\fbidi \froman\fcharset161\fprq2 Times New Roman Greek;}{\f337\fbidi \froman\fcharset162\fprq2 Times New Roman Tur;}{\f338\fbidi \froman\fcharset177\fprq2 Times New Roman (Hebrew);}{\f339\fbidi \froman\fcharset178\fprq2 Times New Roman (Arabic);}_x000d__x000a_{\f340\fbidi \froman\fcharset186\fprq2 Times New Roman Baltic;}{\f341\fbidi \froman\fcharset163\fprq2 Times New Roman (Vietnamese);}{\f343\fbidi \fswiss\fcharset238\fprq2 Arial CE;}{\f344\fbidi \fswiss\fcharset204\fprq2 Arial Cyr;}_x000d__x000a_{\f346\fbidi \fswiss\fcharset161\fprq2 Arial Greek;}{\f347\fbidi \fswiss\fcharset162\fprq2 Arial Tur;}{\f348\fbidi \fswiss\fcharset177\fprq2 Arial (Hebrew);}{\f349\fbidi \fswiss\fcharset178\fprq2 Arial (Arabic);}_x000d__x000a_{\f350\fbidi \fswiss\fcharset186\fprq2 Arial Baltic;}{\f351\fbidi \fswiss\fcharset163\fprq2 Arial (Vietnamese);}{\f673\fbidi \froman\fcharset238\fprq2 Cambria Math CE;}{\f674\fbidi \froman\fcharset204\fprq2 Cambria Math Cyr;}_x000d__x000a_{\f676\fbidi \froman\fcharset161\fprq2 Cambria Math Greek;}{\f677\fbidi \froman\fcharset162\fprq2 Cambria Math Tur;}{\f680\fbidi \froman\fcharset186\fprq2 Cambria Math Baltic;}{\f68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098088 HideTWBExt;}{\*\cs18 \additive \v\f1\fs20\cf15 _x000d__x000a_\spriority0 \styrsid7098088 HideTWBInt;}{\s19\ql \li0\ri0\sa120\nowidctlpar\wrapdefault\aspalpha\aspnum\faauto\adjustright\rin0\lin0\itap0 \rtlch\fcs1 \af0\afs20\alang1025 \ltrch\fcs0 \fs24\lang2057\langfe2057\cgrid\langnp2057\langfenp2057 _x000d__x000a_\sbasedon0 \snext19 \spriority0 \styrsid7098088 Normal6a;}{\s20\ql \li0\ri0\nowidctlpar\wrapdefault\aspalpha\aspnum\faauto\adjustright\rin0\lin0\itap0 \rtlch\fcs1 \af0\afs20\alang1025 \ltrch\fcs0 \b\fs24\lang2057\langfe2057\cgrid\langnp2057\langfenp2057 _x000d__x000a_\sbasedon0 \snext20 \spriority0 \styrsid7098088 NormalBold;}{\s21\ql \li0\ri0\sa240\nowidctlpar\wrapdefault\aspalpha\aspnum\faauto\adjustright\rin0\lin0\itap0 \rtlch\fcs1 \af0\afs20\alang1025 \ltrch\fcs0 _x000d__x000a_\i\fs24\lang2057\langfe2057\cgrid\langnp2057\langfenp2057 \sbasedon0 \snext21 \spriority0 \styrsid7098088 AmJustText;}{\s22\qc \li0\ri0\sb240\sa240\nowidctlpar\wrapdefault\aspalpha\aspnum\faauto\adjustright\rin0\lin0\itap0 \rtlch\fcs1 _x000d__x000a_\af0\afs20\alang1025 \ltrch\fcs0 \i\fs24\lang2057\langfe2057\cgrid\langnp2057\langfenp2057 \sbasedon0 \snext22 \spriority0 \styrsid7098088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098088 AmJustTitle;}{\s24\qr \li0\ri0\sb240\sa240\nowidctlpar\wrapdefault\aspalpha\aspnum\faauto\adjustright\rin0\lin0\itap0 \rtlch\fcs1 \af0\afs20\alang1025 \ltrch\fcs0 _x000d__x000a_\fs24\lang2057\langfe2057\cgrid\langnp2057\langfenp2057 \sbasedon0 \snext24 \spriority0 \styrsid7098088 AmOrLang;}{\s25\qc \li0\ri0\sa240\nowidctlpar\wrapdefault\aspalpha\aspnum\faauto\adjustright\rin0\lin0\itap0 \rtlch\fcs1 \af0\afs20\alang1025 _x000d__x000a_\ltrch\fcs0 \i\fs24\lang2057\langfe2057\cgrid\langnp2057\langfenp2057 \sbasedon0 \snext25 \spriority0 \styrsid709808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098088 AmNumberTabs;}{\s27\ql \li0\ri0\sb240\nowidctlpar\wrapdefault\aspalpha\aspnum\faauto\adjustright\rin0\lin0\itap0 \rtlch\fcs1 _x000d__x000a_\af0\afs20\alang1025 \ltrch\fcs0 \b\fs24\lang2057\langfe2057\cgrid\langnp2057\langfenp2057 \sbasedon0 \snext27 \spriority0 \styrsid7098088 NormalBold12b;}}{\*\rsidtbl \rsid24658\rsid223860\rsid735077\rsid1718133\rsid2892074\rsid3565327\rsid4659127_x000d__x000a_\rsid4666813\rsid6641733\rsid7098088\rsid7823322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ARAMINA Irena}{\operator ARAMINA Irena}{\creatim\yr2025\mo6\dy10\hr11\min24}{\revtim\yr2025\mo6\dy10\hr11\min24}{\version1}{\edmins0}{\nofpages1}_x000d__x000a_{\nofwords105}{\nofchars595}{\nofcharsws69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09808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aramin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65912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6591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6591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65912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7098088 \rtlch\fcs1 _x000d__x000a_\af0\afs20\alang1025 \ltrch\fcs0 \b\fs24\lang2057\langfe2057\cgrid\langnp2057\langfenp2057 {\rtlch\fcs1 \af0 \ltrch\fcs0 \cs17\b0\v\fs20\cf9\lang1024\langfe1024\loch\af1\hich\af1\dbch\af31501\noproof\insrsid7098088\charrsid15625115 {\*\bkmkstart restart}_x000d__x000a_\hich\af1\dbch\af31501\loch\f1 &lt;Amend&gt;}{\rtlch\fcs1 \af0 \ltrch\fcs0 \insrsid7098088\charrsid15625115 Amendment\tab \tab }{\rtlch\fcs1 \af0 \ltrch\fcs0 _x000d__x000a_\cs17\b0\v\fs20\cf9\lang1024\langfe1024\loch\af1\hich\af1\dbch\af31501\noproof\insrsid7098088\charrsid15625115 \hich\af1\dbch\af31501\loch\f1 &lt;NumAm&gt;}{\rtlch\fcs1 \af0 \ltrch\fcs0 \insrsid7098088\charrsid15625115 #}{\rtlch\fcs1 \af1 \ltrch\fcs0 _x000d__x000a_\cs18\v\f1\fs20\cf15\insrsid7098088\charrsid15625115 ENMIENDA@NRAM@}{\rtlch\fcs1 \af0 \ltrch\fcs0 \insrsid7098088\charrsid15625115 #}{\rtlch\fcs1 \af0 \ltrch\fcs0 _x000d__x000a_\cs17\b0\v\fs20\cf9\lang1024\langfe1024\loch\af1\hich\af1\dbch\af31501\noproof\insrsid7098088\charrsid15625115 \hich\af1\dbch\af31501\loch\f1 &lt;/NumAm&gt;}{\rtlch\fcs1 \af0 \ltrch\fcs0 \insrsid7098088\charrsid15625115 _x000d__x000a_\par }\pard\plain \ltrpar\s27\ql \li0\ri0\sb240\keepn\nowidctlpar\wrapdefault\aspalpha\aspnum\faauto\adjustright\rin0\lin0\itap0\pararsid7098088 \rtlch\fcs1 \af0\afs20\alang1025 \ltrch\fcs0 \b\fs24\lang2057\langfe2057\cgrid\langnp2057\langfenp2057 {_x000d__x000a_\rtlch\fcs1 \af0 \ltrch\fcs0 \cs17\b0\v\fs20\cf9\lang1024\langfe1024\loch\af1\hich\af1\dbch\af31501\noproof\insrsid7098088\charrsid15625115 \hich\af1\dbch\af31501\loch\f1 &lt;DocAmend&gt;}{\rtlch\fcs1 \af0 \ltrch\fcs0 \insrsid7098088\charrsid15625115 Prop_x000d__x000a_osal for a #}{\rtlch\fcs1 \af1 \ltrch\fcs0 \cs18\v\f1\fs20\cf15\insrsid7098088\charrsid15625115 MNU[DOC1][DOC2][DOC3]@DOCMSG@DOCMNU}{\rtlch\fcs1 \af0 \ltrch\fcs0 \insrsid7098088\charrsid15625115 ##}{\rtlch\fcs1 \af1 \ltrch\fcs0 _x000d__x000a_\cs18\v\f1\fs20\cf15\insrsid7098088\charrsid15625115 MNU[AMACTYES][NOTAPP]@CHOICE@AMACTMNU}{\rtlch\fcs1 \af0 \ltrch\fcs0 \insrsid7098088\charrsid15625115 #}{\rtlch\fcs1 \af0 \ltrch\fcs0 _x000d__x000a_\cs17\b0\v\fs20\cf9\lang1024\langfe1024\loch\af1\hich\af1\dbch\af31501\noproof\insrsid7098088\charrsid15625115 \hich\af1\dbch\af31501\loch\f1 &lt;/DocAmend&gt;}{\rtlch\fcs1 \af0 \ltrch\fcs0 \insrsid7098088\charrsid15625115 _x000d__x000a_\par }\pard\plain \ltrpar\s20\ql \li0\ri0\keepn\nowidctlpar\wrapdefault\aspalpha\aspnum\faauto\adjustright\rin0\lin0\itap0\pararsid7098088 \rtlch\fcs1 \af0\afs20\alang1025 \ltrch\fcs0 \b\fs24\lang2057\langfe2057\cgrid\langnp2057\langfenp2057 {\rtlch\fcs1 \af0 _x000d__x000a_\ltrch\fcs0 \cs17\b0\v\fs20\cf9\lang1024\langfe1024\loch\af1\hich\af1\dbch\af31501\noproof\insrsid7098088\charrsid15625115 \hich\af1\dbch\af31501\loch\f1 &lt;Article&gt;}{\rtlch\fcs1 \af0 \ltrch\fcs0 \insrsid7098088\charrsid15625115 #}{\rtlch\fcs1 \af1 _x000d__x000a_\ltrch\fcs0 \cs18\v\f1\fs20\cf15\insrsid7098088\charrsid15625115 MNU[AMACTPARTYES][AMACTPARTNO]@CHOICE@AMACTMNU}{\rtlch\fcs1 \af0 \ltrch\fcs0 \insrsid7098088\charrsid15625115 #}{\rtlch\fcs1 \af0 \ltrch\fcs0 _x000d__x000a_\cs17\b0\v\fs20\cf9\lang1024\langfe1024\loch\af1\hich\af1\dbch\af31501\noproof\insrsid7098088\charrsid15625115 \hich\af1\dbch\af31501\loch\f1 &lt;/Article&gt;}{\rtlch\fcs1 \af0 \ltrch\fcs0 \insrsid7098088\charrsid15625115 _x000d__x000a_\par }\pard\plain \ltrpar\ql \li0\ri0\keepn\widctlpar\wrapdefault\aspalpha\aspnum\faauto\adjustright\rin0\lin0\itap0\pararsid7098088 \rtlch\fcs1 \af0\afs20\alang1025 \ltrch\fcs0 \fs24\lang2057\langfe2057\cgrid\langnp2057\langfenp2057 {\rtlch\fcs1 \af0 _x000d__x000a_\ltrch\fcs0 \cs17\v\fs20\cf9\lang1024\langfe1024\loch\af1\hich\af1\dbch\af31501\noproof\insrsid7098088\charrsid15625115 \hich\af1\dbch\af31501\loch\f1 &lt;DocAmend2&gt;&lt;OptDel&gt;}{\rtlch\fcs1 \af0 \ltrch\fcs0 \insrsid7098088\charrsid15625115 #}{\rtlch\fcs1 \af1 _x000d__x000a_\ltrch\fcs0 \cs18\v\f1\fs20\cf15\insrsid7098088\charrsid15625115 MNU[OPTNRACTYES][NOTAPP]@CHOICE@AMACTMNU}{\rtlch\fcs1 \af0 \ltrch\fcs0 \insrsid7098088\charrsid15625115 #}{\rtlch\fcs1 \af0 \ltrch\fcs0 _x000d__x000a_\cs17\v\fs20\cf9\lang1024\langfe1024\loch\af1\hich\af1\dbch\af31501\noproof\insrsid7098088\charrsid15625115 \hich\af1\dbch\af31501\loch\f1 &lt;/OptDel&gt;&lt;/DocAmend2&gt;}{\rtlch\fcs1 \af0 \ltrch\fcs0 \insrsid7098088\charrsid15625115 _x000d__x000a_\par }\pard \ltrpar\ql \li0\ri0\widctlpar\wrapdefault\aspalpha\aspnum\faauto\adjustright\rin0\lin0\itap0\pararsid7098088 {\rtlch\fcs1 \af0 \ltrch\fcs0 \cs17\v\fs20\cf9\lang1024\langfe1024\loch\af1\hich\af1\dbch\af31501\noproof\insrsid7098088\charrsid15625115 _x000d__x000a_\hich\af1\dbch\af31501\loch\f1 &lt;Article2&gt;&lt;OptDel&gt;}{\rtlch\fcs1 \af0 \ltrch\fcs0 \insrsid7098088\charrsid15625115 #}{\rtlch\fcs1 \af1 \ltrch\fcs0 \cs18\v\f1\fs20\cf15\insrsid7098088\charrsid15625115 MNU[OPTACTPARTYES][NOTAPP]@CHOICE@AMACTMNU}{\rtlch\fcs1 _x000d__x000a_\af0 \ltrch\fcs0 \insrsid7098088\charrsid15625115 #}{\rtlch\fcs1 \af0 \ltrch\fcs0 \cs17\v\fs20\cf9\lang1024\langfe1024\loch\af1\hich\af1\dbch\af31501\noproof\insrsid7098088\charrsid15625115 \hich\af1\dbch\af31501\loch\f1 &lt;/OptDel&gt;&lt;/Article2&gt;}{\rtlch\fcs1 _x000d__x000a_\af0 \ltrch\fcs0 \insrsid7098088\charrsid15625115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7098088\charrsid15625115 \cell }\pard\plain \ltrpar\ql \li0\ri0\widctlpar\intbl\wrapdefault\aspalpha\aspnum\faauto\adjustright\rin0\lin0 \rtlch\fcs1 _x000d__x000a_\af0\afs20\alang1025 \ltrch\fcs0 \fs24\lang2057\langfe2057\cgrid\langnp2057\langfenp2057 {\rtlch\fcs1 \af0 \ltrch\fcs0 \insrsid7098088\charrsid15625115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7098088\charrsid15625115 #}{\rtlch\fcs1 \af1 \ltrch\fcs0 \cs18\v\f1\fs20\cf15\insrsid7098088\charrsid15625115 MNU[OPTLEFTAMACT][LEFTPROP]@CHOICE@AMACTMNU}{\rtlch\fcs1 \af0 \ltrch\fcs0 \insrsid7098088\charrsid15625115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7098088\charrsid15625115 \trowd \irow1\irowband1\ltrrow\ts11\trqc\trgaph340\trleft0\trftsWidth3\trwWidth9752\trftsWidthB3\trpaddl340\trpaddr340\trpaddfl3\trpaddft3\trpaddfb3\trpaddfr3\tblrsid2517430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2517430 \rtlch\fcs1 \af0\afs20\alang1025 \ltrch\fcs0 \fs24\lang2057\langfe2057\cgrid\langnp2057\langfenp2057 {\rtlch\fcs1 \af0 _x000d__x000a_\ltrch\fcs0 \insrsid7098088\charrsid15625115 ##\cell ##}{\rtlch\fcs1 \af0\afs24 \ltrch\fcs0 \insrsid7098088\charrsid15625115 \cell }\pard\plain \ltrpar\ql \li0\ri0\widctlpar\intbl\wrapdefault\aspalpha\aspnum\faauto\adjustright\rin0\lin0 \rtlch\fcs1 _x000d__x000a_\af0\afs20\alang1025 \ltrch\fcs0 \fs24\lang2057\langfe2057\cgrid\langnp2057\langfenp2057 {\rtlch\fcs1 \af0 \ltrch\fcs0 \insrsid7098088\charrsid15625115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7098088 \rtlch\fcs1 \af0\afs20\alang1025 \ltrch\fcs0 \fs24\lang2057\langfe2057\cgrid\langnp2057\langfenp2057 {\rtlch\fcs1 \af0 \ltrch\fcs0 _x000d__x000a_\insrsid7098088\charrsid15625115 Or. }{\rtlch\fcs1 \af0 \ltrch\fcs0 \cs17\v\fs20\cf9\lang1024\langfe1024\loch\af1\hich\af1\dbch\af31501\noproof\insrsid7098088\charrsid15625115 \hich\af1\dbch\af31501\loch\f1 &lt;Original&gt;}{\rtlch\fcs1 \af0 \ltrch\fcs0 _x000d__x000a_\insrsid7098088\charrsid15625115 #}{\rtlch\fcs1 \af1 \ltrch\fcs0 \cs18\v\f1\fs20\cf15\insrsid7098088\charrsid15625115 MNU[ORLANGONE][ORLANGMORE]@CHOICE@ORLANGMNU}{\rtlch\fcs1 \af0 \ltrch\fcs0 \insrsid7098088\charrsid15625115 #}{\rtlch\fcs1 \af0 _x000d__x000a_\ltrch\fcs0 \cs17\v\fs20\cf9\lang1024\langfe1024\loch\af1\hich\af1\dbch\af31501\noproof\insrsid7098088\charrsid15625115 \hich\af1\dbch\af31501\loch\f1 &lt;/Original&gt;}{\rtlch\fcs1 \af0 \ltrch\fcs0 \insrsid7098088\charrsid15625115 _x000d__x000a_\par }\pard\plain \ltrpar\s22\qc \li0\ri0\sb240\sa240\nowidctlpar\wrapdefault\aspalpha\aspnum\faauto\adjustright\rin0\lin0\itap0\pararsid7098088 \rtlch\fcs1 \af0\afs20\alang1025 \ltrch\fcs0 \i\fs24\lang2057\langfe2057\cgrid\langnp2057\langfenp2057 {_x000d__x000a_\rtlch\fcs1 \af0 \ltrch\fcs0 \cs17\i0\v\fs20\cf9\lang1024\langfe1024\loch\af1\hich\af1\dbch\af31501\noproof\insrsid7098088\charrsid15625115 \hich\af1\dbch\af31501\loch\f1 &lt;OptDel&gt;}{\rtlch\fcs1 \af0 \ltrch\fcs0 \insrsid7098088\charrsid15625115 #}{_x000d__x000a_\rtlch\fcs1 \af1 \ltrch\fcs0 \cs18\v\f1\fs20\cf15\insrsid7098088\charrsid15625115 MNU[CROSSREFNO][CROSSREFYES]@CHOICE@}{\rtlch\fcs1 \af0 \ltrch\fcs0 \insrsid7098088\charrsid15625115 #}{\rtlch\fcs1 \af0 \ltrch\fcs0 _x000d__x000a_\cs17\i0\v\fs20\cf9\lang1024\langfe1024\loch\af1\hich\af1\dbch\af31501\noproof\insrsid7098088\charrsid15625115 \hich\af1\dbch\af31501\loch\f1 &lt;/OptDel&gt;}{\rtlch\fcs1 \af0 \ltrch\fcs0 \insrsid7098088\charrsid15625115 _x000d__x000a_\par }\pard\plain \ltrpar\s23\qc \li0\ri0\sb240\sa240\keepn\nowidctlpar\wrapdefault\aspalpha\aspnum\faauto\adjustright\rin0\lin0\itap0\pararsid7098088 \rtlch\fcs1 \af0\afs20\alang1025 \ltrch\fcs0 \i\fs24\lang2057\langfe2057\cgrid\langnp2057\langfenp2057 {_x000d__x000a_\rtlch\fcs1 \af0 \ltrch\fcs0 \cs17\i0\v\fs20\cf9\lang1024\langfe1024\loch\af1\hich\af1\dbch\af31501\noproof\insrsid7098088\charrsid15625115 \hich\af1\dbch\af31501\loch\f1 &lt;TitreJust&gt;}{\rtlch\fcs1 \af0 \ltrch\fcs0 \insrsid7098088\charrsid15625115 _x000d__x000a_Justification}{\rtlch\fcs1 \af0 \ltrch\fcs0 \cs17\i0\v\fs20\cf9\lang1024\langfe1024\loch\af1\hich\af1\dbch\af31501\noproof\insrsid7098088\charrsid15625115 \hich\af1\dbch\af31501\loch\f1 &lt;/TitreJust&gt;}{\rtlch\fcs1 \af0 \ltrch\fcs0 _x000d__x000a_\insrsid7098088\charrsid15625115 _x000d__x000a_\par }\pard\plain \ltrpar\s21\ql \li0\ri0\sa240\nowidctlpar\wrapdefault\aspalpha\aspnum\faauto\adjustright\rin0\lin0\itap0\pararsid7098088 \rtlch\fcs1 \af0\afs20\alang1025 \ltrch\fcs0 \i\fs24\lang2057\langfe2057\cgrid\langnp2057\langfenp2057 {\rtlch\fcs1 \af0 _x000d__x000a_\ltrch\fcs0 \cs17\i0\v\fs20\cf9\lang1024\langfe1024\loch\af1\hich\af1\dbch\af31501\noproof\insrsid7098088\charrsid15625115 \hich\af1\dbch\af31501\loch\f1 &lt;OptDelPrev&gt;}{\rtlch\fcs1 \af0 \ltrch\fcs0 \insrsid7098088\charrsid15625115 #}{\rtlch\fcs1 \af1 _x000d__x000a_\ltrch\fcs0 \cs18\v\f1\fs20\cf15\insrsid7098088\charrsid15625115 MNU[TEXTJUSTYES][TEXTJUSTNO]@CHOICE@}{\rtlch\fcs1 \af0 \ltrch\fcs0 \insrsid7098088\charrsid15625115 #}{\rtlch\fcs1 \af0 \ltrch\fcs0 _x000d__x000a_\cs17\i0\v\fs20\cf9\lang1024\langfe1024\loch\af1\hich\af1\dbch\af31501\noproof\insrsid7098088\charrsid15625115 \hich\af1\dbch\af31501\loch\f1 &lt;/OptDelPrev&gt;}{\rtlch\fcs1 \af0 \ltrch\fcs0 \insrsid7098088\charrsid15625115 _x000d__x000a_\par }\pard\plain \ltrpar\ql \li0\ri0\widctlpar\wrapdefault\aspalpha\aspnum\faauto\adjustright\rin0\lin0\itap0\pararsid7098088 \rtlch\fcs1 \af0\afs20\alang1025 \ltrch\fcs0 \fs24\lang2057\langfe2057\cgrid\langnp2057\langfenp2057 {\rtlch\fcs1 \af0 \ltrch\fcs0 _x000d__x000a_\cs17\v\fs20\cf9\lang1024\langfe1024\loch\af1\hich\af1\dbch\af31501\noproof\insrsid7098088\charrsid15625115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3_x000d__x000a_3867e9d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22"/>
    <w:docVar w:name="TVTAMPART" w:val="recital"/>
    <w:docVar w:name="TXTLANGUE" w:val="EN"/>
    <w:docVar w:name="TXTLANGUEMIN" w:val="en"/>
    <w:docVar w:name="TXTNRC" w:val="0060/2025"/>
    <w:docVar w:name="TXTNRCOD" w:val="2025/0073"/>
    <w:docVar w:name="TXTNRCOM" w:val="(2025)0140"/>
    <w:docVar w:name="TXTNRFIRSTAM" w:val="1"/>
    <w:docVar w:name="TXTNRLASTAM" w:val="1"/>
    <w:docVar w:name="TXTNRPE" w:val="774.423"/>
    <w:docVar w:name="TXTPEorAP" w:val="PE"/>
    <w:docVar w:name="TXTROUTE" w:val="PR\1322767EN.docx"/>
    <w:docVar w:name="TXTTITLE" w:val="Proposal for a Regulation of the European Parliament and of the Council amending Regulation (EU) 2021/691 as regards support to workers affected by imminent job displacement in enterprises undergoing restructuring"/>
    <w:docVar w:name="TXTVERSION" w:val="01-00"/>
  </w:docVars>
  <w:rsids>
    <w:rsidRoot w:val="00EE6B9B"/>
    <w:rsid w:val="00011AAB"/>
    <w:rsid w:val="00012351"/>
    <w:rsid w:val="000139E5"/>
    <w:rsid w:val="00084DD2"/>
    <w:rsid w:val="00084E89"/>
    <w:rsid w:val="000B62B6"/>
    <w:rsid w:val="000B7489"/>
    <w:rsid w:val="000F1096"/>
    <w:rsid w:val="00120948"/>
    <w:rsid w:val="00123DD5"/>
    <w:rsid w:val="001277AE"/>
    <w:rsid w:val="00140BF3"/>
    <w:rsid w:val="00142215"/>
    <w:rsid w:val="0016228B"/>
    <w:rsid w:val="001767E2"/>
    <w:rsid w:val="00187008"/>
    <w:rsid w:val="001A2D28"/>
    <w:rsid w:val="001A64E7"/>
    <w:rsid w:val="001B3829"/>
    <w:rsid w:val="001C5592"/>
    <w:rsid w:val="001C5B44"/>
    <w:rsid w:val="001C6FFC"/>
    <w:rsid w:val="001F7C7C"/>
    <w:rsid w:val="0020237B"/>
    <w:rsid w:val="00212B84"/>
    <w:rsid w:val="002346B0"/>
    <w:rsid w:val="002667C3"/>
    <w:rsid w:val="002669B6"/>
    <w:rsid w:val="00271678"/>
    <w:rsid w:val="00290BED"/>
    <w:rsid w:val="002D13EE"/>
    <w:rsid w:val="002E33EE"/>
    <w:rsid w:val="002F40BB"/>
    <w:rsid w:val="002F4B02"/>
    <w:rsid w:val="00305CD9"/>
    <w:rsid w:val="00323EF8"/>
    <w:rsid w:val="003316DD"/>
    <w:rsid w:val="00366A46"/>
    <w:rsid w:val="00370AC3"/>
    <w:rsid w:val="003824EE"/>
    <w:rsid w:val="003B4689"/>
    <w:rsid w:val="003B4F2F"/>
    <w:rsid w:val="003C2068"/>
    <w:rsid w:val="003C37CF"/>
    <w:rsid w:val="004100B1"/>
    <w:rsid w:val="00426E47"/>
    <w:rsid w:val="00455743"/>
    <w:rsid w:val="00461601"/>
    <w:rsid w:val="004C0915"/>
    <w:rsid w:val="004C6C4F"/>
    <w:rsid w:val="004D424E"/>
    <w:rsid w:val="004E42C8"/>
    <w:rsid w:val="004E733D"/>
    <w:rsid w:val="004F3FA5"/>
    <w:rsid w:val="0051271F"/>
    <w:rsid w:val="00521F46"/>
    <w:rsid w:val="00546A87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119C2"/>
    <w:rsid w:val="00617B65"/>
    <w:rsid w:val="00642325"/>
    <w:rsid w:val="006453AD"/>
    <w:rsid w:val="00656FDA"/>
    <w:rsid w:val="006A2F5D"/>
    <w:rsid w:val="006E1004"/>
    <w:rsid w:val="006E2537"/>
    <w:rsid w:val="006F7907"/>
    <w:rsid w:val="00743189"/>
    <w:rsid w:val="00743D33"/>
    <w:rsid w:val="007932B3"/>
    <w:rsid w:val="00793EA9"/>
    <w:rsid w:val="007C7762"/>
    <w:rsid w:val="007D6F68"/>
    <w:rsid w:val="00823E6B"/>
    <w:rsid w:val="00826780"/>
    <w:rsid w:val="00837CCD"/>
    <w:rsid w:val="008633CC"/>
    <w:rsid w:val="00865190"/>
    <w:rsid w:val="008719B9"/>
    <w:rsid w:val="008931FB"/>
    <w:rsid w:val="00894ECE"/>
    <w:rsid w:val="00896BB4"/>
    <w:rsid w:val="008A7FB8"/>
    <w:rsid w:val="009022B8"/>
    <w:rsid w:val="00914537"/>
    <w:rsid w:val="00917CC4"/>
    <w:rsid w:val="00942BF6"/>
    <w:rsid w:val="009763DA"/>
    <w:rsid w:val="009921C7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431A5"/>
    <w:rsid w:val="00A50548"/>
    <w:rsid w:val="00A60EE7"/>
    <w:rsid w:val="00A910C9"/>
    <w:rsid w:val="00AA35B0"/>
    <w:rsid w:val="00AC0F29"/>
    <w:rsid w:val="00AD18C8"/>
    <w:rsid w:val="00AD7FA6"/>
    <w:rsid w:val="00AE4643"/>
    <w:rsid w:val="00AF0416"/>
    <w:rsid w:val="00B10CB4"/>
    <w:rsid w:val="00B13D6F"/>
    <w:rsid w:val="00B17FC0"/>
    <w:rsid w:val="00B23B72"/>
    <w:rsid w:val="00B42702"/>
    <w:rsid w:val="00B57B8B"/>
    <w:rsid w:val="00B85407"/>
    <w:rsid w:val="00B95702"/>
    <w:rsid w:val="00BB6162"/>
    <w:rsid w:val="00BC6489"/>
    <w:rsid w:val="00BD480C"/>
    <w:rsid w:val="00C20954"/>
    <w:rsid w:val="00C23324"/>
    <w:rsid w:val="00C42A41"/>
    <w:rsid w:val="00C47E74"/>
    <w:rsid w:val="00C57A72"/>
    <w:rsid w:val="00C73602"/>
    <w:rsid w:val="00C8604E"/>
    <w:rsid w:val="00CF60C8"/>
    <w:rsid w:val="00D13769"/>
    <w:rsid w:val="00D30DE2"/>
    <w:rsid w:val="00D32924"/>
    <w:rsid w:val="00D503A3"/>
    <w:rsid w:val="00D656D1"/>
    <w:rsid w:val="00DA6ED0"/>
    <w:rsid w:val="00DC5011"/>
    <w:rsid w:val="00DD2BD1"/>
    <w:rsid w:val="00E16628"/>
    <w:rsid w:val="00E171B6"/>
    <w:rsid w:val="00E72695"/>
    <w:rsid w:val="00EA317C"/>
    <w:rsid w:val="00EB1753"/>
    <w:rsid w:val="00EB6CFF"/>
    <w:rsid w:val="00EE3996"/>
    <w:rsid w:val="00EE6B9B"/>
    <w:rsid w:val="00F07062"/>
    <w:rsid w:val="00F23CFC"/>
    <w:rsid w:val="00F4175D"/>
    <w:rsid w:val="00F433E2"/>
    <w:rsid w:val="00F70A35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400B3"/>
  <w15:chartTrackingRefBased/>
  <w15:docId w15:val="{2FC17AD4-868D-4BDD-908D-01E9E681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i-FI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DD2BD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D2BD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D2BD1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D656D1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D656D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656D1"/>
    <w:rPr>
      <w:b/>
      <w:sz w:val="24"/>
    </w:rPr>
  </w:style>
  <w:style w:type="paragraph" w:customStyle="1" w:styleId="ColumnHeading">
    <w:name w:val="ColumnHeading"/>
    <w:basedOn w:val="Normal"/>
    <w:rsid w:val="00D656D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656D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D656D1"/>
    <w:pPr>
      <w:jc w:val="right"/>
    </w:pPr>
  </w:style>
  <w:style w:type="paragraph" w:styleId="Footer">
    <w:name w:val="footer"/>
    <w:basedOn w:val="Normal"/>
    <w:link w:val="FooterChar"/>
    <w:semiHidden/>
    <w:rsid w:val="00D656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656D1"/>
    <w:rPr>
      <w:sz w:val="24"/>
    </w:rPr>
  </w:style>
  <w:style w:type="paragraph" w:customStyle="1" w:styleId="Normal24a">
    <w:name w:val="Normal24a"/>
    <w:basedOn w:val="Normal"/>
    <w:rsid w:val="00F70A35"/>
    <w:pPr>
      <w:spacing w:after="480"/>
    </w:pPr>
  </w:style>
  <w:style w:type="paragraph" w:customStyle="1" w:styleId="NormalBoldCenter">
    <w:name w:val="NormalBoldCenter"/>
    <w:basedOn w:val="Normal"/>
    <w:rsid w:val="00F70A35"/>
    <w:pPr>
      <w:jc w:val="center"/>
    </w:pPr>
    <w:rPr>
      <w:b/>
    </w:rPr>
  </w:style>
  <w:style w:type="paragraph" w:customStyle="1" w:styleId="Footprint12b">
    <w:name w:val="Footprint12b"/>
    <w:basedOn w:val="Normal"/>
    <w:rsid w:val="00F70A3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70A35"/>
    <w:rPr>
      <w:szCs w:val="24"/>
    </w:rPr>
  </w:style>
  <w:style w:type="character" w:styleId="Hyperlink">
    <w:name w:val="Hyperlink"/>
    <w:basedOn w:val="DefaultParagraphFont"/>
    <w:rsid w:val="001A2D28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119C2"/>
    <w:rPr>
      <w:rFonts w:ascii="Arial" w:hAnsi="Arial"/>
      <w:b/>
      <w:i/>
      <w:sz w:val="24"/>
    </w:rPr>
  </w:style>
  <w:style w:type="character" w:customStyle="1" w:styleId="erplproduct-name">
    <w:name w:val="erpl_product-name"/>
    <w:basedOn w:val="DefaultParagraphFont"/>
    <w:rsid w:val="006119C2"/>
  </w:style>
  <w:style w:type="paragraph" w:styleId="BalloonText">
    <w:name w:val="Balloon Text"/>
    <w:basedOn w:val="Normal"/>
    <w:link w:val="BalloonTextChar"/>
    <w:semiHidden/>
    <w:unhideWhenUsed/>
    <w:rsid w:val="006E10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E100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6453A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53A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453A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453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453AD"/>
    <w:rPr>
      <w:b/>
      <w:bCs/>
    </w:rPr>
  </w:style>
  <w:style w:type="paragraph" w:styleId="FootnoteText">
    <w:name w:val="footnote text"/>
    <w:basedOn w:val="Normal"/>
    <w:link w:val="FootnoteTextChar"/>
    <w:rsid w:val="00BB6162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BB6162"/>
  </w:style>
  <w:style w:type="character" w:styleId="FootnoteReference">
    <w:name w:val="footnote reference"/>
    <w:basedOn w:val="DefaultParagraphFont"/>
    <w:rsid w:val="00BB6162"/>
    <w:rPr>
      <w:vertAlign w:val="superscript"/>
    </w:rPr>
  </w:style>
  <w:style w:type="paragraph" w:styleId="Revision">
    <w:name w:val="Revision"/>
    <w:hidden/>
    <w:uiPriority w:val="99"/>
    <w:semiHidden/>
    <w:rsid w:val="00942BF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uroparl.europa.eu/data-protect/index.do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A39DD-6499-4C5E-ABE2-8F968FC26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3933</Words>
  <Characters>32372</Characters>
  <Application>Microsoft Office Word</Application>
  <DocSecurity>0</DocSecurity>
  <Lines>1079</Lines>
  <Paragraphs>349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35956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ARAMINA Irena</dc:creator>
  <cp:lastModifiedBy>kedwards</cp:lastModifiedBy>
  <cp:revision>2</cp:revision>
  <cp:lastPrinted>2004-11-04T09:41:00Z</cp:lastPrinted>
  <dcterms:created xsi:type="dcterms:W3CDTF">2025-07-14T07:09:00Z</dcterms:created>
  <dcterms:modified xsi:type="dcterms:W3CDTF">2025-07-14T07:09:00Z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1322767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\\eiciBRUpr1\pdocep$\DocEP\DOCS\General\PR\PR_Leg\COD\COD_1st\PR_COD_1amCom.dotx(24/09/2024 09:42:01)</vt:lpwstr>
  </property>
  <property fmtid="{D5CDD505-2E9C-101B-9397-08002B2CF9AE}" pid="6" name="&lt;ModelTra&gt;">
    <vt:lpwstr>\\eiciBRUpr1\pdocep$\DocEP\TRANSFIL\EN\PR_COD_1amCom.EN(30/09/2024 12:47:01)</vt:lpwstr>
  </property>
  <property fmtid="{D5CDD505-2E9C-101B-9397-08002B2CF9AE}" pid="7" name="&lt;Type&gt;">
    <vt:lpwstr>PR</vt:lpwstr>
  </property>
  <property fmtid="{D5CDD505-2E9C-101B-9397-08002B2CF9AE}" pid="8" name="Created with">
    <vt:lpwstr>10.1.1 Build [20250501]</vt:lpwstr>
  </property>
  <property fmtid="{D5CDD505-2E9C-101B-9397-08002B2CF9AE}" pid="9" name="FooterPath">
    <vt:lpwstr>PR\1322767FI.docx</vt:lpwstr>
  </property>
  <property fmtid="{D5CDD505-2E9C-101B-9397-08002B2CF9AE}" pid="10" name="LastEdited with">
    <vt:lpwstr>10.1.2 Build [20250603]</vt:lpwstr>
  </property>
  <property fmtid="{D5CDD505-2E9C-101B-9397-08002B2CF9AE}" pid="11" name="PE number">
    <vt:lpwstr>774.423</vt:lpwstr>
  </property>
  <property fmtid="{D5CDD505-2E9C-101B-9397-08002B2CF9AE}" pid="12" name="SDLStudio">
    <vt:lpwstr/>
  </property>
  <property fmtid="{D5CDD505-2E9C-101B-9397-08002B2CF9AE}" pid="13" name="SendToEpades">
    <vt:lpwstr>OK - 2025/06/30 11:58</vt:lpwstr>
  </property>
  <property fmtid="{D5CDD505-2E9C-101B-9397-08002B2CF9AE}" pid="14" name="Bookout">
    <vt:lpwstr>OK - 2025/07/14 09:09</vt:lpwstr>
  </property>
</Properties>
</file>