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34C2F" w:rsidRPr="00BA5F4C" w14:paraId="404F1CC6" w14:textId="77777777" w:rsidTr="00C85D0F">
        <w:trPr>
          <w:trHeight w:hRule="exact" w:val="1418"/>
        </w:trPr>
        <w:tc>
          <w:tcPr>
            <w:tcW w:w="6804" w:type="dxa"/>
            <w:shd w:val="clear" w:color="auto" w:fill="auto"/>
            <w:vAlign w:val="center"/>
          </w:tcPr>
          <w:p w14:paraId="77E1F0E7" w14:textId="77777777" w:rsidR="000B0AEA" w:rsidRPr="00BA5F4C" w:rsidRDefault="00BA5F4C" w:rsidP="00C85D0F">
            <w:pPr>
              <w:pStyle w:val="EPName"/>
            </w:pPr>
            <w:r w:rsidRPr="00BA5F4C">
              <w:t>Europäisches Parlament</w:t>
            </w:r>
          </w:p>
          <w:p w14:paraId="31E3CF05" w14:textId="77777777" w:rsidR="000B0AEA" w:rsidRPr="00BA5F4C" w:rsidRDefault="00BA5F4C" w:rsidP="009D7661">
            <w:pPr>
              <w:pStyle w:val="EPTerm"/>
            </w:pPr>
            <w:r w:rsidRPr="00BA5F4C">
              <w:t>2024-2029</w:t>
            </w:r>
          </w:p>
        </w:tc>
        <w:tc>
          <w:tcPr>
            <w:tcW w:w="2268" w:type="dxa"/>
            <w:shd w:val="clear" w:color="auto" w:fill="auto"/>
          </w:tcPr>
          <w:p w14:paraId="0B89CB76" w14:textId="77777777" w:rsidR="000B0AEA" w:rsidRPr="00BA5F4C" w:rsidRDefault="00BA5F4C" w:rsidP="00C85D0F">
            <w:pPr>
              <w:pStyle w:val="EPLogo"/>
            </w:pPr>
            <w:r w:rsidRPr="00BA5F4C">
              <w:rPr>
                <w:noProof/>
              </w:rPr>
              <w:drawing>
                <wp:inline distT="0" distB="0" distL="0" distR="0" wp14:anchorId="044ABEC7" wp14:editId="428579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60FA688" w14:textId="77777777" w:rsidR="00921474" w:rsidRPr="00BA5F4C" w:rsidRDefault="00921474" w:rsidP="00921474">
      <w:pPr>
        <w:pStyle w:val="LineTop"/>
      </w:pPr>
    </w:p>
    <w:p w14:paraId="117477A4" w14:textId="77777777" w:rsidR="00921474" w:rsidRPr="00BA5F4C" w:rsidRDefault="00BA5F4C" w:rsidP="00921474">
      <w:pPr>
        <w:pStyle w:val="EPBody"/>
      </w:pPr>
      <w:r w:rsidRPr="00BA5F4C">
        <w:rPr>
          <w:rStyle w:val="HideTWBExt"/>
        </w:rPr>
        <w:t>&lt;</w:t>
      </w:r>
      <w:r w:rsidRPr="00BA5F4C">
        <w:rPr>
          <w:rStyle w:val="HideTWBExt"/>
          <w:i w:val="0"/>
        </w:rPr>
        <w:t>Commission</w:t>
      </w:r>
      <w:r w:rsidRPr="00BA5F4C">
        <w:rPr>
          <w:rStyle w:val="HideTWBExt"/>
        </w:rPr>
        <w:t>&gt;</w:t>
      </w:r>
      <w:r w:rsidRPr="00BA5F4C">
        <w:rPr>
          <w:rStyle w:val="HideTWBInt"/>
          <w:color w:val="auto"/>
        </w:rPr>
        <w:t>{EMPL}</w:t>
      </w:r>
      <w:r w:rsidRPr="00BA5F4C">
        <w:t>Ausschuss für Beschäftigung und soziale Angelegenheiten</w:t>
      </w:r>
      <w:r w:rsidRPr="00BA5F4C">
        <w:rPr>
          <w:rStyle w:val="HideTWBExt"/>
        </w:rPr>
        <w:t>&lt;/</w:t>
      </w:r>
      <w:r w:rsidRPr="00BA5F4C">
        <w:rPr>
          <w:rStyle w:val="HideTWBExt"/>
          <w:i w:val="0"/>
        </w:rPr>
        <w:t>Commission</w:t>
      </w:r>
      <w:r w:rsidRPr="00BA5F4C">
        <w:rPr>
          <w:rStyle w:val="HideTWBExt"/>
        </w:rPr>
        <w:t>&gt;</w:t>
      </w:r>
    </w:p>
    <w:p w14:paraId="3C1E85F3" w14:textId="77777777" w:rsidR="00921474" w:rsidRPr="00BA5F4C" w:rsidRDefault="00921474" w:rsidP="00921474">
      <w:pPr>
        <w:pStyle w:val="LineBottom"/>
      </w:pPr>
    </w:p>
    <w:p w14:paraId="7A059E08" w14:textId="77777777" w:rsidR="009E6E1A" w:rsidRPr="00BA5F4C" w:rsidRDefault="00BA5F4C">
      <w:pPr>
        <w:pStyle w:val="CoverReference"/>
      </w:pPr>
      <w:r w:rsidRPr="00BA5F4C">
        <w:rPr>
          <w:rStyle w:val="HideTWBExt"/>
          <w:b w:val="0"/>
        </w:rPr>
        <w:t>&lt;RefProc&gt;</w:t>
      </w:r>
      <w:r w:rsidRPr="00BA5F4C">
        <w:t>2025/2131</w:t>
      </w:r>
      <w:r w:rsidRPr="00BA5F4C">
        <w:rPr>
          <w:rStyle w:val="HideTWBExt"/>
          <w:b w:val="0"/>
        </w:rPr>
        <w:t>&lt;/RefProc&gt;&lt;RefTypeProc&gt;</w:t>
      </w:r>
      <w:r w:rsidRPr="00BA5F4C">
        <w:t>(INL)</w:t>
      </w:r>
      <w:r w:rsidRPr="00BA5F4C">
        <w:rPr>
          <w:rStyle w:val="HideTWBExt"/>
          <w:b w:val="0"/>
        </w:rPr>
        <w:t>&lt;/RefTypeProc&gt;</w:t>
      </w:r>
    </w:p>
    <w:p w14:paraId="448C822E" w14:textId="77777777" w:rsidR="009E6E1A" w:rsidRPr="00BA5F4C" w:rsidRDefault="00BA5F4C">
      <w:pPr>
        <w:pStyle w:val="CoverDate"/>
      </w:pPr>
      <w:r w:rsidRPr="00BA5F4C">
        <w:rPr>
          <w:rStyle w:val="HideTWBExt"/>
        </w:rPr>
        <w:t>&lt;Date&gt;</w:t>
      </w:r>
      <w:r w:rsidRPr="00BA5F4C">
        <w:rPr>
          <w:rStyle w:val="HideTWBInt"/>
          <w:color w:val="auto"/>
        </w:rPr>
        <w:t>{02/09/2025}</w:t>
      </w:r>
      <w:r w:rsidRPr="00BA5F4C">
        <w:t>2.9.2025</w:t>
      </w:r>
      <w:r w:rsidRPr="00BA5F4C">
        <w:rPr>
          <w:rStyle w:val="HideTWBExt"/>
        </w:rPr>
        <w:t>&lt;/Date&gt;</w:t>
      </w:r>
    </w:p>
    <w:p w14:paraId="5D6B007E" w14:textId="77777777" w:rsidR="009E6E1A" w:rsidRPr="00BA5F4C" w:rsidRDefault="00BA5F4C">
      <w:pPr>
        <w:pStyle w:val="CoverDocType24a"/>
      </w:pPr>
      <w:r w:rsidRPr="00BA5F4C">
        <w:rPr>
          <w:rStyle w:val="HideTWBExt"/>
          <w:b w:val="0"/>
        </w:rPr>
        <w:t>&lt;TitreType&gt;</w:t>
      </w:r>
      <w:r w:rsidRPr="00BA5F4C">
        <w:t xml:space="preserve">ENTWURF EINES </w:t>
      </w:r>
      <w:r w:rsidRPr="00BA5F4C">
        <w:t>BERICHTS</w:t>
      </w:r>
      <w:r w:rsidRPr="00BA5F4C">
        <w:rPr>
          <w:rStyle w:val="HideTWBExt"/>
          <w:b w:val="0"/>
        </w:rPr>
        <w:t>&lt;/TitreType&gt;</w:t>
      </w:r>
    </w:p>
    <w:p w14:paraId="6CFEBD2F" w14:textId="77777777" w:rsidR="009E6E1A" w:rsidRPr="00BA5F4C" w:rsidRDefault="00BA5F4C">
      <w:pPr>
        <w:pStyle w:val="CoverNormal"/>
      </w:pPr>
      <w:r w:rsidRPr="00BA5F4C">
        <w:rPr>
          <w:rStyle w:val="HideTWBExt"/>
        </w:rPr>
        <w:t>&lt;Titre&gt;</w:t>
      </w:r>
      <w:r w:rsidRPr="00BA5F4C">
        <w:t>mit Empfehlungen an die Kommission zu der Richtlinie für einen gerechten Übergang in der Arbeitswelt: Schaffung von Arbeitsplätzen und Wiederankurbelung der lokalen Wirtschaft</w:t>
      </w:r>
      <w:r w:rsidRPr="00BA5F4C">
        <w:rPr>
          <w:rStyle w:val="HideTWBExt"/>
        </w:rPr>
        <w:t>&lt;/Titre&gt;</w:t>
      </w:r>
    </w:p>
    <w:p w14:paraId="03ACA4FF" w14:textId="77777777" w:rsidR="009E6E1A" w:rsidRPr="00BA5F4C" w:rsidRDefault="00BA5F4C">
      <w:pPr>
        <w:pStyle w:val="CoverNormal24a"/>
      </w:pPr>
      <w:r w:rsidRPr="00BA5F4C">
        <w:rPr>
          <w:rStyle w:val="HideTWBExt"/>
        </w:rPr>
        <w:t>&lt;DocRef&gt;</w:t>
      </w:r>
      <w:r w:rsidRPr="00BA5F4C">
        <w:t>(2025/2131(INL))</w:t>
      </w:r>
      <w:r w:rsidRPr="00BA5F4C">
        <w:rPr>
          <w:rStyle w:val="HideTWBExt"/>
        </w:rPr>
        <w:t>&lt;/DocRef&gt;</w:t>
      </w:r>
    </w:p>
    <w:p w14:paraId="114273ED" w14:textId="77777777" w:rsidR="009E6E1A" w:rsidRPr="00BA5F4C" w:rsidRDefault="00BA5F4C">
      <w:pPr>
        <w:pStyle w:val="CoverNormal24a"/>
      </w:pPr>
      <w:r w:rsidRPr="00BA5F4C">
        <w:rPr>
          <w:rStyle w:val="HideTWBExt"/>
        </w:rPr>
        <w:t>&lt;Commission&gt;</w:t>
      </w:r>
      <w:r w:rsidRPr="00BA5F4C">
        <w:rPr>
          <w:rStyle w:val="HideTWBInt"/>
          <w:color w:val="auto"/>
        </w:rPr>
        <w:t>{EMPL}</w:t>
      </w:r>
      <w:r w:rsidRPr="00BA5F4C">
        <w:t>Ausschuss für Beschäftigung und soziale Angelegenheiten</w:t>
      </w:r>
      <w:r w:rsidRPr="00BA5F4C">
        <w:rPr>
          <w:rStyle w:val="HideTWBExt"/>
        </w:rPr>
        <w:t>&lt;/Commission&gt;</w:t>
      </w:r>
    </w:p>
    <w:p w14:paraId="3D6601CC" w14:textId="77777777" w:rsidR="009E6E1A" w:rsidRPr="00BA5F4C" w:rsidRDefault="00BA5F4C" w:rsidP="0039462E">
      <w:pPr>
        <w:pStyle w:val="CoverNormal24a"/>
      </w:pPr>
      <w:r w:rsidRPr="00BA5F4C">
        <w:t xml:space="preserve">Berichterstatterin: </w:t>
      </w:r>
      <w:r w:rsidRPr="00BA5F4C">
        <w:rPr>
          <w:rStyle w:val="HideTWBExt"/>
        </w:rPr>
        <w:t>&lt;Depute&gt;</w:t>
      </w:r>
      <w:r w:rsidRPr="00BA5F4C">
        <w:t>Jana Toom</w:t>
      </w:r>
      <w:r w:rsidRPr="00BA5F4C">
        <w:rPr>
          <w:rStyle w:val="HideTWBExt"/>
        </w:rPr>
        <w:t>&lt;/Depute&gt;</w:t>
      </w:r>
    </w:p>
    <w:p w14:paraId="0D5FB984" w14:textId="77777777" w:rsidR="009E6E1A" w:rsidRPr="00BA5F4C" w:rsidRDefault="00BA5F4C" w:rsidP="00BF1602">
      <w:pPr>
        <w:pStyle w:val="CoverNormal12a"/>
      </w:pPr>
      <w:r w:rsidRPr="00BA5F4C">
        <w:t>(Initiative gemäß Artikel 47 der Geschäftsordnung)</w:t>
      </w:r>
    </w:p>
    <w:p w14:paraId="2C5CBE98" w14:textId="77777777" w:rsidR="00BF1602" w:rsidRPr="00BA5F4C" w:rsidRDefault="00BF1602">
      <w:pPr>
        <w:pStyle w:val="CoverNormal24a"/>
      </w:pPr>
    </w:p>
    <w:p w14:paraId="7D088530" w14:textId="77777777" w:rsidR="001A502C" w:rsidRPr="00BA5F4C" w:rsidRDefault="001A502C" w:rsidP="001A502C">
      <w:pPr>
        <w:pStyle w:val="CoverNormal"/>
      </w:pPr>
    </w:p>
    <w:p w14:paraId="4AEA7693" w14:textId="77777777" w:rsidR="009E6E1A" w:rsidRPr="00BA5F4C" w:rsidRDefault="00BA5F4C" w:rsidP="00246FFC">
      <w:pPr>
        <w:widowControl/>
        <w:tabs>
          <w:tab w:val="center" w:pos="4677"/>
        </w:tabs>
      </w:pPr>
      <w:r w:rsidRPr="00BA5F4C">
        <w:br w:type="page"/>
      </w:r>
      <w:r w:rsidRPr="00BA5F4C">
        <w:lastRenderedPageBreak/>
        <w:t>PR_INL</w:t>
      </w:r>
    </w:p>
    <w:p w14:paraId="1FD3D439" w14:textId="77777777" w:rsidR="009E6E1A" w:rsidRPr="00BA5F4C" w:rsidRDefault="00BA5F4C">
      <w:pPr>
        <w:pStyle w:val="TOCHeading"/>
      </w:pPr>
      <w:r w:rsidRPr="00BA5F4C">
        <w:t>INHALT</w:t>
      </w:r>
    </w:p>
    <w:p w14:paraId="1C815AFD" w14:textId="77777777" w:rsidR="009E6E1A" w:rsidRPr="00BA5F4C" w:rsidRDefault="00BA5F4C">
      <w:pPr>
        <w:pStyle w:val="TOCPage"/>
      </w:pPr>
      <w:r w:rsidRPr="00BA5F4C">
        <w:t>Seite</w:t>
      </w:r>
    </w:p>
    <w:p w14:paraId="3D95CA8F" w14:textId="31C8BBB9" w:rsidR="00BA5F4C" w:rsidRPr="00BA5F4C" w:rsidRDefault="00BA5F4C">
      <w:pPr>
        <w:pStyle w:val="TOC1"/>
        <w:tabs>
          <w:tab w:val="right" w:leader="dot" w:pos="9060"/>
        </w:tabs>
        <w:rPr>
          <w:rFonts w:asciiTheme="minorHAnsi" w:eastAsiaTheme="minorEastAsia" w:hAnsiTheme="minorHAnsi" w:cstheme="minorBidi"/>
          <w:noProof/>
          <w:kern w:val="2"/>
          <w:szCs w:val="24"/>
          <w14:ligatures w14:val="standardContextual"/>
        </w:rPr>
      </w:pPr>
      <w:r w:rsidRPr="00BA5F4C">
        <w:fldChar w:fldCharType="begin"/>
      </w:r>
      <w:r w:rsidRPr="00BA5F4C">
        <w:instrText xml:space="preserve"> TOC \t "PageHeading</w:instrText>
      </w:r>
      <w:r w:rsidR="00910DA0" w:rsidRPr="00BA5F4C">
        <w:instrText>;</w:instrText>
      </w:r>
      <w:r w:rsidRPr="00BA5F4C">
        <w:instrText xml:space="preserve">1" </w:instrText>
      </w:r>
      <w:r w:rsidRPr="00BA5F4C">
        <w:fldChar w:fldCharType="separate"/>
      </w:r>
      <w:r w:rsidRPr="00BA5F4C">
        <w:rPr>
          <w:noProof/>
        </w:rPr>
        <w:t>ENTWURF EINER ENTSCHLIESSUNG DES EUROPÄISCHEN PARLAMENTS</w:t>
      </w:r>
      <w:r w:rsidRPr="00BA5F4C">
        <w:rPr>
          <w:noProof/>
        </w:rPr>
        <w:tab/>
      </w:r>
      <w:r w:rsidRPr="00BA5F4C">
        <w:rPr>
          <w:noProof/>
        </w:rPr>
        <w:fldChar w:fldCharType="begin"/>
      </w:r>
      <w:r w:rsidRPr="00BA5F4C">
        <w:rPr>
          <w:noProof/>
        </w:rPr>
        <w:instrText xml:space="preserve"> PAGEREF _Toc208843795 \h </w:instrText>
      </w:r>
      <w:r w:rsidRPr="00BA5F4C">
        <w:rPr>
          <w:noProof/>
        </w:rPr>
      </w:r>
      <w:r w:rsidRPr="00BA5F4C">
        <w:rPr>
          <w:noProof/>
        </w:rPr>
        <w:fldChar w:fldCharType="separate"/>
      </w:r>
      <w:r w:rsidRPr="00BA5F4C">
        <w:rPr>
          <w:noProof/>
        </w:rPr>
        <w:t>3</w:t>
      </w:r>
      <w:r w:rsidRPr="00BA5F4C">
        <w:rPr>
          <w:noProof/>
        </w:rPr>
        <w:fldChar w:fldCharType="end"/>
      </w:r>
    </w:p>
    <w:p w14:paraId="3688A4B2" w14:textId="4C255995" w:rsidR="00BA5F4C" w:rsidRPr="00BA5F4C" w:rsidRDefault="00BA5F4C">
      <w:pPr>
        <w:pStyle w:val="TOC1"/>
        <w:tabs>
          <w:tab w:val="right" w:leader="dot" w:pos="9060"/>
        </w:tabs>
        <w:rPr>
          <w:rFonts w:asciiTheme="minorHAnsi" w:eastAsiaTheme="minorEastAsia" w:hAnsiTheme="minorHAnsi" w:cstheme="minorBidi"/>
          <w:noProof/>
          <w:kern w:val="2"/>
          <w:szCs w:val="24"/>
          <w14:ligatures w14:val="standardContextual"/>
        </w:rPr>
      </w:pPr>
      <w:r w:rsidRPr="00BA5F4C">
        <w:rPr>
          <w:noProof/>
        </w:rPr>
        <w:t>ANLAGE ZUM ENTSCHLIESSUNGSANTRAG: EMPFEHLUNGEN ZUM INHALT DES VERLANGTEN VORSCHLAGS</w:t>
      </w:r>
      <w:r w:rsidRPr="00BA5F4C">
        <w:rPr>
          <w:noProof/>
        </w:rPr>
        <w:tab/>
      </w:r>
      <w:r w:rsidRPr="00BA5F4C">
        <w:rPr>
          <w:noProof/>
        </w:rPr>
        <w:fldChar w:fldCharType="begin"/>
      </w:r>
      <w:r w:rsidRPr="00BA5F4C">
        <w:rPr>
          <w:noProof/>
        </w:rPr>
        <w:instrText xml:space="preserve"> PAGEREF _Toc208843796 \h </w:instrText>
      </w:r>
      <w:r w:rsidRPr="00BA5F4C">
        <w:rPr>
          <w:noProof/>
        </w:rPr>
      </w:r>
      <w:r w:rsidRPr="00BA5F4C">
        <w:rPr>
          <w:noProof/>
        </w:rPr>
        <w:fldChar w:fldCharType="separate"/>
      </w:r>
      <w:r w:rsidRPr="00BA5F4C">
        <w:rPr>
          <w:noProof/>
        </w:rPr>
        <w:t>9</w:t>
      </w:r>
      <w:r w:rsidRPr="00BA5F4C">
        <w:rPr>
          <w:noProof/>
        </w:rPr>
        <w:fldChar w:fldCharType="end"/>
      </w:r>
    </w:p>
    <w:p w14:paraId="332304DA" w14:textId="744D2324" w:rsidR="00BA5F4C" w:rsidRPr="00BA5F4C" w:rsidRDefault="00BA5F4C">
      <w:pPr>
        <w:pStyle w:val="TOC1"/>
        <w:tabs>
          <w:tab w:val="right" w:leader="dot" w:pos="9060"/>
        </w:tabs>
        <w:rPr>
          <w:rFonts w:asciiTheme="minorHAnsi" w:eastAsiaTheme="minorEastAsia" w:hAnsiTheme="minorHAnsi" w:cstheme="minorBidi"/>
          <w:noProof/>
          <w:kern w:val="2"/>
          <w:szCs w:val="24"/>
          <w14:ligatures w14:val="standardContextual"/>
        </w:rPr>
      </w:pPr>
      <w:r w:rsidRPr="00BA5F4C">
        <w:rPr>
          <w:noProof/>
        </w:rPr>
        <w:t>ANLAGE: ERKLÄRUNG ZU BEITRÄGEN</w:t>
      </w:r>
      <w:r w:rsidRPr="00BA5F4C">
        <w:rPr>
          <w:noProof/>
        </w:rPr>
        <w:tab/>
      </w:r>
      <w:r w:rsidRPr="00BA5F4C">
        <w:rPr>
          <w:noProof/>
        </w:rPr>
        <w:fldChar w:fldCharType="begin"/>
      </w:r>
      <w:r w:rsidRPr="00BA5F4C">
        <w:rPr>
          <w:noProof/>
        </w:rPr>
        <w:instrText xml:space="preserve"> PAGEREF _Toc208843797 \h </w:instrText>
      </w:r>
      <w:r w:rsidRPr="00BA5F4C">
        <w:rPr>
          <w:noProof/>
        </w:rPr>
      </w:r>
      <w:r w:rsidRPr="00BA5F4C">
        <w:rPr>
          <w:noProof/>
        </w:rPr>
        <w:fldChar w:fldCharType="separate"/>
      </w:r>
      <w:r w:rsidRPr="00BA5F4C">
        <w:rPr>
          <w:noProof/>
        </w:rPr>
        <w:t>11</w:t>
      </w:r>
      <w:r w:rsidRPr="00BA5F4C">
        <w:rPr>
          <w:noProof/>
        </w:rPr>
        <w:fldChar w:fldCharType="end"/>
      </w:r>
    </w:p>
    <w:p w14:paraId="3ED2B735" w14:textId="617DDDE9" w:rsidR="001A502C" w:rsidRPr="00BA5F4C" w:rsidRDefault="00BA5F4C" w:rsidP="005B4360">
      <w:r w:rsidRPr="00BA5F4C">
        <w:fldChar w:fldCharType="end"/>
      </w:r>
    </w:p>
    <w:p w14:paraId="34CB408D" w14:textId="77777777" w:rsidR="009E6E1A" w:rsidRPr="00BA5F4C" w:rsidRDefault="00BA5F4C">
      <w:pPr>
        <w:pStyle w:val="PageHeading"/>
      </w:pPr>
      <w:r w:rsidRPr="00BA5F4C">
        <w:br w:type="page"/>
      </w:r>
      <w:bookmarkStart w:id="0" w:name="_Toc208843795"/>
      <w:r w:rsidRPr="00BA5F4C">
        <w:lastRenderedPageBreak/>
        <w:t>ENTWURF EINER ENTSCHLIESSUNG DES EUROPÄISCHEN PARLAMENTS</w:t>
      </w:r>
      <w:bookmarkEnd w:id="0"/>
    </w:p>
    <w:p w14:paraId="747821F5" w14:textId="77777777" w:rsidR="009E6E1A" w:rsidRPr="00BA5F4C" w:rsidRDefault="00BA5F4C">
      <w:pPr>
        <w:pStyle w:val="NormalBold"/>
      </w:pPr>
      <w:r w:rsidRPr="00BA5F4C">
        <w:t>mit Empfehlungen an die Kommission zu der Richtlinie für einen gerechten Übergang in der Arbeitswelt: Schaffung von Arbeitsplätzen und Wiederankurbelung der lokalen Wirtschaft</w:t>
      </w:r>
    </w:p>
    <w:p w14:paraId="3FBBB1CF" w14:textId="77777777" w:rsidR="009E6E1A" w:rsidRPr="00BA5F4C" w:rsidRDefault="00BA5F4C" w:rsidP="00584FD7">
      <w:pPr>
        <w:pStyle w:val="NormalBold"/>
      </w:pPr>
      <w:r w:rsidRPr="00BA5F4C">
        <w:t>(2025/2131(INL))</w:t>
      </w:r>
    </w:p>
    <w:p w14:paraId="1EA12B24" w14:textId="77777777" w:rsidR="009E6E1A" w:rsidRPr="00BA5F4C" w:rsidRDefault="00BA5F4C">
      <w:pPr>
        <w:pStyle w:val="EPComma"/>
      </w:pPr>
      <w:r w:rsidRPr="00BA5F4C">
        <w:rPr>
          <w:i/>
          <w:iCs/>
        </w:rPr>
        <w:t>Das Europäische Parlament,</w:t>
      </w:r>
    </w:p>
    <w:p w14:paraId="2800CEDC" w14:textId="77777777" w:rsidR="009E6E1A" w:rsidRPr="00BA5F4C" w:rsidRDefault="00BA5F4C">
      <w:pPr>
        <w:pStyle w:val="NormalHanging12a"/>
      </w:pPr>
      <w:r w:rsidRPr="00BA5F4C">
        <w:t>–</w:t>
      </w:r>
      <w:r w:rsidRPr="00BA5F4C">
        <w:tab/>
        <w:t>gestützt auf Artikel 225 des Vertrags über die Arbeitsweise der Europäischen Union (AEUV),</w:t>
      </w:r>
    </w:p>
    <w:p w14:paraId="420C8C0A" w14:textId="77777777" w:rsidR="009E6E1A" w:rsidRPr="00BA5F4C" w:rsidRDefault="00BA5F4C">
      <w:pPr>
        <w:pStyle w:val="NormalHanging12a"/>
      </w:pPr>
      <w:r w:rsidRPr="00BA5F4C">
        <w:t>–</w:t>
      </w:r>
      <w:r w:rsidRPr="00BA5F4C">
        <w:tab/>
        <w:t>unter Hinweis auf die Stellungnahme des Rechtsausschusses zu der vorgeschlagenen Rechtsgrundlage,</w:t>
      </w:r>
    </w:p>
    <w:p w14:paraId="7665255C" w14:textId="77777777" w:rsidR="00F314A1" w:rsidRPr="00BA5F4C" w:rsidRDefault="00BA5F4C" w:rsidP="00F314A1">
      <w:pPr>
        <w:pStyle w:val="NormalHanging12a"/>
      </w:pPr>
      <w:r w:rsidRPr="00BA5F4C">
        <w:t>–</w:t>
      </w:r>
      <w:r w:rsidRPr="00BA5F4C">
        <w:tab/>
        <w:t>gestützt auf die Artikel 47 und 55 seiner Geschäftsordnung,</w:t>
      </w:r>
    </w:p>
    <w:p w14:paraId="21573070" w14:textId="77777777" w:rsidR="003910D8" w:rsidRPr="00BA5F4C" w:rsidRDefault="00BA5F4C" w:rsidP="003910D8">
      <w:pPr>
        <w:pStyle w:val="NormalHanging12a"/>
      </w:pPr>
      <w:r w:rsidRPr="00BA5F4C">
        <w:t>–</w:t>
      </w:r>
      <w:r w:rsidRPr="00BA5F4C">
        <w:tab/>
        <w:t>gestützt auf die Artikel 4, 9, 46, 149, 151, 153, 162, 164, 174 bis 178 und 349 AEUV,</w:t>
      </w:r>
    </w:p>
    <w:p w14:paraId="28E9EF76" w14:textId="77777777" w:rsidR="003910D8" w:rsidRPr="00BA5F4C" w:rsidRDefault="00BA5F4C" w:rsidP="003910D8">
      <w:pPr>
        <w:pStyle w:val="NormalHanging12a"/>
      </w:pPr>
      <w:r w:rsidRPr="00BA5F4C">
        <w:t>–</w:t>
      </w:r>
      <w:r w:rsidRPr="00BA5F4C">
        <w:tab/>
        <w:t>unter Hinweis auf die Mitteilung der Kommission vom 11. Dezember 2019 mit dem Titel „Der europäische Grüne Deal“ (COM(2019)0640),</w:t>
      </w:r>
    </w:p>
    <w:p w14:paraId="3194533E" w14:textId="77777777" w:rsidR="003910D8" w:rsidRPr="00BA5F4C" w:rsidRDefault="00BA5F4C" w:rsidP="003910D8">
      <w:pPr>
        <w:pStyle w:val="NormalHanging12a"/>
      </w:pPr>
      <w:r w:rsidRPr="00BA5F4C">
        <w:t>–</w:t>
      </w:r>
      <w:r w:rsidRPr="00BA5F4C">
        <w:tab/>
        <w:t>unter Hinweis auf die Mitteilung der Kommission vom 4. März 2021 mit dem Titel „Aktionsplan zur europäischen Säule sozialer Rechte“ (COM(2021)0102),</w:t>
      </w:r>
    </w:p>
    <w:p w14:paraId="224A2F0B" w14:textId="77777777" w:rsidR="003910D8" w:rsidRPr="00BA5F4C" w:rsidRDefault="00BA5F4C" w:rsidP="003910D8">
      <w:pPr>
        <w:pStyle w:val="NormalHanging12a"/>
      </w:pPr>
      <w:r w:rsidRPr="00BA5F4C">
        <w:tab/>
        <w:t>unter Hinweis auf die Verordnung (EU) 2021/241 des Europäischen Parlaments und des Rates vom 12. Februar 2021 zur Einrichtung der Aufbau- und Resilienzfazilität</w:t>
      </w:r>
      <w:r w:rsidRPr="00BA5F4C">
        <w:rPr>
          <w:rStyle w:val="FootnoteReference"/>
        </w:rPr>
        <w:footnoteReference w:id="1"/>
      </w:r>
      <w:r w:rsidRPr="00BA5F4C">
        <w:t>,</w:t>
      </w:r>
      <w:r w:rsidRPr="00BA5F4C">
        <w:tab/>
        <w:t>unter Hinweis auf die Verordnung (EU) 2021/1056 des Europäischen Parlaments und des Rates vom 24. Juni 2021 zur Einrichtung des Fonds für einen gerechten Übergang</w:t>
      </w:r>
      <w:r w:rsidRPr="00BA5F4C">
        <w:rPr>
          <w:rStyle w:val="FootnoteReference"/>
        </w:rPr>
        <w:footnoteReference w:id="2"/>
      </w:r>
      <w:r w:rsidRPr="00BA5F4C">
        <w:t>,</w:t>
      </w:r>
    </w:p>
    <w:p w14:paraId="12FB7158" w14:textId="77777777" w:rsidR="003910D8" w:rsidRPr="00BA5F4C" w:rsidRDefault="00BA5F4C" w:rsidP="003910D8">
      <w:pPr>
        <w:pStyle w:val="NormalHanging12a"/>
      </w:pPr>
      <w:r w:rsidRPr="00BA5F4C">
        <w:t>–</w:t>
      </w:r>
      <w:r w:rsidRPr="00BA5F4C">
        <w:tab/>
        <w:t xml:space="preserve">unter Hinweis auf die Verordnung (EU) 2021/1057 des Europäischen Parlaments und des Rates vom 24. Juni 2021 zur </w:t>
      </w:r>
      <w:r w:rsidRPr="00BA5F4C">
        <w:t>Einrichtung des Europäischen Sozialfonds Plus (ESF+) und zur Aufhebung der Verordnung (EU) Nr. 1296/2013</w:t>
      </w:r>
      <w:r w:rsidRPr="00BA5F4C">
        <w:rPr>
          <w:rStyle w:val="FootnoteReference"/>
        </w:rPr>
        <w:footnoteReference w:id="3"/>
      </w:r>
      <w:r w:rsidRPr="00BA5F4C">
        <w:t>,</w:t>
      </w:r>
    </w:p>
    <w:p w14:paraId="53380739" w14:textId="77777777" w:rsidR="003910D8" w:rsidRPr="00BA5F4C" w:rsidRDefault="00BA5F4C" w:rsidP="003910D8">
      <w:pPr>
        <w:pStyle w:val="NormalHanging12a"/>
      </w:pPr>
      <w:r w:rsidRPr="00BA5F4C">
        <w:t>–</w:t>
      </w:r>
      <w:r w:rsidRPr="00BA5F4C">
        <w:tab/>
        <w:t>unter Hinweis auf die Verordnung (EU) 2021/691 des Europäischen Parlaments und des Rates vom 28. April 2021 über den Europäischen Fonds für die Anpassung an die Globalisierung zugunsten entlassener Arbeitnehmer (EGF) und zur Aufhebung der Verordnung (EU) Nr. 1309/2013</w:t>
      </w:r>
      <w:r w:rsidRPr="00BA5F4C">
        <w:rPr>
          <w:rStyle w:val="FootnoteReference"/>
        </w:rPr>
        <w:footnoteReference w:id="4"/>
      </w:r>
      <w:r w:rsidRPr="00BA5F4C">
        <w:t>,</w:t>
      </w:r>
    </w:p>
    <w:p w14:paraId="2779EFC6" w14:textId="77777777" w:rsidR="00A30AED" w:rsidRPr="00BA5F4C" w:rsidRDefault="00BA5F4C" w:rsidP="003910D8">
      <w:pPr>
        <w:pStyle w:val="NormalHanging12a"/>
      </w:pPr>
      <w:r w:rsidRPr="00BA5F4C">
        <w:tab/>
        <w:t>unter Hinweis auf die Verordnung (EU) 2023/955 des Europäischen Parlaments und des Rates vom 10. Mai 2023 zur Einrichtung des Klima-Sozialfonds und zur Änderung der Verordnung (EU) 2021/1060</w:t>
      </w:r>
      <w:r w:rsidRPr="00BA5F4C">
        <w:rPr>
          <w:rStyle w:val="FootnoteReference"/>
        </w:rPr>
        <w:footnoteReference w:id="5"/>
      </w:r>
      <w:r w:rsidRPr="00BA5F4C">
        <w:t>,</w:t>
      </w:r>
    </w:p>
    <w:p w14:paraId="0BF03F26" w14:textId="77777777" w:rsidR="00410BE2" w:rsidRPr="00BA5F4C" w:rsidRDefault="00BA5F4C" w:rsidP="003910D8">
      <w:pPr>
        <w:pStyle w:val="NormalHanging12a"/>
      </w:pPr>
      <w:r w:rsidRPr="00BA5F4C">
        <w:t>–</w:t>
      </w:r>
      <w:r w:rsidRPr="00BA5F4C">
        <w:tab/>
        <w:t xml:space="preserve">unter Hinweis auf die Richtlinie 2003/87/EG des Europäischen Parlaments und des </w:t>
      </w:r>
      <w:r w:rsidRPr="00BA5F4C">
        <w:lastRenderedPageBreak/>
        <w:t>Rates vom 13. Oktober 2003 über ein System für den Handel mit Treibhausgasemissionszertifikaten in der Gemeinschaft und zur Änderung der Richtlinie 96/61/EG des Rates</w:t>
      </w:r>
      <w:r w:rsidRPr="00BA5F4C">
        <w:rPr>
          <w:rStyle w:val="FootnoteReference"/>
        </w:rPr>
        <w:footnoteReference w:id="6"/>
      </w:r>
      <w:r w:rsidRPr="00BA5F4C">
        <w:t>,</w:t>
      </w:r>
    </w:p>
    <w:p w14:paraId="1AB33B78" w14:textId="77777777" w:rsidR="00D32C5A" w:rsidRPr="00BA5F4C" w:rsidRDefault="00BA5F4C" w:rsidP="003910D8">
      <w:pPr>
        <w:pStyle w:val="NormalHanging12a"/>
      </w:pPr>
      <w:r w:rsidRPr="00BA5F4C">
        <w:tab/>
        <w:t>unter Hinweis</w:t>
      </w:r>
      <w:r w:rsidRPr="00BA5F4C">
        <w:t xml:space="preserve"> auf den von Mario Draghi vorgelegten Bericht vom September 2024 mit dem Titel „The future of European competitiveness“ (Zur Zukunft der europäischen Wettbewerbsfähigkeit – Draghi-Bericht),</w:t>
      </w:r>
    </w:p>
    <w:p w14:paraId="68FD39F1" w14:textId="77777777" w:rsidR="00FB1CE1" w:rsidRPr="00BA5F4C" w:rsidRDefault="00BA5F4C" w:rsidP="003910D8">
      <w:pPr>
        <w:pStyle w:val="NormalHanging12a"/>
      </w:pPr>
      <w:r w:rsidRPr="00BA5F4C">
        <w:t>–</w:t>
      </w:r>
      <w:r w:rsidRPr="00BA5F4C">
        <w:tab/>
        <w:t xml:space="preserve">unter Hinweis auf den Fahrplan für hochwertige Arbeitsplätze, </w:t>
      </w:r>
    </w:p>
    <w:p w14:paraId="55A4BA1A" w14:textId="77777777" w:rsidR="003910D8" w:rsidRPr="00BA5F4C" w:rsidRDefault="00BA5F4C" w:rsidP="003910D8">
      <w:pPr>
        <w:pStyle w:val="NormalHanging12a"/>
      </w:pPr>
      <w:r w:rsidRPr="00BA5F4C">
        <w:t>–</w:t>
      </w:r>
      <w:r w:rsidRPr="00BA5F4C">
        <w:tab/>
        <w:t>unter Hinweis auf die Empfehlung des Rates zu einem gerechten Übergang zur Klimaneutralität aus dem Jahr 2022,</w:t>
      </w:r>
    </w:p>
    <w:p w14:paraId="2B845256" w14:textId="77777777" w:rsidR="00CA5063" w:rsidRPr="00BA5F4C" w:rsidRDefault="00BA5F4C" w:rsidP="003910D8">
      <w:pPr>
        <w:pStyle w:val="NormalHanging12a"/>
      </w:pPr>
      <w:r w:rsidRPr="00BA5F4C">
        <w:t>–</w:t>
      </w:r>
      <w:r w:rsidRPr="00BA5F4C">
        <w:tab/>
        <w:t>unter Hinweis auf den Bericht des Ausschusses für Beschäftigung und soziale Angelegenheiten (A10-0000/2025),</w:t>
      </w:r>
    </w:p>
    <w:p w14:paraId="0E576D62" w14:textId="77777777" w:rsidR="00D71CCD" w:rsidRPr="00BA5F4C" w:rsidRDefault="00BA5F4C" w:rsidP="00D71CCD">
      <w:pPr>
        <w:pStyle w:val="NormalHanging12a"/>
      </w:pPr>
      <w:r w:rsidRPr="00BA5F4C">
        <w:t>A.</w:t>
      </w:r>
      <w:r w:rsidRPr="00BA5F4C">
        <w:tab/>
        <w:t>in der Erwägung, dass der grüne und der digitale Wandel tiefgreifende transformative Auswirkungen auf die Volkswirtschaften, Regionen und Arbeitsplätze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w:t>
      </w:r>
      <w:r w:rsidRPr="00BA5F4C">
        <w:t xml:space="preserve"> des digitalen Wandels letztlich stark davon abhängen wird, ob dafür gesorgt wird, dass der Übergang für Arbeitnehmer, Unternehmen und betroffene Regionen gerecht und inklusiv ist;</w:t>
      </w:r>
    </w:p>
    <w:p w14:paraId="4B0C0EA9" w14:textId="77777777" w:rsidR="00D71CCD" w:rsidRPr="00BA5F4C" w:rsidRDefault="00BA5F4C" w:rsidP="00D71CCD">
      <w:pPr>
        <w:pStyle w:val="NormalHanging12a"/>
      </w:pPr>
      <w:r w:rsidRPr="00BA5F4C">
        <w:t>B.</w:t>
      </w:r>
      <w:r w:rsidRPr="00BA5F4C">
        <w:tab/>
        <w:t>in der Erwägung, dass im Rahmen der Bewältigung des Übergangs zu einer CO</w:t>
      </w:r>
      <w:r w:rsidRPr="00BA5F4C">
        <w:rPr>
          <w:vertAlign w:val="subscript"/>
        </w:rPr>
        <w:t>2</w:t>
      </w:r>
      <w:r w:rsidRPr="00BA5F4C">
        <w:t>-neutralen Wirtschaft nicht nur der Übergang zu neuen Arbeitsplätzen in aufstrebenden Branchen unterstützt werden sollte, sondern auch bestehende Arbeitsplätze und Branchen erhalten und an klimaneutrale und saubere Wirtschaftszweige und Technologien für die Menschen in den betroffenen Gebieten angepasst werden sollten; in der Erwägung, dass es wichtig ist, Arbeitnehmern und Arbeitssuchenden das Gefühl der Unterstützung bei der Bewält</w:t>
      </w:r>
      <w:r w:rsidRPr="00BA5F4C">
        <w:t>igung von Übergängen zu vermitteln, um das Verständnis und die Akzeptanz für die Ziele der Strategie 2050 zu fördern;</w:t>
      </w:r>
    </w:p>
    <w:p w14:paraId="289B3CDE" w14:textId="77777777" w:rsidR="00D71CCD" w:rsidRPr="00BA5F4C" w:rsidRDefault="00BA5F4C" w:rsidP="00D71CCD">
      <w:pPr>
        <w:pStyle w:val="NormalHanging12a"/>
      </w:pPr>
      <w:r w:rsidRPr="00BA5F4C">
        <w:t>C.</w:t>
      </w:r>
      <w:r w:rsidRPr="00BA5F4C">
        <w:tab/>
        <w:t>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rechtliche Rahmen jedoch weiterhin lückenhaft ist, wenn es um Umbrüch</w:t>
      </w:r>
      <w:r w:rsidRPr="00BA5F4C">
        <w:t>e im Hinblick auf Arbeitsplätze, Arbeitnehmerrechte, den Sozialschutz und den sozialen Dialog geht; in der Erwägung, dass ein echter Mehrwert bei gleichzeitiger sozialer Aufwärtskonvergenz nur durch Maßnahmen auf Unionsebene sichergestellt werden kann, um dem Versprechen, niemanden zurückzulassen, tatsächlich nachzukommen;</w:t>
      </w:r>
    </w:p>
    <w:p w14:paraId="667AD176" w14:textId="77777777" w:rsidR="00D71CCD" w:rsidRPr="00BA5F4C" w:rsidRDefault="00BA5F4C" w:rsidP="00D71CCD">
      <w:pPr>
        <w:pStyle w:val="NormalHanging12a"/>
      </w:pPr>
      <w:r w:rsidRPr="00BA5F4C">
        <w:t>D.</w:t>
      </w:r>
      <w:r w:rsidRPr="00BA5F4C">
        <w:tab/>
        <w:t xml:space="preserve">in der Erwägung, dass im Draghi-Bericht festgestellt wird, dass anhaltender Fachkräftemangel ein Hindernis für Innovation, die Einführung von Technologien und </w:t>
      </w:r>
      <w:r w:rsidRPr="00BA5F4C">
        <w:lastRenderedPageBreak/>
        <w:t>Bemühungen um Dekarbonisierung darstellt, was wiederum Wachstum und Wettbewerbsfähigkeit behindert; in der Erwägung, dass im Draghi-Bericht festgestellt wird, dass fast 80 % der kleinen und mittleren Unternehmen Schwierigkeiten haben, Arbeitnehmer mit den richtigen Kompetenzen zu finden; in der Erwägung, dass im Draghi-Bericht ferner betont wird, das</w:t>
      </w:r>
      <w:r w:rsidRPr="00BA5F4C">
        <w:t>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p>
    <w:p w14:paraId="10C27A48" w14:textId="77777777" w:rsidR="00D71CCD" w:rsidRPr="00BA5F4C" w:rsidRDefault="00BA5F4C" w:rsidP="00D71CCD">
      <w:pPr>
        <w:pStyle w:val="NormalHanging12a"/>
      </w:pPr>
      <w:r w:rsidRPr="00BA5F4C">
        <w:t>1.</w:t>
      </w:r>
      <w:r w:rsidRPr="00BA5F4C">
        <w:tab/>
        <w:t>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w:t>
      </w:r>
      <w:r w:rsidRPr="00BA5F4C">
        <w:t xml:space="preserve">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w:t>
      </w:r>
      <w:r w:rsidRPr="00BA5F4C">
        <w:t>Koordinierung miteinander verbinden, um negative Auswirkungen zu verringern und eine inklusivere Entwicklung zu fördern;</w:t>
      </w:r>
    </w:p>
    <w:p w14:paraId="0FD9CA8A" w14:textId="77777777" w:rsidR="00D71CCD" w:rsidRPr="00BA5F4C" w:rsidRDefault="00BA5F4C" w:rsidP="00D71CCD">
      <w:pPr>
        <w:pStyle w:val="NormalHanging12a"/>
      </w:pPr>
      <w:r w:rsidRPr="00BA5F4C">
        <w:t>2.</w:t>
      </w:r>
      <w:r w:rsidRPr="00BA5F4C">
        <w:tab/>
        <w:t>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Maßnahmen umfassen müssen</w:t>
      </w:r>
      <w:r w:rsidRPr="00BA5F4C">
        <w:t>,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w:t>
      </w:r>
      <w:r w:rsidRPr="00BA5F4C">
        <w:t>chaffen wird, sowie in die Berufsbildung, Weiterbildung und Umschulung von Arbeitnehmern zu investieren, um dem Fachkräfte- und Arbeitskräftemangel, der Produktivität und Wachstum hemmt, entgegenzuwirken;</w:t>
      </w:r>
    </w:p>
    <w:p w14:paraId="313BD452" w14:textId="77777777" w:rsidR="00D71CCD" w:rsidRPr="00BA5F4C" w:rsidRDefault="00BA5F4C" w:rsidP="00D71CCD">
      <w:pPr>
        <w:pStyle w:val="NormalHanging12a"/>
      </w:pPr>
      <w:r w:rsidRPr="00BA5F4C">
        <w:t>3.</w:t>
      </w:r>
      <w:r w:rsidRPr="00BA5F4C">
        <w:tab/>
        <w:t>fordert die Kommission auf, nach Konsultation der Sozialpartner einen Vorschlag für eine Richtlinie vorzulegen,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p w14:paraId="5F4D0C81" w14:textId="77777777" w:rsidR="00D71CCD" w:rsidRPr="00BA5F4C" w:rsidRDefault="00BA5F4C" w:rsidP="00D71CCD">
      <w:pPr>
        <w:pStyle w:val="NormalHanging12a"/>
        <w:ind w:left="1418" w:hanging="425"/>
      </w:pPr>
      <w:r w:rsidRPr="00BA5F4C">
        <w:t>a)</w:t>
      </w:r>
      <w:r w:rsidRPr="00BA5F4C">
        <w:tab/>
        <w:t xml:space="preserve">ein spezieller Rahmen für die Antizipation und Bewältigung von Veränderungen durch die rechtzeitige Information und Konsultation der </w:t>
      </w:r>
      <w:r w:rsidRPr="00BA5F4C">
        <w:lastRenderedPageBreak/>
        <w:t>Arbeitnehmer und ihrer Vertreter, sozialen Dialog und Tarifverhandlungen,</w:t>
      </w:r>
    </w:p>
    <w:p w14:paraId="29E58BFA" w14:textId="77777777" w:rsidR="00D71CCD" w:rsidRPr="00BA5F4C" w:rsidRDefault="00BA5F4C" w:rsidP="00D71CCD">
      <w:pPr>
        <w:pStyle w:val="NormalHanging12a"/>
        <w:ind w:left="1418" w:hanging="425"/>
      </w:pPr>
      <w:r w:rsidRPr="00BA5F4C">
        <w:t>b)</w:t>
      </w:r>
      <w:r w:rsidRPr="00BA5F4C">
        <w:tab/>
        <w:t>ein individuelles Recht auf kostenlose Aus- und Weiterbildung der Arbeitnehmer während der Arbeitszeit,</w:t>
      </w:r>
    </w:p>
    <w:p w14:paraId="6637CADD" w14:textId="77777777" w:rsidR="00D71CCD" w:rsidRPr="00BA5F4C" w:rsidRDefault="00BA5F4C" w:rsidP="00D71CCD">
      <w:pPr>
        <w:pStyle w:val="NormalHanging12a"/>
        <w:ind w:left="1418" w:hanging="425"/>
      </w:pPr>
      <w:r w:rsidRPr="00BA5F4C">
        <w:t>c)</w:t>
      </w:r>
      <w:r w:rsidRPr="00BA5F4C">
        <w:tab/>
        <w:t>die Festlegung nationaler Strategien für einen gerechten Übergang,</w:t>
      </w:r>
    </w:p>
    <w:p w14:paraId="056E6059" w14:textId="77777777" w:rsidR="00D71CCD" w:rsidRPr="00BA5F4C" w:rsidRDefault="00BA5F4C" w:rsidP="00D71CCD">
      <w:pPr>
        <w:pStyle w:val="NormalHanging12a"/>
        <w:ind w:left="1418" w:hanging="425"/>
      </w:pPr>
      <w:r w:rsidRPr="00BA5F4C">
        <w:t>d)</w:t>
      </w:r>
      <w:r w:rsidRPr="00BA5F4C">
        <w:tab/>
        <w:t>die Entwicklung von Programmen zur Unterstützung von Unternehmen und die Förderung von Übergangsplänen auf Unternehmensebene,</w:t>
      </w:r>
    </w:p>
    <w:p w14:paraId="7672E48F" w14:textId="77777777" w:rsidR="00D71CCD" w:rsidRPr="00BA5F4C" w:rsidRDefault="00BA5F4C" w:rsidP="00D71CCD">
      <w:pPr>
        <w:pStyle w:val="NormalHanging12a"/>
        <w:ind w:left="1418" w:hanging="425"/>
      </w:pPr>
      <w:r w:rsidRPr="00BA5F4C">
        <w:t>e)</w:t>
      </w:r>
      <w:r w:rsidRPr="00BA5F4C">
        <w:tab/>
        <w:t>eine Überwachungsstruktur zur strategischen Vorausschau;</w:t>
      </w:r>
    </w:p>
    <w:p w14:paraId="30B744ED" w14:textId="77777777" w:rsidR="00D71CCD" w:rsidRPr="00BA5F4C" w:rsidRDefault="00BA5F4C" w:rsidP="00D71CCD">
      <w:pPr>
        <w:pStyle w:val="NormalHanging12a"/>
      </w:pPr>
      <w:r w:rsidRPr="00BA5F4C">
        <w:t>4.</w:t>
      </w:r>
      <w:r w:rsidRPr="00BA5F4C">
        <w:tab/>
        <w:t>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w:t>
      </w:r>
      <w:r w:rsidRPr="00BA5F4C">
        <w:t>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p w14:paraId="01DBFF0F" w14:textId="77777777" w:rsidR="00D71CCD" w:rsidRPr="00BA5F4C" w:rsidRDefault="00BA5F4C" w:rsidP="00D71CCD">
      <w:pPr>
        <w:pStyle w:val="NormalHanging12a"/>
      </w:pPr>
      <w:r w:rsidRPr="00BA5F4C">
        <w:t>5.</w:t>
      </w:r>
      <w:r w:rsidRPr="00BA5F4C">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BA5F4C">
        <w:rPr>
          <w:rStyle w:val="FootnoteReference"/>
        </w:rPr>
        <w:footnoteReference w:id="7"/>
      </w:r>
      <w:r w:rsidRPr="00BA5F4C">
        <w:t xml:space="preserve">; ist der festen Überzeugung, dass diese Hindernisse für Arbeitnehmer durch ein individuelles Recht auf kostenlose Aus- und Weiterbildung der Arbeitnehmer während der Arbeitszeit überwunden werden können und so für Arbeitgeber für ein </w:t>
      </w:r>
      <w:r w:rsidRPr="00BA5F4C">
        <w:t>berechenbares und stabiles Angebot an Fachkräften gesorgt werden kann;</w:t>
      </w:r>
    </w:p>
    <w:p w14:paraId="6FD49672" w14:textId="77777777" w:rsidR="00D71CCD" w:rsidRPr="00BA5F4C" w:rsidRDefault="00BA5F4C" w:rsidP="00D71CCD">
      <w:pPr>
        <w:pStyle w:val="NormalHanging12a"/>
      </w:pPr>
      <w:r w:rsidRPr="00BA5F4C">
        <w:t>6.</w:t>
      </w:r>
      <w:r w:rsidRPr="00BA5F4C">
        <w:tab/>
        <w:t>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w:t>
      </w:r>
      <w:r w:rsidRPr="00BA5F4C">
        <w:t>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p w14:paraId="499C95DE" w14:textId="77777777" w:rsidR="00D71CCD" w:rsidRPr="00BA5F4C" w:rsidRDefault="00BA5F4C" w:rsidP="00D71CCD">
      <w:pPr>
        <w:pStyle w:val="NormalHanging12a"/>
      </w:pPr>
      <w:r w:rsidRPr="00BA5F4C">
        <w:lastRenderedPageBreak/>
        <w:t>7.</w:t>
      </w:r>
      <w:r w:rsidRPr="00BA5F4C">
        <w:tab/>
        <w:t>weist darauf hin, dass KMU die wichtigsten Akteure im Hinblick auf die Schaffung nachhaltiger lokaler Arbeitsplätze sind; betont, dass der Zugang von KMU zu Finanzmitteln für den Übergang erleichtert werden muss, indem unter anderem Clustervereinbarungen für den Zugang zu Finanzmitteln und technischer Hilfe ermöglicht werden, um die Konzeption und Konformität von Projekten zu steuern; fordert die Mitgliedstaaten und die regionalen Behörden nachdrücklich auf, Programme zur Unterstützung von Unternehmen in d</w:t>
      </w:r>
      <w:r w:rsidRPr="00BA5F4C">
        <w:t>en betroffenen Regionen einzurichten und zu stärken, um Start-up-Unternehmen und KMU dabei zu unterstützen, zu wachsen und erfolgreich zu werden; betont, dass Investitionsanreize dazu beitragen können, Unternehmen in strukturschwache Regionen zu locken;</w:t>
      </w:r>
    </w:p>
    <w:p w14:paraId="172E3932" w14:textId="77777777" w:rsidR="00D71CCD" w:rsidRPr="00BA5F4C" w:rsidRDefault="00BA5F4C" w:rsidP="00D71CCD">
      <w:pPr>
        <w:pStyle w:val="NormalHanging12a"/>
      </w:pPr>
      <w:r w:rsidRPr="00BA5F4C">
        <w:t>8.</w:t>
      </w:r>
      <w:r w:rsidRPr="00BA5F4C">
        <w:tab/>
        <w:t>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un</w:t>
      </w:r>
      <w:r w:rsidRPr="00BA5F4C">
        <w:t>d die Auswirkungen von Übergangsmaßnahmen zu analysieren;</w:t>
      </w:r>
    </w:p>
    <w:p w14:paraId="6354FAF2" w14:textId="77777777" w:rsidR="00D71CCD" w:rsidRPr="00BA5F4C" w:rsidRDefault="00BA5F4C" w:rsidP="00D71CCD">
      <w:pPr>
        <w:pStyle w:val="NormalHanging12a"/>
      </w:pPr>
      <w:r w:rsidRPr="00BA5F4C">
        <w:t>9.</w:t>
      </w:r>
      <w:r w:rsidRPr="00BA5F4C">
        <w:tab/>
        <w:t>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w:t>
      </w:r>
      <w:r w:rsidRPr="00BA5F4C">
        <w:t>ebene zu gewährleisten; fordert nachdrücklich, dass die Finanzierung im Zusammenhang mit dem Übergang an soziale Bedingungen zur Förderung der Inklusion geknüpft sein sollte;</w:t>
      </w:r>
    </w:p>
    <w:p w14:paraId="4E2BF034" w14:textId="77777777" w:rsidR="00D71CCD" w:rsidRPr="00BA5F4C" w:rsidRDefault="00BA5F4C" w:rsidP="00D71CCD">
      <w:pPr>
        <w:pStyle w:val="NormalHanging12a"/>
      </w:pPr>
      <w:r w:rsidRPr="00BA5F4C">
        <w:t>10.</w:t>
      </w:r>
      <w:r w:rsidRPr="00BA5F4C">
        <w:tab/>
        <w:t>fordert die Mitgliedstaaten auf, eine ausreichende Finanzierung für hochwertige 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umzusetzen; fordert die Mitgliedstaaten auf, die Einnahmen au</w:t>
      </w:r>
      <w:r w:rsidRPr="00BA5F4C">
        <w:t>s nationalen Emissionshandelssystemen stärker für die Aus- und Weiterbildung von Arbeitnehmern und die Verlagerung von Arbeit zu verwenden;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p w14:paraId="06AAD003" w14:textId="77777777" w:rsidR="00D71CCD" w:rsidRPr="00BA5F4C" w:rsidRDefault="00BA5F4C" w:rsidP="00D71CCD">
      <w:pPr>
        <w:pStyle w:val="NormalHanging12a"/>
      </w:pPr>
      <w:r w:rsidRPr="00BA5F4C">
        <w:t>11.</w:t>
      </w:r>
      <w:r w:rsidRPr="00BA5F4C">
        <w:tab/>
        <w:t>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w:t>
      </w:r>
    </w:p>
    <w:p w14:paraId="61FAC3C0" w14:textId="77777777" w:rsidR="00D71CCD" w:rsidRPr="00BA5F4C" w:rsidRDefault="00BA5F4C" w:rsidP="00D71CCD">
      <w:pPr>
        <w:pStyle w:val="NormalHanging12a"/>
      </w:pPr>
      <w:r w:rsidRPr="00BA5F4C">
        <w:lastRenderedPageBreak/>
        <w:t>12.</w:t>
      </w:r>
      <w:r w:rsidRPr="00BA5F4C">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t>
      </w:r>
      <w:r w:rsidRPr="00BA5F4C">
        <w:t>werden kann, indem Sozialpartner, KMU, die Zivilgesellschaft und junge Menschen in regionalen Koordinierungsgremien frühzeitig konsultiert und ihnen klare Mandate und Stimmrechte erteilt werden;</w:t>
      </w:r>
    </w:p>
    <w:p w14:paraId="6C349395" w14:textId="77777777" w:rsidR="00D71CCD" w:rsidRPr="00BA5F4C" w:rsidRDefault="00BA5F4C" w:rsidP="00D71CCD">
      <w:pPr>
        <w:pStyle w:val="NormalHanging12a"/>
      </w:pPr>
      <w:r w:rsidRPr="00BA5F4C">
        <w:t>13.</w:t>
      </w:r>
      <w:r w:rsidRPr="00BA5F4C">
        <w:tab/>
        <w:t>fordert die Kommission auf, auf der Grundlage von Artikel 153 Absatz 2 Buchstabe b in Verbindung mit Artikel 153 Absatz 1 Buchstaben a, b, e und h AEUV bis zum 31. Januar 2027 einen Vorschlag für eine Richtlinie über den gerechten Übergang in der Arbeitswelt vorzulegen, der den im Anhang enthaltenen Empfehlungen folgt;</w:t>
      </w:r>
    </w:p>
    <w:p w14:paraId="380EBE7B" w14:textId="77777777" w:rsidR="00EF4095" w:rsidRPr="00BA5F4C" w:rsidRDefault="00BA5F4C" w:rsidP="00EF4095">
      <w:pPr>
        <w:pStyle w:val="NormalHanging12a"/>
      </w:pPr>
      <w:r w:rsidRPr="00BA5F4C">
        <w:t>14.</w:t>
      </w:r>
      <w:r w:rsidRPr="00BA5F4C">
        <w:tab/>
        <w:t>ist der Ansicht, dass die finanziellen Auswirkungen des geforderten Vorschlags durch bestehende Mittelzuweisungen abgedeckt werden sollten;</w:t>
      </w:r>
    </w:p>
    <w:p w14:paraId="28AE3832" w14:textId="77777777" w:rsidR="00D71CCD" w:rsidRPr="00BA5F4C" w:rsidRDefault="00BA5F4C" w:rsidP="00D71CCD">
      <w:pPr>
        <w:widowControl/>
        <w:ind w:left="567" w:hanging="567"/>
        <w:rPr>
          <w:szCs w:val="24"/>
        </w:rPr>
      </w:pPr>
      <w:r w:rsidRPr="00BA5F4C">
        <w:t>15.</w:t>
      </w:r>
      <w:r w:rsidRPr="00BA5F4C">
        <w:tab/>
        <w:t xml:space="preserve">beauftragt seine Präsidentin, diese Entschließung und die als Anlage beigefügten Empfehlungen der Kommission und dem Rat zu übermitteln. </w:t>
      </w:r>
    </w:p>
    <w:p w14:paraId="3EAEA2E4" w14:textId="77777777" w:rsidR="009F6042" w:rsidRPr="00BA5F4C" w:rsidRDefault="009F6042" w:rsidP="006E50B6"/>
    <w:p w14:paraId="4CABDEAB" w14:textId="77777777" w:rsidR="006E50B6" w:rsidRPr="00BA5F4C" w:rsidRDefault="006E50B6" w:rsidP="006E50B6">
      <w:pPr>
        <w:sectPr w:rsidR="006E50B6" w:rsidRPr="00BA5F4C" w:rsidSect="00BA5F4C">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14:paraId="788A17CA" w14:textId="77777777" w:rsidR="00007EDE" w:rsidRPr="00BA5F4C" w:rsidRDefault="00BA5F4C" w:rsidP="007255C3">
      <w:pPr>
        <w:pStyle w:val="PageHeading"/>
      </w:pPr>
      <w:bookmarkStart w:id="1" w:name="_Toc208843796"/>
      <w:r w:rsidRPr="00BA5F4C">
        <w:lastRenderedPageBreak/>
        <w:t>ANLAGE ZUM ENTSCHLIESSUNGSANTRAG:</w:t>
      </w:r>
      <w:r w:rsidRPr="00BA5F4C">
        <w:br/>
        <w:t>EMPFEHLUNGEN ZUM INHALT DES VERLANGTEN VORSCHLAGS</w:t>
      </w:r>
      <w:bookmarkEnd w:id="1"/>
    </w:p>
    <w:p w14:paraId="64BFA022" w14:textId="77777777" w:rsidR="00D71CCD" w:rsidRPr="00BA5F4C" w:rsidRDefault="00BA5F4C" w:rsidP="00D71CCD">
      <w:pPr>
        <w:pStyle w:val="NormalHanging12a"/>
        <w:jc w:val="center"/>
        <w:rPr>
          <w:b/>
        </w:rPr>
      </w:pPr>
      <w:r w:rsidRPr="00BA5F4C">
        <w:rPr>
          <w:b/>
        </w:rPr>
        <w:t>Eine Unionsrichtlinie für einen gerechten Übergang in der Arbeitswelt: Schaffung von Arbeitsplätzen und Wiederankurbelung der lokalen Wirtschaft</w:t>
      </w:r>
    </w:p>
    <w:p w14:paraId="266F2D04" w14:textId="77777777" w:rsidR="00D71CCD" w:rsidRPr="00BA5F4C" w:rsidRDefault="00BA5F4C" w:rsidP="00D71CCD">
      <w:pPr>
        <w:pStyle w:val="NormalHanging12a"/>
        <w:ind w:left="0" w:firstLine="0"/>
      </w:pPr>
      <w:r w:rsidRPr="00BA5F4C">
        <w:t>Das Europäische Parlament ist der Auffassung, dass der künftige Legislativvorschlag im Hinblick auf eine Richtlinie für einen gerechten Übergang in der Arbeitswelt: Schaffung von Arbeitsplätzen und Wiederankurbelung der lokalen Wirtschaft folgenden Grundsätzen und Zielen Rechnung tragen sollte:</w:t>
      </w:r>
    </w:p>
    <w:p w14:paraId="121EC52D" w14:textId="77777777" w:rsidR="00D71CCD" w:rsidRPr="00BA5F4C" w:rsidRDefault="00BA5F4C" w:rsidP="00D71CCD">
      <w:pPr>
        <w:pStyle w:val="NormalHanging12a"/>
        <w:ind w:left="720" w:hanging="720"/>
        <w:rPr>
          <w:i/>
          <w:szCs w:val="24"/>
        </w:rPr>
      </w:pPr>
      <w:r w:rsidRPr="00BA5F4C">
        <w:rPr>
          <w:b/>
          <w:i/>
        </w:rPr>
        <w:t>Empfehlung 1: Allgemeines Ziel des Vorschlags</w:t>
      </w:r>
    </w:p>
    <w:p w14:paraId="417F1734" w14:textId="77777777" w:rsidR="00D71CCD" w:rsidRPr="00BA5F4C" w:rsidRDefault="00BA5F4C" w:rsidP="00D71CCD">
      <w:pPr>
        <w:pStyle w:val="NormalHanging12a"/>
        <w:ind w:left="0" w:firstLine="0"/>
        <w:rPr>
          <w:szCs w:val="24"/>
        </w:rPr>
      </w:pPr>
      <w:r w:rsidRPr="00BA5F4C">
        <w:t xml:space="preserve">Das allgemeine Ziel des </w:t>
      </w:r>
      <w:r w:rsidRPr="00BA5F4C">
        <w:t xml:space="preserve">Vorschlags besteht darin, einen Unionsrahmen für politische Maßnahmen zu schaffen, die in den vom grünen und digitalen Wandel betroffenen Regionen umgesetzt werden können, um für einen sozial gerechten und inklusiven Übergang und die Schaffung hochwertiger Arbeitsplätze zu sorgen. </w:t>
      </w:r>
    </w:p>
    <w:p w14:paraId="43AA0726" w14:textId="77777777" w:rsidR="00D71CCD" w:rsidRPr="00BA5F4C" w:rsidRDefault="00BA5F4C" w:rsidP="00D71CCD">
      <w:pPr>
        <w:pStyle w:val="NormalHanging12a"/>
        <w:ind w:left="720" w:hanging="720"/>
        <w:rPr>
          <w:i/>
          <w:szCs w:val="24"/>
        </w:rPr>
      </w:pPr>
      <w:r w:rsidRPr="00BA5F4C">
        <w:rPr>
          <w:b/>
          <w:i/>
        </w:rPr>
        <w:t>Empfehlung 2: Form des Vorschlags</w:t>
      </w:r>
    </w:p>
    <w:p w14:paraId="6CE10DCD" w14:textId="77777777" w:rsidR="00D71CCD" w:rsidRPr="00BA5F4C" w:rsidRDefault="00BA5F4C" w:rsidP="00D71CCD">
      <w:pPr>
        <w:pStyle w:val="NormalHanging12a"/>
        <w:ind w:left="720" w:hanging="720"/>
        <w:rPr>
          <w:i/>
          <w:szCs w:val="24"/>
        </w:rPr>
      </w:pPr>
      <w:r w:rsidRPr="00BA5F4C">
        <w:t>Der Vorschlag sollte in Form einer Richtlinie vorgelegt werden.</w:t>
      </w:r>
    </w:p>
    <w:p w14:paraId="10DB58E0" w14:textId="77777777" w:rsidR="00D71CCD" w:rsidRPr="00BA5F4C" w:rsidRDefault="00BA5F4C" w:rsidP="00D71CCD">
      <w:pPr>
        <w:rPr>
          <w:i/>
          <w:szCs w:val="24"/>
        </w:rPr>
      </w:pPr>
      <w:r w:rsidRPr="00BA5F4C">
        <w:t>Da ein umfassendes Maßnahmenpaket erforderlich ist, um dieses Ziel zu erreichen, sollte der Vorschlag Aspekte aus folgenden Bereichen umfassen:</w:t>
      </w:r>
    </w:p>
    <w:p w14:paraId="49ED5653" w14:textId="77777777" w:rsidR="00D71CCD" w:rsidRPr="00BA5F4C" w:rsidRDefault="00BA5F4C" w:rsidP="00D71CCD">
      <w:pPr>
        <w:ind w:left="851" w:hanging="425"/>
      </w:pPr>
      <w:r w:rsidRPr="00BA5F4C">
        <w:t>a)</w:t>
      </w:r>
      <w:r w:rsidRPr="00BA5F4C">
        <w:tab/>
        <w:t>Arbeitsbedingungen,</w:t>
      </w:r>
    </w:p>
    <w:p w14:paraId="31159CE6" w14:textId="77777777" w:rsidR="00D71CCD" w:rsidRPr="00BA5F4C" w:rsidRDefault="00BA5F4C" w:rsidP="00D71CCD">
      <w:pPr>
        <w:ind w:left="851" w:hanging="425"/>
      </w:pPr>
      <w:r w:rsidRPr="00BA5F4C">
        <w:t>b)</w:t>
      </w:r>
      <w:r w:rsidRPr="00BA5F4C">
        <w:tab/>
        <w:t>berufliche Eingliederung der vom Arbeitsmarkt ausgeschlossenen Personen,</w:t>
      </w:r>
    </w:p>
    <w:p w14:paraId="2530E8DE" w14:textId="77777777" w:rsidR="00D71CCD" w:rsidRPr="00BA5F4C" w:rsidRDefault="00BA5F4C" w:rsidP="00D71CCD">
      <w:pPr>
        <w:ind w:left="851" w:hanging="425"/>
      </w:pPr>
      <w:r w:rsidRPr="00BA5F4C">
        <w:t>c)</w:t>
      </w:r>
      <w:r w:rsidRPr="00BA5F4C">
        <w:tab/>
        <w:t>Information und Konsultation der Arbeitnehmer,</w:t>
      </w:r>
    </w:p>
    <w:p w14:paraId="606240CC" w14:textId="77777777" w:rsidR="00D71CCD" w:rsidRPr="00BA5F4C" w:rsidRDefault="00BA5F4C" w:rsidP="00D71CCD">
      <w:pPr>
        <w:pStyle w:val="NormalHanging12a"/>
        <w:ind w:left="851" w:hanging="425"/>
        <w:rPr>
          <w:szCs w:val="24"/>
        </w:rPr>
      </w:pPr>
      <w:r w:rsidRPr="00BA5F4C">
        <w:t>d)</w:t>
      </w:r>
      <w:r w:rsidRPr="00BA5F4C">
        <w:tab/>
        <w:t xml:space="preserve">Verbesserung des Arbeitsumfelds zum Schutz der Gesundheit und der Sicherheit der </w:t>
      </w:r>
      <w:r w:rsidRPr="00BA5F4C">
        <w:t xml:space="preserve">Arbeitnehmer. </w:t>
      </w:r>
    </w:p>
    <w:p w14:paraId="345CBC22" w14:textId="77777777" w:rsidR="00D71CCD" w:rsidRPr="00BA5F4C" w:rsidRDefault="00BA5F4C" w:rsidP="00D71CCD">
      <w:pPr>
        <w:pStyle w:val="NormalHanging12a"/>
        <w:ind w:left="720" w:hanging="720"/>
        <w:rPr>
          <w:i/>
          <w:szCs w:val="24"/>
        </w:rPr>
      </w:pPr>
      <w:r w:rsidRPr="00BA5F4C">
        <w:rPr>
          <w:b/>
          <w:i/>
        </w:rPr>
        <w:t>Empfehlung 3: Gegenstand des Vorschlags</w:t>
      </w:r>
    </w:p>
    <w:p w14:paraId="64AA3F03" w14:textId="77777777" w:rsidR="00D71CCD" w:rsidRPr="00BA5F4C" w:rsidRDefault="00BA5F4C" w:rsidP="00D71CCD">
      <w:r w:rsidRPr="00BA5F4C">
        <w:t>Der Vorschlag sollte sich auf folgende politische Maßnahmen konzentrieren:</w:t>
      </w:r>
    </w:p>
    <w:p w14:paraId="72404E0C" w14:textId="77777777" w:rsidR="00D71CCD" w:rsidRPr="00BA5F4C" w:rsidRDefault="00BA5F4C" w:rsidP="00D71CCD">
      <w:r w:rsidRPr="00BA5F4C">
        <w:t>a)</w:t>
      </w:r>
      <w:r w:rsidRPr="00BA5F4C">
        <w:tab/>
        <w:t>Schaffung eines speziellen Rahmens für die Antizipation und Bewältigung des Wandels in Regionen und Sektoren, die mit Veränderungen konfrontiert sind, auf der Grundlage der Grundsätze der Information und Konsultation, des sozialen Dialogs und von Tarifverhandlungen,</w:t>
      </w:r>
    </w:p>
    <w:p w14:paraId="27FF1B25" w14:textId="77777777" w:rsidR="00D71CCD" w:rsidRPr="00BA5F4C" w:rsidRDefault="00BA5F4C" w:rsidP="00D71CCD">
      <w:r w:rsidRPr="00BA5F4C">
        <w:t>b)</w:t>
      </w:r>
      <w:r w:rsidRPr="00BA5F4C">
        <w:tab/>
        <w:t>Sicherstellung – anhand einer Überprüfung des Rechtsrahmens – der wirksamen Anwendung des Rechts der Arbeitnehmer und ihrer Vertreter auf Information und Konsultation im Zusammenhang mit Veränderungen,</w:t>
      </w:r>
    </w:p>
    <w:p w14:paraId="00C12CCB" w14:textId="77777777" w:rsidR="00D71CCD" w:rsidRPr="00BA5F4C" w:rsidRDefault="00BA5F4C" w:rsidP="00D71CCD">
      <w:r w:rsidRPr="00BA5F4C">
        <w:t>c)</w:t>
      </w:r>
      <w:r w:rsidRPr="00BA5F4C">
        <w:tab/>
        <w:t>Einführung eines individuellen Rechts auf kostenlose Aus- und Weiterbildung der Arbeitnehmer während der Arbeitszeit,</w:t>
      </w:r>
    </w:p>
    <w:p w14:paraId="0DE00CC4" w14:textId="77777777" w:rsidR="00D71CCD" w:rsidRPr="00BA5F4C" w:rsidRDefault="00BA5F4C" w:rsidP="00D71CCD">
      <w:r w:rsidRPr="00BA5F4C">
        <w:t>d)</w:t>
      </w:r>
      <w:r w:rsidRPr="00BA5F4C">
        <w:tab/>
        <w:t>Festlegung nationaler Strategien für einen gerechten Übergang mit besonderem Schwerpunkt auf der Entwicklung langfristiger Visionen für die lokale Wirtschaft und die Arbeitskräfte in allen betroffenen Regionen,</w:t>
      </w:r>
    </w:p>
    <w:p w14:paraId="67566456" w14:textId="77777777" w:rsidR="00D71CCD" w:rsidRPr="00BA5F4C" w:rsidRDefault="00BA5F4C" w:rsidP="00D71CCD">
      <w:r w:rsidRPr="00BA5F4C">
        <w:t>e)</w:t>
      </w:r>
      <w:r w:rsidRPr="00BA5F4C">
        <w:tab/>
        <w:t>Entwicklung von Programmen zur Unterstützung von Unternehmen, insbesondere KMU und lokale Akteure, um die Schaffung von Arbeitsplätzen vor Ort zu fördern,</w:t>
      </w:r>
    </w:p>
    <w:p w14:paraId="7854383A" w14:textId="77777777" w:rsidR="00D71CCD" w:rsidRPr="00BA5F4C" w:rsidRDefault="00BA5F4C" w:rsidP="00D71CCD">
      <w:r w:rsidRPr="00BA5F4C">
        <w:t>f)</w:t>
      </w:r>
      <w:r w:rsidRPr="00BA5F4C">
        <w:tab/>
      </w:r>
      <w:r w:rsidRPr="00BA5F4C">
        <w:tab/>
        <w:t xml:space="preserve">Sicherstellung der Übereinstimmung von Angebot und Nachfrage im Hinblick auf qualifiziertes Personal durch die kombinierte Nutzung von Arbeitsmarktdaten, verstärkte Zusammenarbeit lokaler Akteure mit Anbietern von Aus- und Weiterbildung sowie die </w:t>
      </w:r>
      <w:r w:rsidRPr="00BA5F4C">
        <w:lastRenderedPageBreak/>
        <w:t>Förderung von Übergangsplänen auf Unternehmensebene,</w:t>
      </w:r>
    </w:p>
    <w:p w14:paraId="51FE10B1" w14:textId="77777777" w:rsidR="002923A5" w:rsidRPr="00BA5F4C" w:rsidRDefault="00BA5F4C" w:rsidP="00D71CCD">
      <w:r w:rsidRPr="00BA5F4C">
        <w:t>g)</w:t>
      </w:r>
      <w:r w:rsidRPr="00BA5F4C">
        <w:tab/>
        <w:t>Entwicklung einer Überwachungsstruktur zur strategischen Vorausschau im Hinblick auf die Auswirkungen des Übergangs und die Entwicklungen auf dem Arbeitsmarkt.</w:t>
      </w:r>
    </w:p>
    <w:p w14:paraId="1AD32773" w14:textId="77777777" w:rsidR="00CB599E" w:rsidRPr="00BA5F4C" w:rsidRDefault="00CB599E" w:rsidP="006E50B6"/>
    <w:p w14:paraId="319D35C1" w14:textId="77777777" w:rsidR="00CB599E" w:rsidRPr="00BA5F4C" w:rsidRDefault="00CB599E" w:rsidP="006E50B6">
      <w:pPr>
        <w:sectPr w:rsidR="00CB599E" w:rsidRPr="00BA5F4C" w:rsidSect="006E181C">
          <w:footnotePr>
            <w:numRestart w:val="eachSect"/>
          </w:footnotePr>
          <w:endnotePr>
            <w:numFmt w:val="decimal"/>
          </w:endnotePr>
          <w:pgSz w:w="11906" w:h="16838"/>
          <w:pgMar w:top="1134" w:right="1418" w:bottom="1418" w:left="1418" w:header="567" w:footer="567" w:gutter="0"/>
          <w:cols w:space="720"/>
          <w:noEndnote/>
          <w:docGrid w:linePitch="326"/>
        </w:sectPr>
      </w:pPr>
    </w:p>
    <w:p w14:paraId="7723F1D2" w14:textId="77777777" w:rsidR="006E181C" w:rsidRPr="00BA5F4C" w:rsidRDefault="006E181C">
      <w:pPr>
        <w:widowControl/>
      </w:pPr>
    </w:p>
    <w:p w14:paraId="3900F4C8" w14:textId="77777777" w:rsidR="006E181C" w:rsidRPr="00BA5F4C" w:rsidRDefault="00BA5F4C" w:rsidP="007041CC">
      <w:pPr>
        <w:pStyle w:val="PageHeading"/>
        <w:rPr>
          <w:noProof/>
        </w:rPr>
      </w:pPr>
      <w:bookmarkStart w:id="2" w:name="FootprintPageRR"/>
      <w:bookmarkStart w:id="3" w:name="_Toc208843797"/>
      <w:r w:rsidRPr="00BA5F4C">
        <w:t>ANLAGE: ERKLÄRUNG ZU BEITRÄGEN</w:t>
      </w:r>
      <w:bookmarkEnd w:id="3"/>
    </w:p>
    <w:p w14:paraId="74BB8148" w14:textId="77777777" w:rsidR="006E181C" w:rsidRPr="00BA5F4C" w:rsidRDefault="00BA5F4C" w:rsidP="00B31C6A">
      <w:pPr>
        <w:pStyle w:val="Normal24a"/>
        <w:spacing w:after="240"/>
      </w:pPr>
      <w:r w:rsidRPr="00BA5F4C">
        <w:rPr>
          <w:rStyle w:val="HideTWBExt"/>
        </w:rPr>
        <w:t>&lt;FootprintIntro&gt;</w:t>
      </w:r>
      <w:r w:rsidRPr="00BA5F4C">
        <w:t>Gemäß Anlage I Artikel 8 der Geschäftsordnung erklärt die Berichterstatterin, dass sie in ihren Bericht Beiträge zu mit dem Gegenstand des Dossiers zusammenhängenden Fragen aufgenommen hat, die sie bei der Ausarbeitung des Berichtsentwurfs von den folgenden Interessenvertretern, die in den Anwendungsbereich der Interinstitutionellen Vereinbarung über ein verbindliches Transparenz-Register</w:t>
      </w:r>
      <w:r w:rsidRPr="00BA5F4C">
        <w:rPr>
          <w:rStyle w:val="FootnoteReference"/>
        </w:rPr>
        <w:footnoteReference w:id="8"/>
      </w:r>
      <w:r w:rsidRPr="00BA5F4C">
        <w:t xml:space="preserve"> fallen, oder von den folgenden Vertretern der Behörden von Drittländern, einschließlich ihrer diplomatischen Vertretungen und Botschaften, erhalten hat:</w:t>
      </w:r>
      <w:r w:rsidRPr="00BA5F4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34C2F" w:rsidRPr="00BA5F4C" w14:paraId="4EDCE9FE" w14:textId="77777777" w:rsidTr="00A81CDF">
        <w:tc>
          <w:tcPr>
            <w:tcW w:w="9060" w:type="dxa"/>
            <w:shd w:val="clear" w:color="auto" w:fill="auto"/>
          </w:tcPr>
          <w:p w14:paraId="585BA52F" w14:textId="77777777" w:rsidR="006E181C" w:rsidRPr="00BA5F4C" w:rsidRDefault="00BA5F4C" w:rsidP="006E181C">
            <w:pPr>
              <w:pStyle w:val="NormalBoldCenter"/>
            </w:pPr>
            <w:r w:rsidRPr="00BA5F4C">
              <w:t>1. Interessenvertreter, die in den Anwendungsbereich der Interinstitutionellen Vereinbarung über ein verbindliches Transparenz-Register fallen</w:t>
            </w:r>
          </w:p>
        </w:tc>
      </w:tr>
      <w:tr w:rsidR="00B34C2F" w:rsidRPr="00BA5F4C" w14:paraId="68731E4C" w14:textId="77777777" w:rsidTr="00A81CDF">
        <w:tc>
          <w:tcPr>
            <w:tcW w:w="9060" w:type="dxa"/>
            <w:shd w:val="clear" w:color="auto" w:fill="auto"/>
          </w:tcPr>
          <w:p w14:paraId="0C09A106" w14:textId="77777777" w:rsidR="006E181C" w:rsidRPr="00BA5F4C" w:rsidRDefault="00BA5F4C" w:rsidP="006E181C">
            <w:pPr>
              <w:pStyle w:val="NormalSingle"/>
            </w:pPr>
            <w:r w:rsidRPr="00BA5F4C">
              <w:t>Europäischer Gewerkschaftsbund (EGB)</w:t>
            </w:r>
          </w:p>
        </w:tc>
      </w:tr>
      <w:tr w:rsidR="00B34C2F" w:rsidRPr="00BA5F4C" w14:paraId="6F518FA0" w14:textId="77777777" w:rsidTr="00A81CDF">
        <w:tc>
          <w:tcPr>
            <w:tcW w:w="9060" w:type="dxa"/>
            <w:shd w:val="clear" w:color="auto" w:fill="auto"/>
          </w:tcPr>
          <w:p w14:paraId="235E2F84" w14:textId="77777777" w:rsidR="006E181C" w:rsidRPr="00BA5F4C" w:rsidRDefault="00BA5F4C" w:rsidP="006E181C">
            <w:pPr>
              <w:pStyle w:val="NormalBoldCenter"/>
            </w:pPr>
            <w:r w:rsidRPr="00BA5F4C">
              <w:t>2. Vertreter der Behörden von Drittländern, einschließlich ihrer diplomatischen Vertretungen und Botschaften</w:t>
            </w:r>
          </w:p>
        </w:tc>
      </w:tr>
      <w:tr w:rsidR="00B34C2F" w:rsidRPr="00BA5F4C" w14:paraId="417D35A4" w14:textId="77777777" w:rsidTr="00A81CDF">
        <w:tc>
          <w:tcPr>
            <w:tcW w:w="9060" w:type="dxa"/>
            <w:shd w:val="clear" w:color="auto" w:fill="auto"/>
          </w:tcPr>
          <w:p w14:paraId="26FFE191" w14:textId="77777777" w:rsidR="006E181C" w:rsidRPr="00BA5F4C" w:rsidRDefault="00BA5F4C" w:rsidP="006E181C">
            <w:r w:rsidRPr="00BA5F4C">
              <w:t>–</w:t>
            </w:r>
          </w:p>
        </w:tc>
      </w:tr>
    </w:tbl>
    <w:p w14:paraId="7B7FB6BB" w14:textId="77777777" w:rsidR="006E181C" w:rsidRPr="00BA5F4C" w:rsidRDefault="00BA5F4C" w:rsidP="00086351">
      <w:pPr>
        <w:pStyle w:val="Footprint12b"/>
      </w:pPr>
      <w:r w:rsidRPr="00BA5F4C">
        <w:t xml:space="preserve">Für die vorstehende Liste ist ausschließlich die </w:t>
      </w:r>
      <w:r w:rsidRPr="00BA5F4C">
        <w:t>Berichterstatterin verantwortlich.</w:t>
      </w:r>
    </w:p>
    <w:p w14:paraId="6D92222F" w14:textId="0968A7B9" w:rsidR="006E181C" w:rsidRPr="00BA5F4C" w:rsidRDefault="00BA5F4C" w:rsidP="00B7198C">
      <w:pPr>
        <w:pStyle w:val="Footprint12b"/>
      </w:pPr>
      <w:r w:rsidRPr="00BA5F4C">
        <w:t>Wenn natürliche Personen in der Liste namentlich, mit ihrer Funktion oder mit beidem genannt werden, erklärt die Berichterstatterin, dass sie den betroffenen natürlichen Personen die Erklärung zum Datenschutz Nr. 484 des Europäischen Parlaments (</w:t>
      </w:r>
      <w:hyperlink r:id="rId12" w:history="1">
        <w:r w:rsidRPr="00BA5F4C">
          <w:rPr>
            <w:rStyle w:val="Hyperlink"/>
          </w:rPr>
          <w:t>https://www.europarl.europa.eu/data-protect/index.do</w:t>
        </w:r>
      </w:hyperlink>
      <w:r w:rsidRPr="00BA5F4C">
        <w:t xml:space="preserve">) vorgelegt hat, in der die Bedingungen für die Verarbeitung ihrer </w:t>
      </w:r>
      <w:r w:rsidRPr="00BA5F4C">
        <w:t>personenbezogenen Daten und die mit dieser Verarbeitung verbundenen Rechte dargelegt sind.</w:t>
      </w:r>
    </w:p>
    <w:p w14:paraId="1A3667D4" w14:textId="77777777" w:rsidR="006E181C" w:rsidRPr="00BA5F4C" w:rsidRDefault="006E181C" w:rsidP="00646AD2">
      <w:pPr>
        <w:pStyle w:val="Footprint12b"/>
      </w:pPr>
    </w:p>
    <w:p w14:paraId="3439E225" w14:textId="77777777" w:rsidR="006E181C" w:rsidRPr="00BA5F4C" w:rsidRDefault="006E181C" w:rsidP="006E181C"/>
    <w:bookmarkEnd w:id="2"/>
    <w:p w14:paraId="2BA56CC6" w14:textId="77777777" w:rsidR="00007EDE" w:rsidRPr="00BA5F4C" w:rsidRDefault="00007EDE" w:rsidP="006E50B6"/>
    <w:sectPr w:rsidR="00007EDE" w:rsidRPr="00BA5F4C" w:rsidSect="006E181C">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AD8A3" w14:textId="77777777" w:rsidR="00BA5F4C" w:rsidRPr="00BA5F4C" w:rsidRDefault="00BA5F4C">
      <w:r w:rsidRPr="00BA5F4C">
        <w:separator/>
      </w:r>
    </w:p>
  </w:endnote>
  <w:endnote w:type="continuationSeparator" w:id="0">
    <w:p w14:paraId="138AF6EE" w14:textId="77777777" w:rsidR="00BA5F4C" w:rsidRPr="00BA5F4C" w:rsidRDefault="00BA5F4C">
      <w:r w:rsidRPr="00BA5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60B3" w14:textId="77777777" w:rsidR="00BA5F4C" w:rsidRPr="00BA5F4C" w:rsidRDefault="00BA5F4C" w:rsidP="00BA5F4C">
    <w:pPr>
      <w:pStyle w:val="EPFooter"/>
    </w:pPr>
    <w:r w:rsidRPr="00BA5F4C">
      <w:t>PE</w:t>
    </w:r>
    <w:r w:rsidRPr="00BA5F4C">
      <w:rPr>
        <w:rStyle w:val="HideTWBExt"/>
      </w:rPr>
      <w:t>&lt;NoPE&gt;</w:t>
    </w:r>
    <w:r w:rsidRPr="00BA5F4C">
      <w:t>775.632</w:t>
    </w:r>
    <w:r w:rsidRPr="00BA5F4C">
      <w:rPr>
        <w:rStyle w:val="HideTWBExt"/>
      </w:rPr>
      <w:t>&lt;/NoPE&gt;&lt;Version&gt;</w:t>
    </w:r>
    <w:r w:rsidRPr="00BA5F4C">
      <w:t>v02-00</w:t>
    </w:r>
    <w:r w:rsidRPr="00BA5F4C">
      <w:rPr>
        <w:rStyle w:val="HideTWBExt"/>
      </w:rPr>
      <w:t>&lt;/Version&gt;</w:t>
    </w:r>
    <w:r w:rsidRPr="00BA5F4C">
      <w:tab/>
    </w:r>
    <w:r w:rsidRPr="00BA5F4C">
      <w:fldChar w:fldCharType="begin"/>
    </w:r>
    <w:r w:rsidRPr="00BA5F4C">
      <w:instrText xml:space="preserve"> PAGE  \* MERGEFORMAT </w:instrText>
    </w:r>
    <w:r w:rsidRPr="00BA5F4C">
      <w:fldChar w:fldCharType="separate"/>
    </w:r>
    <w:r w:rsidRPr="00BA5F4C">
      <w:rPr>
        <w:noProof/>
      </w:rPr>
      <w:t>2</w:t>
    </w:r>
    <w:r w:rsidRPr="00BA5F4C">
      <w:fldChar w:fldCharType="end"/>
    </w:r>
    <w:r w:rsidRPr="00BA5F4C">
      <w:t>/</w:t>
    </w:r>
    <w:fldSimple w:instr=" NUMPAGES  \* MERGEFORMAT ">
      <w:r w:rsidRPr="00BA5F4C">
        <w:rPr>
          <w:noProof/>
        </w:rPr>
        <w:t>11</w:t>
      </w:r>
    </w:fldSimple>
    <w:r w:rsidRPr="00BA5F4C">
      <w:tab/>
    </w:r>
    <w:r w:rsidRPr="00BA5F4C">
      <w:rPr>
        <w:rStyle w:val="HideTWBExt"/>
      </w:rPr>
      <w:t>&lt;PathFdR&gt;</w:t>
    </w:r>
    <w:r w:rsidRPr="00BA5F4C">
      <w:t>PR\1327031DE.docx</w:t>
    </w:r>
    <w:r w:rsidRPr="00BA5F4C">
      <w:rPr>
        <w:rStyle w:val="HideTWBExt"/>
      </w:rPr>
      <w:t>&lt;/PathFdR&gt;</w:t>
    </w:r>
  </w:p>
  <w:p w14:paraId="446B0B2F" w14:textId="563F9C31" w:rsidR="007255C3" w:rsidRPr="00BA5F4C" w:rsidRDefault="00BA5F4C" w:rsidP="00BA5F4C">
    <w:pPr>
      <w:pStyle w:val="EPFooter2"/>
    </w:pPr>
    <w:r w:rsidRPr="00BA5F4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8BC42" w14:textId="77777777" w:rsidR="00BA5F4C" w:rsidRPr="00BA5F4C" w:rsidRDefault="00BA5F4C" w:rsidP="00BA5F4C">
    <w:pPr>
      <w:pStyle w:val="EPFooter"/>
    </w:pPr>
    <w:r w:rsidRPr="00BA5F4C">
      <w:rPr>
        <w:rStyle w:val="HideTWBExt"/>
      </w:rPr>
      <w:t>&lt;PathFdR&gt;</w:t>
    </w:r>
    <w:r w:rsidRPr="00BA5F4C">
      <w:t>PR\1327031DE.docx</w:t>
    </w:r>
    <w:r w:rsidRPr="00BA5F4C">
      <w:rPr>
        <w:rStyle w:val="HideTWBExt"/>
      </w:rPr>
      <w:t>&lt;/PathFdR&gt;</w:t>
    </w:r>
    <w:r w:rsidRPr="00BA5F4C">
      <w:tab/>
    </w:r>
    <w:r w:rsidRPr="00BA5F4C">
      <w:fldChar w:fldCharType="begin"/>
    </w:r>
    <w:r w:rsidRPr="00BA5F4C">
      <w:instrText xml:space="preserve"> PAGE  \* MERGEFORMAT </w:instrText>
    </w:r>
    <w:r w:rsidRPr="00BA5F4C">
      <w:fldChar w:fldCharType="separate"/>
    </w:r>
    <w:r w:rsidRPr="00BA5F4C">
      <w:rPr>
        <w:noProof/>
      </w:rPr>
      <w:t>11</w:t>
    </w:r>
    <w:r w:rsidRPr="00BA5F4C">
      <w:fldChar w:fldCharType="end"/>
    </w:r>
    <w:r w:rsidRPr="00BA5F4C">
      <w:t>/</w:t>
    </w:r>
    <w:fldSimple w:instr=" NUMPAGES  \* MERGEFORMAT ">
      <w:r w:rsidRPr="00BA5F4C">
        <w:rPr>
          <w:noProof/>
        </w:rPr>
        <w:t>11</w:t>
      </w:r>
    </w:fldSimple>
    <w:r w:rsidRPr="00BA5F4C">
      <w:tab/>
      <w:t>PE</w:t>
    </w:r>
    <w:r w:rsidRPr="00BA5F4C">
      <w:rPr>
        <w:rStyle w:val="HideTWBExt"/>
      </w:rPr>
      <w:t>&lt;NoPE&gt;</w:t>
    </w:r>
    <w:r w:rsidRPr="00BA5F4C">
      <w:t>775.632</w:t>
    </w:r>
    <w:r w:rsidRPr="00BA5F4C">
      <w:rPr>
        <w:rStyle w:val="HideTWBExt"/>
      </w:rPr>
      <w:t>&lt;/NoPE&gt;&lt;Version&gt;</w:t>
    </w:r>
    <w:r w:rsidRPr="00BA5F4C">
      <w:t>v02-00</w:t>
    </w:r>
    <w:r w:rsidRPr="00BA5F4C">
      <w:rPr>
        <w:rStyle w:val="HideTWBExt"/>
      </w:rPr>
      <w:t>&lt;/Version&gt;</w:t>
    </w:r>
  </w:p>
  <w:p w14:paraId="1AFFAB7E" w14:textId="05CA78EE" w:rsidR="007255C3" w:rsidRPr="00BA5F4C" w:rsidRDefault="00BA5F4C" w:rsidP="00BA5F4C">
    <w:pPr>
      <w:pStyle w:val="EPFooter2"/>
    </w:pPr>
    <w:r w:rsidRPr="00BA5F4C">
      <w:tab/>
    </w:r>
    <w:r w:rsidRPr="00BA5F4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7BB4" w14:textId="77777777" w:rsidR="00BA5F4C" w:rsidRPr="00BA5F4C" w:rsidRDefault="00BA5F4C" w:rsidP="00BA5F4C">
    <w:pPr>
      <w:pStyle w:val="EPFooter"/>
    </w:pPr>
    <w:r w:rsidRPr="00BA5F4C">
      <w:rPr>
        <w:rStyle w:val="HideTWBExt"/>
      </w:rPr>
      <w:t>&lt;PathFdR&gt;</w:t>
    </w:r>
    <w:r w:rsidRPr="00BA5F4C">
      <w:t>PR\1327031DE.docx</w:t>
    </w:r>
    <w:r w:rsidRPr="00BA5F4C">
      <w:rPr>
        <w:rStyle w:val="HideTWBExt"/>
      </w:rPr>
      <w:t>&lt;/PathFdR&gt;</w:t>
    </w:r>
    <w:r w:rsidRPr="00BA5F4C">
      <w:tab/>
    </w:r>
    <w:r w:rsidRPr="00BA5F4C">
      <w:tab/>
      <w:t>PE</w:t>
    </w:r>
    <w:r w:rsidRPr="00BA5F4C">
      <w:rPr>
        <w:rStyle w:val="HideTWBExt"/>
      </w:rPr>
      <w:t>&lt;NoPE&gt;</w:t>
    </w:r>
    <w:r w:rsidRPr="00BA5F4C">
      <w:t>775.632</w:t>
    </w:r>
    <w:r w:rsidRPr="00BA5F4C">
      <w:rPr>
        <w:rStyle w:val="HideTWBExt"/>
      </w:rPr>
      <w:t>&lt;/NoPE&gt;&lt;Version&gt;</w:t>
    </w:r>
    <w:r w:rsidRPr="00BA5F4C">
      <w:t>v02-00</w:t>
    </w:r>
    <w:r w:rsidRPr="00BA5F4C">
      <w:rPr>
        <w:rStyle w:val="HideTWBExt"/>
      </w:rPr>
      <w:t>&lt;/Version&gt;</w:t>
    </w:r>
  </w:p>
  <w:p w14:paraId="1BDFC287" w14:textId="66956208" w:rsidR="007255C3" w:rsidRPr="00BA5F4C" w:rsidRDefault="00BA5F4C" w:rsidP="00BA5F4C">
    <w:pPr>
      <w:pStyle w:val="EPFooter2"/>
    </w:pPr>
    <w:r w:rsidRPr="00BA5F4C">
      <w:t>DE</w:t>
    </w:r>
    <w:r w:rsidRPr="00BA5F4C">
      <w:tab/>
    </w:r>
    <w:r w:rsidRPr="00BA5F4C">
      <w:rPr>
        <w:b w:val="0"/>
        <w:i/>
        <w:color w:val="C0C0C0"/>
        <w:sz w:val="22"/>
      </w:rPr>
      <w:t>In Vielfalt geeint</w:t>
    </w:r>
    <w:r w:rsidRPr="00BA5F4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76456" w14:textId="77777777" w:rsidR="00B2064B" w:rsidRPr="00BA5F4C" w:rsidRDefault="00BA5F4C">
      <w:r w:rsidRPr="00BA5F4C">
        <w:separator/>
      </w:r>
    </w:p>
  </w:footnote>
  <w:footnote w:type="continuationSeparator" w:id="0">
    <w:p w14:paraId="25C99021" w14:textId="77777777" w:rsidR="00B2064B" w:rsidRPr="00BA5F4C" w:rsidRDefault="00BA5F4C">
      <w:r w:rsidRPr="00BA5F4C">
        <w:continuationSeparator/>
      </w:r>
    </w:p>
  </w:footnote>
  <w:footnote w:id="1">
    <w:p w14:paraId="7E8C7914" w14:textId="77777777" w:rsidR="00A30AED" w:rsidRPr="00BA5F4C" w:rsidRDefault="00BA5F4C" w:rsidP="00BE4013">
      <w:pPr>
        <w:pStyle w:val="NormalHanging12a"/>
        <w:spacing w:after="0"/>
        <w:ind w:left="0" w:firstLine="0"/>
      </w:pPr>
      <w:r w:rsidRPr="00BA5F4C">
        <w:rPr>
          <w:rStyle w:val="FootnoteReference"/>
          <w:sz w:val="20"/>
        </w:rPr>
        <w:footnoteRef/>
      </w:r>
      <w:r w:rsidRPr="00BA5F4C">
        <w:t xml:space="preserve"> ABl. L 57 vom 18.2.2021, S. 17.</w:t>
      </w:r>
    </w:p>
  </w:footnote>
  <w:footnote w:id="2">
    <w:p w14:paraId="6E0DE182" w14:textId="77777777" w:rsidR="005D4EF5" w:rsidRPr="00BA5F4C" w:rsidRDefault="00BA5F4C" w:rsidP="005D4EF5">
      <w:pPr>
        <w:pStyle w:val="FootnoteText"/>
        <w:ind w:left="720" w:hanging="720"/>
      </w:pPr>
      <w:r w:rsidRPr="00BA5F4C">
        <w:rPr>
          <w:rStyle w:val="FootnoteReference"/>
        </w:rPr>
        <w:footnoteRef/>
      </w:r>
      <w:r w:rsidRPr="00BA5F4C">
        <w:t xml:space="preserve"> ABl. L 231 vom 30.6.2021, S. 1.</w:t>
      </w:r>
    </w:p>
  </w:footnote>
  <w:footnote w:id="3">
    <w:p w14:paraId="25913223" w14:textId="77777777" w:rsidR="00292242" w:rsidRPr="00BA5F4C" w:rsidRDefault="00BA5F4C" w:rsidP="009C6E50">
      <w:pPr>
        <w:pStyle w:val="FootnoteText"/>
        <w:ind w:left="720" w:hanging="720"/>
      </w:pPr>
      <w:r w:rsidRPr="00BA5F4C">
        <w:rPr>
          <w:rStyle w:val="FootnoteReference"/>
        </w:rPr>
        <w:footnoteRef/>
      </w:r>
      <w:r w:rsidRPr="00BA5F4C">
        <w:t xml:space="preserve"> ABl. L 231 vom 30.6.2021, S. 21.</w:t>
      </w:r>
    </w:p>
  </w:footnote>
  <w:footnote w:id="4">
    <w:p w14:paraId="4E3D3092" w14:textId="77777777" w:rsidR="00292242" w:rsidRPr="00BA5F4C" w:rsidRDefault="00BA5F4C" w:rsidP="009C6E50">
      <w:pPr>
        <w:pStyle w:val="FootnoteText"/>
        <w:ind w:left="720" w:hanging="720"/>
      </w:pPr>
      <w:r w:rsidRPr="00BA5F4C">
        <w:rPr>
          <w:rStyle w:val="FootnoteReference"/>
        </w:rPr>
        <w:footnoteRef/>
      </w:r>
      <w:r w:rsidRPr="00BA5F4C">
        <w:t xml:space="preserve"> ABl. L 153 vom 3.5.2021, S. 48.</w:t>
      </w:r>
    </w:p>
  </w:footnote>
  <w:footnote w:id="5">
    <w:p w14:paraId="1C7D324C" w14:textId="77777777" w:rsidR="00A30AED" w:rsidRPr="00BA5F4C" w:rsidRDefault="00BA5F4C">
      <w:pPr>
        <w:pStyle w:val="FootnoteText"/>
      </w:pPr>
      <w:r w:rsidRPr="00BA5F4C">
        <w:rPr>
          <w:rStyle w:val="FootnoteReference"/>
        </w:rPr>
        <w:footnoteRef/>
      </w:r>
      <w:r w:rsidRPr="00BA5F4C">
        <w:t xml:space="preserve"> ABl. L 130 vom 16.5.2023, S. 1.</w:t>
      </w:r>
    </w:p>
  </w:footnote>
  <w:footnote w:id="6">
    <w:p w14:paraId="09FF5E9C" w14:textId="77777777" w:rsidR="00410BE2" w:rsidRPr="00BA5F4C" w:rsidRDefault="00BA5F4C">
      <w:pPr>
        <w:pStyle w:val="FootnoteText"/>
      </w:pPr>
      <w:r w:rsidRPr="00BA5F4C">
        <w:rPr>
          <w:rStyle w:val="FootnoteReference"/>
        </w:rPr>
        <w:footnoteRef/>
      </w:r>
      <w:r w:rsidRPr="00BA5F4C">
        <w:t xml:space="preserve"> ABl. L 275 vom 25.10.2003, S. 32.</w:t>
      </w:r>
    </w:p>
  </w:footnote>
  <w:footnote w:id="7">
    <w:p w14:paraId="24DD47B6" w14:textId="77777777" w:rsidR="00D71CCD" w:rsidRPr="00BA5F4C" w:rsidRDefault="00BA5F4C" w:rsidP="00D71CCD">
      <w:pPr>
        <w:pStyle w:val="FootnoteText"/>
      </w:pPr>
      <w:r w:rsidRPr="00BA5F4C">
        <w:rPr>
          <w:rStyle w:val="FootnoteReference"/>
        </w:rPr>
        <w:footnoteRef/>
      </w:r>
      <w:r w:rsidRPr="00BA5F4C">
        <w:t xml:space="preserve"> Employment and Social Developments in Europe 2024 (Beschäftigung und soziale Entwicklungen in Europa 2024), Europäische Kommission, S. 20.</w:t>
      </w:r>
    </w:p>
  </w:footnote>
  <w:footnote w:id="8">
    <w:p w14:paraId="5814DE11" w14:textId="77777777" w:rsidR="006E181C" w:rsidRPr="00BA5F4C" w:rsidRDefault="00BA5F4C">
      <w:pPr>
        <w:pStyle w:val="FootnoteText"/>
      </w:pPr>
      <w:r w:rsidRPr="00BA5F4C">
        <w:rPr>
          <w:rStyle w:val="FootnoteReference"/>
        </w:rPr>
        <w:footnoteRef/>
      </w:r>
      <w:r w:rsidRPr="00BA5F4C">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Pr="00BA5F4C">
          <w:rPr>
            <w:rStyle w:val="Hyperlink"/>
            <w:sz w:val="24"/>
          </w:rPr>
          <w:t>http://data.europa.eu/eli/agree_interinstit/2021/611/oj</w:t>
        </w:r>
      </w:hyperlink>
      <w:r w:rsidRPr="00BA5F4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17788345">
    <w:abstractNumId w:val="9"/>
  </w:num>
  <w:num w:numId="2" w16cid:durableId="1840536176">
    <w:abstractNumId w:val="9"/>
  </w:num>
  <w:num w:numId="3" w16cid:durableId="2030790836">
    <w:abstractNumId w:val="7"/>
  </w:num>
  <w:num w:numId="4" w16cid:durableId="221986683">
    <w:abstractNumId w:val="7"/>
  </w:num>
  <w:num w:numId="5" w16cid:durableId="305664076">
    <w:abstractNumId w:val="6"/>
  </w:num>
  <w:num w:numId="6" w16cid:durableId="2112698959">
    <w:abstractNumId w:val="6"/>
  </w:num>
  <w:num w:numId="7" w16cid:durableId="1131480392">
    <w:abstractNumId w:val="5"/>
  </w:num>
  <w:num w:numId="8" w16cid:durableId="308442115">
    <w:abstractNumId w:val="5"/>
  </w:num>
  <w:num w:numId="9" w16cid:durableId="1890721467">
    <w:abstractNumId w:val="4"/>
  </w:num>
  <w:num w:numId="10" w16cid:durableId="6518960">
    <w:abstractNumId w:val="4"/>
  </w:num>
  <w:num w:numId="11" w16cid:durableId="1240870205">
    <w:abstractNumId w:val="8"/>
  </w:num>
  <w:num w:numId="12" w16cid:durableId="1433669955">
    <w:abstractNumId w:val="8"/>
  </w:num>
  <w:num w:numId="13" w16cid:durableId="1394619531">
    <w:abstractNumId w:val="3"/>
  </w:num>
  <w:num w:numId="14" w16cid:durableId="143083280">
    <w:abstractNumId w:val="3"/>
  </w:num>
  <w:num w:numId="15" w16cid:durableId="881668277">
    <w:abstractNumId w:val="2"/>
  </w:num>
  <w:num w:numId="16" w16cid:durableId="1743986664">
    <w:abstractNumId w:val="2"/>
  </w:num>
  <w:num w:numId="17" w16cid:durableId="746726778">
    <w:abstractNumId w:val="1"/>
  </w:num>
  <w:num w:numId="18" w16cid:durableId="1801993742">
    <w:abstractNumId w:val="1"/>
  </w:num>
  <w:num w:numId="19" w16cid:durableId="1527020248">
    <w:abstractNumId w:val="0"/>
  </w:num>
  <w:num w:numId="20" w16cid:durableId="1344044619">
    <w:abstractNumId w:val="0"/>
  </w:num>
  <w:num w:numId="21" w16cid:durableId="1302423867">
    <w:abstractNumId w:val="9"/>
  </w:num>
  <w:num w:numId="22" w16cid:durableId="789977722">
    <w:abstractNumId w:val="7"/>
  </w:num>
  <w:num w:numId="23" w16cid:durableId="1322001522">
    <w:abstractNumId w:val="6"/>
  </w:num>
  <w:num w:numId="24" w16cid:durableId="603683586">
    <w:abstractNumId w:val="5"/>
  </w:num>
  <w:num w:numId="25" w16cid:durableId="1063871515">
    <w:abstractNumId w:val="4"/>
  </w:num>
  <w:num w:numId="26" w16cid:durableId="1687361731">
    <w:abstractNumId w:val="8"/>
  </w:num>
  <w:num w:numId="27" w16cid:durableId="594360088">
    <w:abstractNumId w:val="3"/>
  </w:num>
  <w:num w:numId="28" w16cid:durableId="937639738">
    <w:abstractNumId w:val="2"/>
  </w:num>
  <w:num w:numId="29" w16cid:durableId="166750027">
    <w:abstractNumId w:val="1"/>
  </w:num>
  <w:num w:numId="30" w16cid:durableId="498472188">
    <w:abstractNumId w:val="0"/>
  </w:num>
  <w:num w:numId="31" w16cid:durableId="939072722">
    <w:abstractNumId w:val="9"/>
  </w:num>
  <w:num w:numId="32" w16cid:durableId="2019581813">
    <w:abstractNumId w:val="7"/>
  </w:num>
  <w:num w:numId="33" w16cid:durableId="553543067">
    <w:abstractNumId w:val="6"/>
  </w:num>
  <w:num w:numId="34" w16cid:durableId="1693801229">
    <w:abstractNumId w:val="5"/>
  </w:num>
  <w:num w:numId="35" w16cid:durableId="1109353232">
    <w:abstractNumId w:val="4"/>
  </w:num>
  <w:num w:numId="36" w16cid:durableId="1290940263">
    <w:abstractNumId w:val="8"/>
  </w:num>
  <w:num w:numId="37" w16cid:durableId="406222480">
    <w:abstractNumId w:val="3"/>
  </w:num>
  <w:num w:numId="38" w16cid:durableId="1901744185">
    <w:abstractNumId w:val="2"/>
  </w:num>
  <w:num w:numId="39" w16cid:durableId="939141132">
    <w:abstractNumId w:val="1"/>
  </w:num>
  <w:num w:numId="40" w16cid:durableId="284510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MNU" w:val=" 3"/>
    <w:docVar w:name="AUTHORMFPMNU" w:val=" 2"/>
    <w:docVar w:name="COMKEY" w:val="EMPL"/>
    <w:docVar w:name="CONTRIBUTIONMNU" w:val=" 1"/>
    <w:docVar w:name="CopyToNetwork" w:val="-1"/>
    <w:docVar w:name="LastEditedSection" w:val=" 1"/>
    <w:docVar w:name="NVAR1" w:val="0"/>
    <w:docVar w:name="STATEMENTMNU" w:val=" 1"/>
    <w:docVar w:name="strDocTypeID" w:val="PR_INL"/>
    <w:docVar w:name="strSubDir" w:val="1327"/>
    <w:docVar w:name="TXTLANGUE" w:val="EN"/>
    <w:docVar w:name="TXTLANGUEMIN" w:val="en"/>
    <w:docVar w:name="TXTNRINL" w:val="2025/2131"/>
    <w:docVar w:name="TXTNRPE" w:val="775.632"/>
    <w:docVar w:name="TXTPEorAP" w:val="PE"/>
    <w:docVar w:name="TXTROUTE" w:val="PR\1327031EN.docx"/>
    <w:docVar w:name="TXTTITLE" w:val="just transition directive in the world of work: ensuring the creation of jobs and revitalising local economies"/>
    <w:docVar w:name="TXTVERSION" w:val="02-00"/>
  </w:docVars>
  <w:rsids>
    <w:rsidRoot w:val="00B2064B"/>
    <w:rsid w:val="000010ED"/>
    <w:rsid w:val="000054D6"/>
    <w:rsid w:val="00007EDE"/>
    <w:rsid w:val="000163ED"/>
    <w:rsid w:val="00053C72"/>
    <w:rsid w:val="00086351"/>
    <w:rsid w:val="000B0AEA"/>
    <w:rsid w:val="000B1C08"/>
    <w:rsid w:val="000D2714"/>
    <w:rsid w:val="00123EA6"/>
    <w:rsid w:val="00126C3F"/>
    <w:rsid w:val="001514D5"/>
    <w:rsid w:val="00180885"/>
    <w:rsid w:val="0018140D"/>
    <w:rsid w:val="001948CE"/>
    <w:rsid w:val="00195D9E"/>
    <w:rsid w:val="001A502C"/>
    <w:rsid w:val="001B089B"/>
    <w:rsid w:val="002146A6"/>
    <w:rsid w:val="002240E4"/>
    <w:rsid w:val="00246FFC"/>
    <w:rsid w:val="00292242"/>
    <w:rsid w:val="002923A5"/>
    <w:rsid w:val="002B2D1A"/>
    <w:rsid w:val="002E11C3"/>
    <w:rsid w:val="0032795A"/>
    <w:rsid w:val="003348FE"/>
    <w:rsid w:val="00387D72"/>
    <w:rsid w:val="003910D8"/>
    <w:rsid w:val="0039462E"/>
    <w:rsid w:val="003F3152"/>
    <w:rsid w:val="003F3E62"/>
    <w:rsid w:val="00403FE0"/>
    <w:rsid w:val="00405688"/>
    <w:rsid w:val="00410BE2"/>
    <w:rsid w:val="00422FF9"/>
    <w:rsid w:val="00467F52"/>
    <w:rsid w:val="00482DEA"/>
    <w:rsid w:val="004C2744"/>
    <w:rsid w:val="004E7BFD"/>
    <w:rsid w:val="005027DA"/>
    <w:rsid w:val="00511904"/>
    <w:rsid w:val="00563905"/>
    <w:rsid w:val="00581D3F"/>
    <w:rsid w:val="00584FD7"/>
    <w:rsid w:val="005A5B05"/>
    <w:rsid w:val="005B4360"/>
    <w:rsid w:val="005C24FC"/>
    <w:rsid w:val="005C4A8C"/>
    <w:rsid w:val="005D4EF5"/>
    <w:rsid w:val="005F3B68"/>
    <w:rsid w:val="00613DCC"/>
    <w:rsid w:val="006432B2"/>
    <w:rsid w:val="00646AD2"/>
    <w:rsid w:val="006968DA"/>
    <w:rsid w:val="006B2646"/>
    <w:rsid w:val="006D5569"/>
    <w:rsid w:val="006E181C"/>
    <w:rsid w:val="006E1DCB"/>
    <w:rsid w:val="006E50B6"/>
    <w:rsid w:val="007041CC"/>
    <w:rsid w:val="007044B3"/>
    <w:rsid w:val="007255C3"/>
    <w:rsid w:val="00732070"/>
    <w:rsid w:val="00734F42"/>
    <w:rsid w:val="00736DD2"/>
    <w:rsid w:val="00764352"/>
    <w:rsid w:val="00773D6B"/>
    <w:rsid w:val="007E1C43"/>
    <w:rsid w:val="00814003"/>
    <w:rsid w:val="00862481"/>
    <w:rsid w:val="008E72B0"/>
    <w:rsid w:val="008E78CA"/>
    <w:rsid w:val="008F2355"/>
    <w:rsid w:val="00910DA0"/>
    <w:rsid w:val="00921474"/>
    <w:rsid w:val="009271DD"/>
    <w:rsid w:val="00933605"/>
    <w:rsid w:val="009413AC"/>
    <w:rsid w:val="00957CA7"/>
    <w:rsid w:val="009C2AF9"/>
    <w:rsid w:val="009C6E50"/>
    <w:rsid w:val="009D1EB7"/>
    <w:rsid w:val="009D7661"/>
    <w:rsid w:val="009E5AB9"/>
    <w:rsid w:val="009E5AF9"/>
    <w:rsid w:val="009E6E1A"/>
    <w:rsid w:val="009F6042"/>
    <w:rsid w:val="00A1070F"/>
    <w:rsid w:val="00A1681E"/>
    <w:rsid w:val="00A30AED"/>
    <w:rsid w:val="00A5291F"/>
    <w:rsid w:val="00AA7B89"/>
    <w:rsid w:val="00AB727F"/>
    <w:rsid w:val="00AF0D4F"/>
    <w:rsid w:val="00B2064B"/>
    <w:rsid w:val="00B27D4A"/>
    <w:rsid w:val="00B31C6A"/>
    <w:rsid w:val="00B34C2F"/>
    <w:rsid w:val="00B7198C"/>
    <w:rsid w:val="00BA039D"/>
    <w:rsid w:val="00BA3D8A"/>
    <w:rsid w:val="00BA5F4C"/>
    <w:rsid w:val="00BD2C91"/>
    <w:rsid w:val="00BD7032"/>
    <w:rsid w:val="00BE4013"/>
    <w:rsid w:val="00BF1602"/>
    <w:rsid w:val="00C30980"/>
    <w:rsid w:val="00C44FB7"/>
    <w:rsid w:val="00C709CC"/>
    <w:rsid w:val="00C802B6"/>
    <w:rsid w:val="00C85D0F"/>
    <w:rsid w:val="00CA5063"/>
    <w:rsid w:val="00CB599E"/>
    <w:rsid w:val="00CB6B5C"/>
    <w:rsid w:val="00CB7130"/>
    <w:rsid w:val="00D06A20"/>
    <w:rsid w:val="00D1551E"/>
    <w:rsid w:val="00D15D7A"/>
    <w:rsid w:val="00D20C91"/>
    <w:rsid w:val="00D32C5A"/>
    <w:rsid w:val="00D4717C"/>
    <w:rsid w:val="00D65E7F"/>
    <w:rsid w:val="00D71CCD"/>
    <w:rsid w:val="00DA5BEC"/>
    <w:rsid w:val="00DA768C"/>
    <w:rsid w:val="00DB0540"/>
    <w:rsid w:val="00DB5CF1"/>
    <w:rsid w:val="00DD249E"/>
    <w:rsid w:val="00E0452E"/>
    <w:rsid w:val="00E30D8E"/>
    <w:rsid w:val="00E4043F"/>
    <w:rsid w:val="00E71939"/>
    <w:rsid w:val="00EA0BB4"/>
    <w:rsid w:val="00EB420E"/>
    <w:rsid w:val="00EE7B71"/>
    <w:rsid w:val="00EF4095"/>
    <w:rsid w:val="00F23D1A"/>
    <w:rsid w:val="00F314A1"/>
    <w:rsid w:val="00F373A2"/>
    <w:rsid w:val="00F663D3"/>
    <w:rsid w:val="00FB1CE1"/>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E5782"/>
  <w15:chartTrackingRefBased/>
  <w15:docId w15:val="{9A1D2A64-A005-4BB7-B5A6-3E5B3DC3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933605"/>
    <w:rPr>
      <w:rFonts w:ascii="Arial" w:hAnsi="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rsid w:val="00933605"/>
    <w:rPr>
      <w:rFonts w:ascii="Arial" w:hAnsi="Arial"/>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link w:val="NormalHanging12aChar"/>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FootnoteText">
    <w:name w:val="footnote text"/>
    <w:basedOn w:val="Normal"/>
    <w:link w:val="FootnoteTextChar"/>
    <w:unhideWhenUsed/>
    <w:rsid w:val="007044B3"/>
    <w:rPr>
      <w:sz w:val="20"/>
    </w:rPr>
  </w:style>
  <w:style w:type="character" w:customStyle="1" w:styleId="FootnoteTextChar">
    <w:name w:val="Footnote Text Char"/>
    <w:basedOn w:val="DefaultParagraphFont"/>
    <w:link w:val="FootnoteText"/>
    <w:rsid w:val="007044B3"/>
  </w:style>
  <w:style w:type="character" w:styleId="FootnoteReference">
    <w:name w:val="footnote reference"/>
    <w:basedOn w:val="DefaultParagraphFont"/>
    <w:unhideWhenUsed/>
    <w:rsid w:val="007044B3"/>
    <w:rPr>
      <w:vertAlign w:val="superscript"/>
    </w:rPr>
  </w:style>
  <w:style w:type="character" w:customStyle="1" w:styleId="NormalHanging12aChar">
    <w:name w:val="NormalHanging12a Char"/>
    <w:basedOn w:val="DefaultParagraphFont"/>
    <w:link w:val="NormalHanging12a"/>
    <w:locked/>
    <w:rsid w:val="00CB599E"/>
    <w:rPr>
      <w:sz w:val="24"/>
    </w:rPr>
  </w:style>
  <w:style w:type="paragraph" w:customStyle="1" w:styleId="Normal24a">
    <w:name w:val="Normal24a"/>
    <w:basedOn w:val="Normal"/>
    <w:rsid w:val="006E181C"/>
    <w:pPr>
      <w:spacing w:after="480"/>
    </w:pPr>
  </w:style>
  <w:style w:type="paragraph" w:customStyle="1" w:styleId="NormalBoldCenter">
    <w:name w:val="NormalBoldCenter"/>
    <w:basedOn w:val="Normal"/>
    <w:rsid w:val="006E181C"/>
    <w:pPr>
      <w:jc w:val="center"/>
    </w:pPr>
    <w:rPr>
      <w:b/>
    </w:rPr>
  </w:style>
  <w:style w:type="paragraph" w:customStyle="1" w:styleId="Footprint12b">
    <w:name w:val="Footprint12b"/>
    <w:basedOn w:val="Normal"/>
    <w:rsid w:val="006E181C"/>
    <w:pPr>
      <w:spacing w:before="240"/>
    </w:pPr>
    <w:rPr>
      <w:szCs w:val="24"/>
    </w:rPr>
  </w:style>
  <w:style w:type="paragraph" w:customStyle="1" w:styleId="NormalSingle">
    <w:name w:val="NormalSingle"/>
    <w:basedOn w:val="Normal"/>
    <w:qFormat/>
    <w:rsid w:val="006E181C"/>
    <w:rPr>
      <w:szCs w:val="24"/>
    </w:rPr>
  </w:style>
  <w:style w:type="character" w:styleId="Hyperlink">
    <w:name w:val="Hyperlink"/>
    <w:basedOn w:val="DefaultParagraphFont"/>
    <w:rsid w:val="006E181C"/>
    <w:rPr>
      <w:color w:val="0563C1" w:themeColor="hyperlink"/>
      <w:u w:val="single"/>
    </w:rPr>
  </w:style>
  <w:style w:type="paragraph" w:styleId="Footer">
    <w:name w:val="footer"/>
    <w:basedOn w:val="Normal"/>
    <w:link w:val="FooterChar"/>
    <w:semiHidden/>
    <w:rsid w:val="00734F42"/>
    <w:pPr>
      <w:tabs>
        <w:tab w:val="center" w:pos="4513"/>
        <w:tab w:val="right" w:pos="9026"/>
      </w:tabs>
    </w:pPr>
  </w:style>
  <w:style w:type="character" w:customStyle="1" w:styleId="FooterChar">
    <w:name w:val="Footer Char"/>
    <w:basedOn w:val="DefaultParagraphFont"/>
    <w:link w:val="Footer"/>
    <w:semiHidden/>
    <w:rsid w:val="00734F42"/>
    <w:rPr>
      <w:sz w:val="24"/>
    </w:rPr>
  </w:style>
  <w:style w:type="paragraph" w:styleId="Revision">
    <w:name w:val="Revision"/>
    <w:hidden/>
    <w:uiPriority w:val="99"/>
    <w:semiHidden/>
    <w:rsid w:val="00F373A2"/>
    <w:rPr>
      <w:sz w:val="24"/>
    </w:rPr>
  </w:style>
  <w:style w:type="character" w:styleId="CommentReference">
    <w:name w:val="annotation reference"/>
    <w:basedOn w:val="DefaultParagraphFont"/>
    <w:rsid w:val="00F373A2"/>
    <w:rPr>
      <w:sz w:val="16"/>
      <w:szCs w:val="16"/>
    </w:rPr>
  </w:style>
  <w:style w:type="paragraph" w:styleId="CommentText">
    <w:name w:val="annotation text"/>
    <w:basedOn w:val="Normal"/>
    <w:link w:val="CommentTextChar"/>
    <w:rsid w:val="00F373A2"/>
    <w:rPr>
      <w:sz w:val="20"/>
    </w:rPr>
  </w:style>
  <w:style w:type="character" w:customStyle="1" w:styleId="CommentTextChar">
    <w:name w:val="Comment Text Char"/>
    <w:basedOn w:val="DefaultParagraphFont"/>
    <w:link w:val="CommentText"/>
    <w:rsid w:val="00F373A2"/>
  </w:style>
  <w:style w:type="paragraph" w:styleId="CommentSubject">
    <w:name w:val="annotation subject"/>
    <w:basedOn w:val="CommentText"/>
    <w:next w:val="CommentText"/>
    <w:link w:val="CommentSubjectChar"/>
    <w:semiHidden/>
    <w:unhideWhenUsed/>
    <w:rsid w:val="00F373A2"/>
    <w:rPr>
      <w:b/>
      <w:bCs/>
    </w:rPr>
  </w:style>
  <w:style w:type="character" w:customStyle="1" w:styleId="CommentSubjectChar">
    <w:name w:val="Comment Subject Char"/>
    <w:basedOn w:val="CommentTextChar"/>
    <w:link w:val="CommentSubject"/>
    <w:semiHidden/>
    <w:rsid w:val="00F373A2"/>
    <w:rPr>
      <w:b/>
      <w:bCs/>
    </w:rPr>
  </w:style>
  <w:style w:type="character" w:customStyle="1" w:styleId="UnresolvedMention1">
    <w:name w:val="Unresolved Mention1"/>
    <w:basedOn w:val="DefaultParagraphFont"/>
    <w:uiPriority w:val="99"/>
    <w:semiHidden/>
    <w:unhideWhenUsed/>
    <w:rsid w:val="00F373A2"/>
    <w:rPr>
      <w:color w:val="605E5C"/>
      <w:shd w:val="clear" w:color="auto" w:fill="E1DFDD"/>
    </w:rPr>
  </w:style>
  <w:style w:type="paragraph" w:styleId="BalloonText">
    <w:name w:val="Balloon Text"/>
    <w:basedOn w:val="Normal"/>
    <w:link w:val="BalloonTextChar"/>
    <w:semiHidden/>
    <w:unhideWhenUsed/>
    <w:rsid w:val="00FB1CE1"/>
    <w:rPr>
      <w:rFonts w:ascii="Segoe UI" w:hAnsi="Segoe UI" w:cs="Segoe UI"/>
      <w:sz w:val="18"/>
      <w:szCs w:val="18"/>
    </w:rPr>
  </w:style>
  <w:style w:type="character" w:customStyle="1" w:styleId="BalloonTextChar">
    <w:name w:val="Balloon Text Char"/>
    <w:basedOn w:val="DefaultParagraphFont"/>
    <w:link w:val="BalloonText"/>
    <w:semiHidden/>
    <w:rsid w:val="00FB1CE1"/>
    <w:rPr>
      <w:rFonts w:ascii="Segoe UI" w:hAnsi="Segoe UI" w:cs="Segoe UI"/>
      <w:sz w:val="18"/>
      <w:szCs w:val="18"/>
    </w:rPr>
  </w:style>
  <w:style w:type="character" w:styleId="FollowedHyperlink">
    <w:name w:val="FollowedHyperlink"/>
    <w:basedOn w:val="DefaultParagraphFont"/>
    <w:rsid w:val="00FB1CE1"/>
    <w:rPr>
      <w:color w:val="954F72" w:themeColor="followedHyperlink"/>
      <w:u w:val="single"/>
    </w:rPr>
  </w:style>
  <w:style w:type="character" w:styleId="Emphasis">
    <w:name w:val="Emphasis"/>
    <w:basedOn w:val="DefaultParagraphFont"/>
    <w:uiPriority w:val="20"/>
    <w:qFormat/>
    <w:rsid w:val="00410B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rl.europa.eu/data-protect/index.d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7062F-3119-4ACF-BCD4-AD2983D3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2818</Words>
  <Characters>19052</Characters>
  <Application>Microsoft Office Word</Application>
  <DocSecurity>0</DocSecurity>
  <Lines>328</Lines>
  <Paragraphs>103</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21767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NOTARIDOU Aikaterini</dc:creator>
  <cp:lastModifiedBy>SIEPMANN Mario</cp:lastModifiedBy>
  <cp:revision>2</cp:revision>
  <cp:lastPrinted>2004-12-08T15:27:00Z</cp:lastPrinted>
  <dcterms:created xsi:type="dcterms:W3CDTF">2025-09-15T13:49:00Z</dcterms:created>
  <dcterms:modified xsi:type="dcterms:W3CDTF">2025-09-15T13:49:00Z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1327031</vt:lpwstr>
  </property>
  <property fmtid="{D5CDD505-2E9C-101B-9397-08002B2CF9AE}" pid="4" name="&lt;Model&gt;">
    <vt:lpwstr>PR_INL</vt:lpwstr>
  </property>
  <property fmtid="{D5CDD505-2E9C-101B-9397-08002B2CF9AE}" pid="5" name="&lt;ModelCod&gt;">
    <vt:lpwstr>\\eiciBRUpr1\pdocep$\DocEP\DOCS\General\PR\PR_NonLeg\Other\PR_INL.dotx(02/07/2024 09:02:02)</vt:lpwstr>
  </property>
  <property fmtid="{D5CDD505-2E9C-101B-9397-08002B2CF9AE}" pid="6" name="&lt;ModelTra&gt;">
    <vt:lpwstr>\\eiciBRUpr1\pdocep$\DocEP\TRANSFIL\EN\PR_INL.EN(16/09/2024 13:16:00)</vt:lpwstr>
  </property>
  <property fmtid="{D5CDD505-2E9C-101B-9397-08002B2CF9AE}" pid="7" name="&lt;Type&gt;">
    <vt:lpwstr>PR</vt:lpwstr>
  </property>
  <property fmtid="{D5CDD505-2E9C-101B-9397-08002B2CF9AE}" pid="8" name="Created with">
    <vt:lpwstr>10.1.2 Build [20250615]</vt:lpwstr>
  </property>
  <property fmtid="{D5CDD505-2E9C-101B-9397-08002B2CF9AE}" pid="9" name="FooterPath">
    <vt:lpwstr>PR\1327031DE.docx</vt:lpwstr>
  </property>
  <property fmtid="{D5CDD505-2E9C-101B-9397-08002B2CF9AE}" pid="10" name="LastEdited with">
    <vt:lpwstr>10.1.2 Build [20250715]</vt:lpwstr>
  </property>
  <property fmtid="{D5CDD505-2E9C-101B-9397-08002B2CF9AE}" pid="11" name="PE number">
    <vt:lpwstr>775.632</vt:lpwstr>
  </property>
  <property fmtid="{D5CDD505-2E9C-101B-9397-08002B2CF9AE}" pid="12" name="SDLStudio">
    <vt:lpwstr/>
  </property>
  <property fmtid="{D5CDD505-2E9C-101B-9397-08002B2CF9AE}" pid="13" name="SendToEpades">
    <vt:lpwstr>OK - 2025/09/03 15:13</vt:lpwstr>
  </property>
</Properties>
</file>