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1.46pt">
                  <v:imagedata r:id="rId5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{EMPL}</w:t>
      </w:r>
      <w:r>
        <w:t>Výbor pro zaměstnanost a sociální věci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2025/2183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{20/11/2025}</w:t>
      </w:r>
      <w:r>
        <w:t>20.11.2025</w:t>
      </w:r>
      <w:r>
        <w:rPr>
          <w:rStyle w:val="HideTWBExt"/>
        </w:rPr>
        <w:t>&lt;/Date&gt;</w:t>
      </w:r>
    </w:p>
    <w:p>
      <w:pPr>
        <w:pStyle w:val="CoverDocType24a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Normal"/>
      </w:pPr>
      <w:r>
        <w:rPr>
          <w:rStyle w:val="HideTWBExt"/>
        </w:rPr>
        <w:t>&lt;Titre&gt;</w:t>
      </w:r>
      <w:r>
        <w:t>o evropském semestru pro koordinaci hospodářských politik: priority v oblasti zaměstnanosti a v sociální oblasti – výroční zpráva za rok 2026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(2025/2183(INI))</w:t>
      </w:r>
      <w:r>
        <w:rPr>
          <w:rStyle w:val="HideTWBExt"/>
        </w:rPr>
        <w:t>&lt;/DocRef&gt;</w:t>
      </w:r>
    </w:p>
    <w:p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{EMPL}</w:t>
      </w:r>
      <w:r>
        <w:t>Výbor pro zaměstnanost a sociální věci</w:t>
      </w:r>
      <w:r>
        <w:rPr>
          <w:rStyle w:val="HideTWBExt"/>
        </w:rPr>
        <w:t>&lt;/Commission&gt;</w:t>
      </w:r>
    </w:p>
    <w:p>
      <w:pPr>
        <w:pStyle w:val="CoverNormal24a"/>
      </w:pPr>
      <w:r>
        <w:t>Zpravodajka</w:t>
      </w:r>
      <w:r>
        <w:t xml:space="preserve">: </w:t>
      </w:r>
      <w:r>
        <w:rPr>
          <w:rStyle w:val="HideTWBExt"/>
        </w:rPr>
        <w:t>&lt;Depute&gt;</w:t>
      </w:r>
      <w:r>
        <w:t>Nela Riehl</w:t>
      </w:r>
      <w:r>
        <w:rPr>
          <w:rStyle w:val="HideTWBExt"/>
        </w:rPr>
        <w:t>&lt;/Depute&gt;</w:t>
      </w:r>
    </w:p>
    <w:p>
      <w:r>
        <w:br w:type="page"/>
      </w:r>
      <w:r>
        <w:t>PR_INI</w:t>
      </w:r>
    </w:p>
    <w:p>
      <w:pPr>
        <w:pStyle w:val="TOCHeading"/>
      </w:pPr>
      <w:r>
        <w:t>OBSAH</w:t>
      </w:r>
    </w:p>
    <w:p>
      <w:pPr>
        <w:pStyle w:val="TOCPage"/>
      </w:pPr>
      <w:r>
        <w:t>Strana</w:t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\t</w:instrText>
      </w:r>
      <w:r>
        <w:instrText xml:space="preserve"> </w:instrText>
      </w:r>
      <w:r>
        <w:instrText>PageHeading</w:instrText>
      </w:r>
      <w:r>
        <w:fldChar w:fldCharType="separate"/>
      </w:r>
      <w:r>
        <w:t>NÁVRH USNESENÍ EVROPSKÉHO PARLAMENTU</w:t>
      </w:r>
      <w:r>
        <w:tab/>
      </w:r>
      <w:r>
        <w:fldChar w:fldCharType="begin"/>
      </w:r>
      <w:r>
        <w:instrText xml:space="preserve"> PAGEREF _Toc256000000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</w:pPr>
      <w:r>
        <w:fldChar w:fldCharType="end"/>
      </w:r>
    </w:p>
    <w:p>
      <w:r>
        <w:br w:type="page"/>
      </w:r>
    </w:p>
    <w:p>
      <w:pPr>
        <w:pStyle w:val="PageHeading"/>
      </w:pPr>
      <w:bookmarkStart w:id="0" w:name="_Toc256000000"/>
      <w:r>
        <w:t>NÁVRH USNESENÍ EVROPSKÉHO PARLAMENTU</w:t>
      </w:r>
      <w:bookmarkEnd w:id="0"/>
    </w:p>
    <w:p>
      <w:pPr>
        <w:pStyle w:val="NormalBold"/>
      </w:pPr>
      <w:r>
        <w:t>o evropském semestru pro koordinaci hospodářských politik: priority v oblasti zaměstnanosti a v sociální oblasti – výroční zpráva za rok 2026</w:t>
      </w:r>
    </w:p>
    <w:p>
      <w:pPr>
        <w:pStyle w:val="NormalBold"/>
      </w:pPr>
    </w:p>
    <w:p>
      <w:pPr>
        <w:pStyle w:val="NormalBold12a"/>
      </w:pPr>
      <w:r>
        <w:t>(</w:t>
      </w:r>
      <w:r>
        <w:t>2025/2183(INI)</w:t>
      </w:r>
      <w:r>
        <w:t>)</w:t>
      </w:r>
    </w:p>
    <w:p>
      <w:pPr>
        <w:pStyle w:val="Normal12"/>
      </w:pPr>
      <w:r>
        <w:rPr>
          <w:i/>
        </w:rPr>
        <w:t>Evropský parlament</w:t>
      </w:r>
      <w:r>
        <w:t>,</w:t>
      </w:r>
    </w:p>
    <w:p>
      <w:pPr>
        <w:pStyle w:val="NormalHanging"/>
      </w:pPr>
      <w:r>
        <w:t>–</w:t>
      </w:r>
      <w:r>
        <w:tab/>
      </w:r>
      <w:r>
        <w:t>s ohledem na článek 3 Smlouvy o Evropské unii,</w:t>
      </w:r>
    </w:p>
    <w:p>
      <w:pPr>
        <w:pStyle w:val="NormalHanging"/>
      </w:pPr>
      <w:r>
        <w:t>–</w:t>
      </w:r>
      <w:r>
        <w:tab/>
      </w:r>
      <w:r>
        <w:t>s ohledem na články 9, 121, 148 a 149 Smlouvy o fungování Evropské unie (SFEU),</w:t>
      </w:r>
    </w:p>
    <w:p>
      <w:pPr>
        <w:pStyle w:val="NormalHanging"/>
      </w:pPr>
      <w:r>
        <w:t>–</w:t>
      </w:r>
      <w:r>
        <w:tab/>
      </w:r>
      <w:r>
        <w:t>s ohledem na evropský pilíř sociálních práv vyhlášený a podepsaný Radou, Parlamentem a Komisí dne 17. listopadu 2017,</w:t>
      </w:r>
    </w:p>
    <w:p>
      <w:pPr>
        <w:pStyle w:val="NormalHanging"/>
      </w:pPr>
      <w:r>
        <w:t>–</w:t>
      </w:r>
      <w:r>
        <w:tab/>
      </w:r>
      <w:r>
        <w:t>s ohledem na sdělení Komise ze dne XX. listopadu 2026 nazvané „Roční analýza udržitelného růstu 2026“,</w:t>
      </w:r>
    </w:p>
    <w:p>
      <w:pPr>
        <w:pStyle w:val="NormalHanging"/>
      </w:pPr>
      <w:r>
        <w:t>–</w:t>
      </w:r>
      <w:r>
        <w:tab/>
      </w:r>
      <w:r>
        <w:t>s ohledem na návrh společné zprávy Komise a Rady o zaměstnanosti, který dne XXX 2026 předložila Komise,</w:t>
      </w:r>
    </w:p>
    <w:p>
      <w:pPr>
        <w:pStyle w:val="NormalHanging"/>
      </w:pPr>
      <w:r>
        <w:t>–</w:t>
      </w:r>
      <w:r>
        <w:tab/>
      </w:r>
      <w:r>
        <w:t>s ohledem na doporučení Komise ze dne XXX 2026 pro doporučení Rady týkající se hospodářské politiky eurozóny,</w:t>
      </w:r>
    </w:p>
    <w:p>
      <w:pPr>
        <w:pStyle w:val="NormalHanging"/>
      </w:pPr>
      <w:r>
        <w:t>–</w:t>
      </w:r>
      <w:r>
        <w:tab/>
      </w:r>
      <w:r>
        <w:t>s ohledem na zprávu Komise ze dne XXX 2026 nazvanou „Zpráva mechanismu varování 2025“,</w:t>
      </w:r>
    </w:p>
    <w:p>
      <w:pPr>
        <w:pStyle w:val="NormalHanging"/>
      </w:pPr>
      <w:r>
        <w:t>–</w:t>
      </w:r>
      <w:r>
        <w:tab/>
      </w:r>
      <w:r>
        <w:t>s ohledem na sdělení Komise ze dne XX. listopadu 2026 nazvané „Návrhy rozpočtových plánů na rok 2025: celkové posouzení“,</w:t>
      </w:r>
    </w:p>
    <w:p>
      <w:pPr>
        <w:pStyle w:val="NormalHanging"/>
      </w:pPr>
      <w:r>
        <w:t>–</w:t>
      </w:r>
      <w:r>
        <w:tab/>
      </w:r>
      <w:r>
        <w:t>s ohledem na zprávu Maria Draghiho o budoucnosti evropské konkurenceschopnosti zveřejněnou v září 2024,</w:t>
      </w:r>
    </w:p>
    <w:p>
      <w:pPr>
        <w:pStyle w:val="NormalHanging"/>
      </w:pPr>
      <w:r>
        <w:t>–</w:t>
      </w:r>
      <w:r>
        <w:tab/>
      </w:r>
      <w:r>
        <w:t>s ohledem na zprávu Enrica Letty o budoucnosti jednotného trhu nazvanou „Mnohem více než jen trh“, která byla zveřejněna v dubnu 2024,</w:t>
      </w:r>
    </w:p>
    <w:p>
      <w:pPr>
        <w:pStyle w:val="NormalHanging"/>
      </w:pPr>
      <w:r>
        <w:t>–</w:t>
      </w:r>
      <w:r>
        <w:tab/>
      </w:r>
      <w:r>
        <w:t>s ohledem na zprávu skupiny na vysoké úrovni pro budoucnost sociální ochrany a sociálního státu v EU, která byla zveřejněna v lednu 2023,</w:t>
      </w:r>
    </w:p>
    <w:p>
      <w:pPr>
        <w:pStyle w:val="NormalHanging"/>
      </w:pPr>
      <w:r>
        <w:t>–</w:t>
      </w:r>
      <w:r>
        <w:tab/>
      </w:r>
      <w:r>
        <w:t>s ohledem na článek 55 jednacího řádu,</w:t>
      </w:r>
    </w:p>
    <w:p>
      <w:pPr>
        <w:pStyle w:val="NormalHanging"/>
      </w:pPr>
      <w:r>
        <w:t>–</w:t>
      </w:r>
      <w:r>
        <w:tab/>
      </w:r>
      <w:r>
        <w:t>s ohledem na zprávu Výboru pro zaměstnanost a sociální věci (A10-0000/2025),</w:t>
      </w:r>
    </w:p>
    <w:p>
      <w:pPr>
        <w:pStyle w:val="NormalHanging"/>
      </w:pPr>
      <w:r>
        <w:t>A.</w:t>
      </w:r>
      <w:r>
        <w:tab/>
      </w:r>
      <w:r>
        <w:t>vzhledem k tomu, že v červnu 2025 činila míra nezaměstnanosti v EU 5,9 %, zatímco nezaměstnanost mladých lidí zůstává vysoká a činí 14,7 %; vzhledem k tomu, že vyšší míra zaměstnanosti není plně vyvážena kvalitou pracovních míst, zvyšováním mezd a zvyšováním produktivity;</w:t>
      </w:r>
    </w:p>
    <w:p>
      <w:pPr>
        <w:pStyle w:val="NormalHanging"/>
      </w:pPr>
      <w:r>
        <w:t>B.</w:t>
      </w:r>
      <w:r>
        <w:tab/>
      </w:r>
      <w:r>
        <w:t>vzhledem k tomu, že evropský semestr zůstává ústředním nástrojem pro koordinaci hospodářské, fiskální a sociální politiky a politiky zaměstnanosti v celé EU, a nabízí tak příležitost systematičtěji začleňovat sociální, environmentální a mezigenerační spravedlnost do makroekonomické správy;</w:t>
      </w:r>
    </w:p>
    <w:p>
      <w:pPr>
        <w:pStyle w:val="NormalHanging"/>
      </w:pPr>
      <w:r>
        <w:t>C.</w:t>
      </w:r>
      <w:r>
        <w:tab/>
      </w:r>
      <w:r>
        <w:t>vzhledem k tomu, že v roce 2024 bylo 21 % obyvatel EU ohroženo chudobou nebo sociálním vyloučením; vzhledem k tomu, že při plnění cíle snížit do roku 2030 počet dětí ohrožených chudobou nebo sociálním vyloučením o 5 milionů nedochází k dostatečnému pokroku;</w:t>
      </w:r>
    </w:p>
    <w:p>
      <w:pPr>
        <w:pStyle w:val="NormalHanging"/>
      </w:pPr>
      <w:r>
        <w:t>D.</w:t>
      </w:r>
      <w:r>
        <w:tab/>
      </w:r>
      <w:r>
        <w:t>vzhledem k tomu, že změna klimatu a ničení životního prostředí prohlubují nerovnosti a postihují nejzranitelnější skupiny; vzhledem k tomu, že se očekává, že přechod ke klimatické neutralitě vytvoří přibližně 2,5 milionu dalších pracovních míst;</w:t>
      </w:r>
    </w:p>
    <w:p>
      <w:pPr>
        <w:pStyle w:val="NormalHanging"/>
      </w:pPr>
      <w:r>
        <w:t>E.</w:t>
      </w:r>
      <w:r>
        <w:tab/>
      </w:r>
      <w:r>
        <w:t>vzhledem k tomu, že tlaky na náklady na bydlení a vysoké ceny energií představují pro domácnosti značnou zátěž, avšak politika v oblasti bydlení je v doporučeních pro jednotlivé země často nedostatečně zastoupena;</w:t>
      </w:r>
    </w:p>
    <w:p>
      <w:pPr>
        <w:pStyle w:val="NormalHanging"/>
      </w:pPr>
      <w:r>
        <w:t>F.</w:t>
      </w:r>
      <w:r>
        <w:tab/>
      </w:r>
      <w:r>
        <w:t>vzhledem k tomu, že EU čelí přetrvávajícímu nedostatku pracovníků a dovedností v důsledku řady faktorů, včetně nízké kvality pracovních míst;</w:t>
      </w:r>
    </w:p>
    <w:p>
      <w:pPr>
        <w:pStyle w:val="NormalHanging"/>
      </w:pPr>
      <w:r>
        <w:t>G.</w:t>
      </w:r>
      <w:r>
        <w:tab/>
      </w:r>
      <w:r>
        <w:t>vzhledem k tomu, že z údajů vyplývá, že ve většině členských států je třeba vyvinout větší úsilí, aby bylo do roku 2030 dosaženo cíle 60% účasti dospělých na vzdělávání a odborné přípravě; vzhledem k tomu, že integrovaný přístup ke koordinaci politik v rámci evropského semestru poskytuje rámec pro směřování nezbytných investic do rozvoje lidského kapitálu a systémů vzdělávání a odborné přípravy;</w:t>
      </w:r>
    </w:p>
    <w:p>
      <w:pPr>
        <w:pStyle w:val="NormalHanging"/>
      </w:pPr>
      <w:r>
        <w:t>H.</w:t>
      </w:r>
      <w:r>
        <w:tab/>
      </w:r>
      <w:r>
        <w:t>vzhledem k tomu, že dodatečné investiční potřeby v oblasti sociální infrastruktury se odhadují na 192 miliard EUR ročně, a to i v oblasti cenově dostupného bydlení, zdravotní a dlouhodobé péče, vzdělávání a celoživotního vzdělávání</w:t>
      </w:r>
      <w:r>
        <w:rPr>
          <w:rStyle w:val="FootnoteReference"/>
        </w:rPr>
        <w:footnoteReference w:customMarkFollows="1" w:id="2"/>
        <w:t xml:space="preserve">1</w:t>
      </w:r>
      <w:r>
        <w:t>; vzhledem k tomu, že je třeba dále pracovat na měření rozdílů v sociálních investicích v EU, jakož i ekonomické návratnosti sociálních investic;</w:t>
      </w:r>
    </w:p>
    <w:p>
      <w:pPr>
        <w:pStyle w:val="NormalHanging12a"/>
      </w:pPr>
      <w:r>
        <w:t>1.</w:t>
      </w:r>
      <w:r>
        <w:tab/>
      </w:r>
      <w:r>
        <w:t>zdůrazňuje konkurenční výhodu investování do sociálního modelu EU; vyzývá k tomu, aby byla do procesu evropského semestru začleněna doporučení, jež vypracovala skupina na vysoké úrovni pro budoucnost sociální ochrany a sociálního státu, jakož i doporučení Lettovy a Draghiho zprávy; vítá začlenění evropského pilíře sociálních práv do rámce správy ekonomických záležitostí a vyzývá členské státy, aby využily možnost prodloužit období korekce k investicím do priorit evropského pilíře sociálních práv; vyzývá k tomu, aby se integrovaný správní rámec promítl do vnitřních procesů orgánů EU a aby do nich byly ve stejné míře zapojeny jejich hospodářské a sociální orgány;</w:t>
      </w:r>
    </w:p>
    <w:p>
      <w:pPr>
        <w:pStyle w:val="NormalHanging12a"/>
      </w:pPr>
      <w:r>
        <w:t>2.</w:t>
      </w:r>
      <w:r>
        <w:tab/>
      </w:r>
      <w:r>
        <w:t>domnívá se, že Komise a Rada by měly zvýšit své úsilí v provádění evropského pilíře sociálních práv; vyzývá k tomu, aby byly cíle Akčního plánu pro evropský pilíř sociálních práv začleněny do jádra evropského semestru tak, že se stanou referenčními hodnotami v posouzeních evropského semestru;</w:t>
      </w:r>
    </w:p>
    <w:p>
      <w:pPr>
        <w:pStyle w:val="NormalHanging12a"/>
      </w:pPr>
      <w:r>
        <w:t>3.</w:t>
      </w:r>
      <w:r>
        <w:tab/>
      </w:r>
      <w:r>
        <w:t>vítá ambici Komise vymýtit do roku 2050 chudobu a její záměr navrhnout akt o kvalitních pracovních místech; zdůrazňuje potřebu soudržnosti mezi evropským semestrem, opatřeními navazujícími na Akční plán pro evropský pilíř sociálních práv a těmito připravovanými nástroji s měřitelnými cíli a odpovídajícími doporučeními pro jednotlivé země;</w:t>
      </w:r>
    </w:p>
    <w:p>
      <w:pPr>
        <w:pStyle w:val="NormalHanging12a"/>
      </w:pPr>
      <w:r>
        <w:t>4.</w:t>
      </w:r>
      <w:r>
        <w:tab/>
      </w:r>
      <w:r>
        <w:t>vítá trvalé začlenění rámce sociální konvergence do evropského semestru; zdůrazňuje jeho význam a význam srovnávacího přehledu sociálních ukazatelů pro identifikaci rizik a sledování pokroku v oblasti vzestupné sociální konvergence;</w:t>
      </w:r>
    </w:p>
    <w:p>
      <w:pPr>
        <w:pStyle w:val="NormalHanging12a"/>
      </w:pPr>
      <w:r>
        <w:t>5.</w:t>
      </w:r>
      <w:r>
        <w:tab/>
      </w:r>
      <w:r>
        <w:t>připomíná, že sociální investice mohou mít pozitivní dopad na hospodářský růst, produktivitu a konkurenceschopnost, čímž se podpoří i fiskální udržitelnost a zároveň se posílí vzestupná sociální konvergence; vyzývá Komisi a Radu, aby sociální investice považovaly za základ udržitelného růstu;</w:t>
      </w:r>
    </w:p>
    <w:p>
      <w:pPr>
        <w:pStyle w:val="NormalHanging12a"/>
      </w:pPr>
      <w:r>
        <w:t>6.</w:t>
      </w:r>
      <w:r>
        <w:tab/>
      </w:r>
      <w:r>
        <w:t>zdůrazňuje, že plán Komise pro cenově dostupné bydlení by měl být lépe začleněn do evropského semestru, přičemž v doporučeních pro jednotlivé země by měl být kladen větší důraz na cenově dostupné, udržitelné a důstojné bydlení; připomíná signatářům Lisabonského prohlášení o Evropské platformě pro boj proti bezdomovectví cíl vymýtit bezdomovectví do roku 2030;</w:t>
      </w:r>
    </w:p>
    <w:p>
      <w:pPr>
        <w:pStyle w:val="NormalHanging12a"/>
      </w:pPr>
      <w:r>
        <w:t>7.</w:t>
      </w:r>
      <w:r>
        <w:tab/>
      </w:r>
      <w:r>
        <w:t>zdůrazňuje, že investice do vzdělávání, prohlubování dovedností a změny kvalifikace jsou strategickou sociální investicí s dlouhodobou návratností pro konkurenceschopnost a soudržnost;</w:t>
      </w:r>
    </w:p>
    <w:p>
      <w:pPr>
        <w:pStyle w:val="NormalHanging12a"/>
      </w:pPr>
      <w:r>
        <w:t>8.</w:t>
      </w:r>
      <w:r>
        <w:tab/>
      </w:r>
      <w:r>
        <w:t>zdůrazňuje, že mezigenerační spravedlnost se musí stát strukturální složkou evropského semestru; vyzývá Komisi, aby v rámci své strategie mezigenerační spravedlnosti začlenila do hodnotícího rámce evropského semestru ukazatele dobrých životních podmínek mladých lidí, přístupu ke kvalitním pracovním místům, cenové dostupnosti bydlení, vzdělávání a dovedností a aby systematicky vyhodnocovala dlouhodobé dopady fiskálních a reformních doporučení;</w:t>
      </w:r>
    </w:p>
    <w:p>
      <w:pPr>
        <w:pStyle w:val="NormalHanging12a"/>
      </w:pPr>
      <w:r>
        <w:t>9.</w:t>
      </w:r>
      <w:r>
        <w:tab/>
      </w:r>
      <w:r>
        <w:t>uznává, že se členské státy zavázaly investovat do roku 2035 každoročně 5 % HDP do základních požadavků na obranu a souvisejících výdajů na bezpečnost, a to i formou aktivace národní únikové doložky; zdůrazňuje, že v rámci evropského semestru musí být tyto výdaje plánovány koordinovaně;</w:t>
      </w:r>
    </w:p>
    <w:p>
      <w:pPr>
        <w:pStyle w:val="NormalHanging12a"/>
      </w:pPr>
      <w:r>
        <w:t>10.</w:t>
      </w:r>
      <w:r>
        <w:tab/>
      </w:r>
      <w:r>
        <w:t>konstatuje, že doporučení evropského semestru v roce 2026 budou hrát zásadní úlohu při vypracovávání vnitrostátních a regionálních plánů partnerství; domnívá se, že reformy a investice by měly být vybírány na základě účinnosti a účelnosti, s jakou řeší příslušná doporučení pro jednotlivé země;</w:t>
      </w:r>
    </w:p>
    <w:p>
      <w:pPr>
        <w:pStyle w:val="NormalHanging12a"/>
      </w:pPr>
      <w:r>
        <w:t>11.</w:t>
      </w:r>
      <w:r>
        <w:tab/>
      </w:r>
      <w:r>
        <w:t>podporuje demokratičtější proces evropského semestru, v jehož rámci by byl Parlament úzce zapojen do stanovování priorit hospodářské politiky a přijímání rozhodnutí v oblasti správy ekonomických záležitostí; trvá na systematickém zapojení sociálních partnerů, organizací občanské společnosti a regionálních a místních aktérů do procesu evropského semestru;</w:t>
      </w:r>
    </w:p>
    <w:p>
      <w:pPr>
        <w:pStyle w:val="NormalHanging12a"/>
      </w:pPr>
      <w:r>
        <w:t>12.</w:t>
      </w:r>
      <w:r>
        <w:tab/>
      </w:r>
      <w:r>
        <w:t>pověřuje svou předsedkyni, aby předala toto usnesení Radě a Komisi.</w:t>
      </w:r>
    </w:p>
    <w:sectPr>
      <w:footerReference w:type="even" r:id="rId6"/>
      <w:footerReference w:type="default" r:id="rId7"/>
      <w:footerReference w:type="first" r:id="rId8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779.558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5</w:t>
    </w:r>
    <w:r>
      <w:fldChar w:fldCharType="end"/>
    </w:r>
    <w:r>
      <w:tab/>
    </w:r>
    <w:r>
      <w:rPr>
        <w:rStyle w:val="HideTWBExt"/>
      </w:rPr>
      <w:t>&lt;PathFdR&gt;</w:t>
    </w:r>
    <w:r>
      <w:t>PR\1331649CS.docx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PR\1331649CS.docx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5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779.558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PR\1331649CS.docx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779.558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vertAlign w:val="superscript"/>
        </w:rPr>
        <w:t>1</w:t>
      </w:r>
      <w:r>
        <w:t xml:space="preserve"> </w:t>
      </w:r>
      <w:r>
        <w:t>Pracovní dokument útvarů Komise ze dne 27. května 2020 nazvaný „Identifikace potřeb Evropy v oblasti oživení“ (SWD(20200098), který doprovází sdělení Komise nazvané „Chvíle pro Evropu: Náprava škod a příprava na příští generaci“ (COM(2020)0456).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footnotePr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TOCPage">
    <w:name w:val="TOC Page"/>
    <w:basedOn w:val="Normal"/>
    <w:pPr>
      <w:keepNext/>
      <w:widowControl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EPComma">
    <w:name w:val="EPComma"/>
    <w:basedOn w:val="Normal"/>
    <w:pPr>
      <w:widowControl/>
      <w:spacing w:before="480" w:after="240"/>
    </w:p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EPLogo">
    <w:name w:val="EPLogo"/>
    <w:basedOn w:val="Normal"/>
    <w:pPr>
      <w:widowControl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Int">
    <w:name w:val="HideTWBInt"/>
    <w:rPr>
      <w:rFonts w:ascii="Arial" w:hAnsi="Arial"/>
      <w:vanish/>
      <w:color w:val="808080"/>
      <w:sz w:val="20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hAnsi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hAnsi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CoverNormal12a">
    <w:name w:val="CoverNormal12a"/>
    <w:basedOn w:val="Normal"/>
    <w:pPr>
      <w:widowControl/>
      <w:spacing w:after="240"/>
      <w:ind w:left="1418"/>
    </w:pPr>
  </w:style>
  <w:style w:type="paragraph" w:customStyle="1" w:styleId="LegendSign">
    <w:name w:val="LegendSign"/>
    <w:basedOn w:val="Normal"/>
    <w:pPr>
      <w:widowControl/>
      <w:tabs>
        <w:tab w:val="right" w:pos="454"/>
        <w:tab w:val="left" w:pos="736"/>
      </w:tabs>
      <w:overflowPunct/>
      <w:ind w:left="736" w:hanging="736"/>
    </w:pPr>
    <w:rPr>
      <w:sz w:val="18"/>
    </w:rPr>
  </w:style>
  <w:style w:type="paragraph" w:customStyle="1" w:styleId="LegendStandard">
    <w:name w:val="LegendStandard"/>
    <w:basedOn w:val="LegendSign"/>
    <w:pPr>
      <w:widowControl/>
      <w:ind w:left="0" w:firstLine="0"/>
    </w:pPr>
  </w:style>
  <w:style w:type="paragraph" w:customStyle="1" w:styleId="LegendTitle">
    <w:name w:val="LegendTitle"/>
    <w:basedOn w:val="Normal"/>
    <w:pPr>
      <w:widowControl/>
      <w:spacing w:before="240" w:after="240"/>
    </w:pPr>
    <w:rPr>
      <w:b/>
      <w:i/>
    </w:rPr>
  </w:style>
  <w:style w:type="paragraph" w:styleId="TOC1">
    <w:name w:val="toc 1"/>
    <w:basedOn w:val="Normal12b"/>
    <w:next w:val="Normal12b"/>
    <w:autoRedefine/>
    <w:rsid w:val="00805BCE"/>
    <w:pPr>
      <w:widowControl/>
      <w:spacing w:after="240"/>
    </w:p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Normal12b">
    <w:name w:val="Normal12b"/>
    <w:basedOn w:val="Normal"/>
    <w:pPr>
      <w:widowControl/>
      <w:spacing w:before="240"/>
    </w:pPr>
  </w:style>
  <w:style w:type="paragraph" w:customStyle="1" w:styleId="PMissingStyle">
    <w:name w:val="P_MissingStyle"/>
    <w:basedOn w:val="Normal"/>
    <w:pPr>
      <w:widowControl/>
      <w:spacing w:after="0" w:line="240" w:lineRule="auto"/>
    </w:pPr>
    <w:rPr>
      <w:rFonts w:ascii="Times New Roman" w:eastAsia="Times New Roman" w:hAnsi="Times New Roman" w:cs="Times New Roman"/>
      <w:color w:val="FFFFFF"/>
      <w:sz w:val="24"/>
    </w:rPr>
  </w:style>
  <w:style w:type="character" w:customStyle="1" w:styleId="CMissingStyle">
    <w:name w:val="C_MissingStyle"/>
    <w:rPr>
      <w:color w:val="FFFFFF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Next/>
      <w:widowControl/>
      <w:spacing w:before="240" w:after="240"/>
      <w:jc w:val="center"/>
      <w:outlineLvl w:val="9"/>
    </w:pPr>
    <w:rPr>
      <w:rFonts w:ascii="Arial" w:hAnsi="Arial"/>
      <w:b/>
    </w:rPr>
  </w:style>
  <w:style w:type="paragraph" w:customStyle="1" w:styleId="Normal12">
    <w:name w:val="Normal12"/>
    <w:basedOn w:val="Normal"/>
    <w:pPr>
      <w:widowControl/>
      <w:spacing w:after="24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NormalHanging12a4">
    <w:name w:val="NormalHanging12a4"/>
    <w:basedOn w:val="NormalHanging12a3"/>
    <w:pPr>
      <w:widowControl/>
      <w:ind w:left="2268"/>
    </w:pPr>
  </w:style>
  <w:style w:type="paragraph" w:customStyle="1" w:styleId="NormalHanging12a5">
    <w:name w:val="NormalHanging12a5"/>
    <w:basedOn w:val="NormalHanging12a4"/>
    <w:pPr>
      <w:widowControl/>
      <w:ind w:left="2692"/>
    </w:pPr>
  </w:style>
  <w:style w:type="paragraph" w:customStyle="1" w:styleId="NormalHanging12a6">
    <w:name w:val="NormalHanging12a6"/>
    <w:basedOn w:val="NormalHanging12a5"/>
    <w:pPr>
      <w:widowControl/>
      <w:ind w:left="3118"/>
    </w:pPr>
  </w:style>
  <w:style w:type="paragraph" w:customStyle="1" w:styleId="NormalHanging12a7">
    <w:name w:val="NormalHanging12a7"/>
    <w:basedOn w:val="NormalHanging12a6"/>
    <w:pPr>
      <w:widowControl/>
      <w:ind w:left="3544"/>
    </w:pPr>
  </w:style>
  <w:style w:type="paragraph" w:customStyle="1" w:styleId="NormalHanging12a1">
    <w:name w:val="NormalHanging12a1"/>
    <w:basedOn w:val="Normal"/>
    <w:pPr>
      <w:widowControl/>
      <w:overflowPunct/>
      <w:spacing w:after="240" w:line="240" w:lineRule="auto"/>
      <w:ind w:left="992" w:hanging="424"/>
    </w:pPr>
    <w:rPr>
      <w:rFonts w:ascii="Times New Roman" w:eastAsia="Times New Roman" w:hAnsi="Times New Roman" w:cs="Times New Roman"/>
      <w:sz w:val="24"/>
    </w:rPr>
  </w:style>
  <w:style w:type="paragraph" w:customStyle="1" w:styleId="NormalHanging12a2">
    <w:name w:val="NormalHanging12a2"/>
    <w:basedOn w:val="NormalHanging12a1"/>
    <w:pPr>
      <w:widowControl/>
      <w:ind w:left="1416"/>
    </w:pPr>
  </w:style>
  <w:style w:type="paragraph" w:customStyle="1" w:styleId="NormalHanging12a3">
    <w:name w:val="NormalHanging12a3"/>
    <w:basedOn w:val="NormalHanging12a2"/>
    <w:pPr>
      <w:widowControl/>
      <w:ind w:left="1842"/>
    </w:pPr>
  </w:style>
  <w:style w:type="paragraph" w:customStyle="1" w:styleId="NormalHanging">
    <w:name w:val="NormalHanging"/>
    <w:basedOn w:val="Normal"/>
    <w:pPr>
      <w:widowControl/>
      <w:overflowPunct/>
      <w:spacing w:after="240" w:line="240" w:lineRule="auto"/>
      <w:ind w:left="566" w:hanging="566"/>
    </w:pPr>
    <w:rPr>
      <w:rFonts w:ascii="Times New Roman" w:eastAsia="Times New Roman" w:hAnsi="Times New Roman" w:cs="Times New Roman"/>
      <w:sz w:val="24"/>
    </w:r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paragraph" w:customStyle="1" w:styleId="NormalBold12a">
    <w:name w:val="NormalBold12a"/>
    <w:basedOn w:val="Normal"/>
    <w:pPr>
      <w:widowControl/>
      <w:spacing w:after="240"/>
    </w:pPr>
    <w:rPr>
      <w:b/>
    </w:rPr>
  </w:style>
  <w:style w:type="paragraph" w:customStyle="1" w:styleId="NormalCenter12a">
    <w:name w:val="NormalCenter12a"/>
    <w:basedOn w:val="Normal"/>
    <w:pPr>
      <w:widowControl/>
      <w:spacing w:after="240"/>
      <w:jc w:val="center"/>
    </w:pPr>
  </w:style>
  <w:style w:type="paragraph" w:customStyle="1" w:styleId="Normal12BoldUnderline">
    <w:name w:val="Normal12BoldUnderline"/>
    <w:basedOn w:val="Normal"/>
    <w:pPr>
      <w:widowControl/>
      <w:spacing w:before="480"/>
    </w:pPr>
    <w:rPr>
      <w:b/>
      <w:u w:val="single"/>
    </w:rPr>
  </w:style>
  <w:style w:type="paragraph" w:customStyle="1" w:styleId="Normal12Bullet2">
    <w:name w:val="Normal12Bullet2"/>
    <w:basedOn w:val="Normal"/>
    <w:pPr>
      <w:widowControl/>
      <w:numPr>
        <w:numId w:val="2"/>
      </w:numPr>
    </w:pPr>
  </w:style>
  <w:style w:type="paragraph" w:customStyle="1" w:styleId="NormalHangingJustified">
    <w:name w:val="NormalHangingJustified"/>
    <w:basedOn w:val="Normal"/>
    <w:pPr>
      <w:widowControl/>
      <w:overflowPunct/>
      <w:spacing w:after="240"/>
      <w:ind w:left="714" w:hanging="356"/>
      <w:jc w:val="both"/>
    </w:pPr>
  </w:style>
  <w:style w:type="paragraph" w:customStyle="1" w:styleId="NormalCenter">
    <w:name w:val="NormalCenter"/>
    <w:basedOn w:val="Normal"/>
    <w:pPr>
      <w:widowControl/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5</Pages>
  <Words>1139</Words>
  <Characters>6798</Characters>
  <Application>Microsoft Office Word</Application>
  <DocSecurity>0</DocSecurity>
  <Lines>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1331649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.render.id">
    <vt:lpwstr>301307</vt:lpwstr>
  </property>
  <property fmtid="{D5CDD505-2E9C-101B-9397-08002B2CF9AE}" pid="7" name="dmxml.render.traceId">
    <vt:lpwstr>693036e98a4ab2de3430884735916862</vt:lpwstr>
  </property>
  <property fmtid="{D5CDD505-2E9C-101B-9397-08002B2CF9AE}" pid="8" name="FooterPath">
    <vt:lpwstr>PR\1331649CS.doc</vt:lpwstr>
  </property>
  <property fmtid="{D5CDD505-2E9C-101B-9397-08002B2CF9AE}" pid="9" name="PE Number">
    <vt:lpwstr>779.558</vt:lpwstr>
  </property>
  <property fmtid="{D5CDD505-2E9C-101B-9397-08002B2CF9AE}" pid="10" name="UID">
    <vt:lpwstr>eu.europa.europarl-DIN1-2025-0000214726_01.07-cs-01.00_text-xml</vt:lpwstr>
  </property>
</Properties>
</file>