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Europa-Parlamentet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Udvalget om Beskæftigelse og Sociale Anliggender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2025/2183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{20/11/2025}</w:t>
      </w:r>
      <w:r>
        <w:t>20.11.2025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UDKAST TIL BETÆNKNING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om det europæiske semester for samordning af de økonomiske politikker: beskæftigelsesmæssige og sociale prioriteter – årsberetning 2026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(2025/2183(INI))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Udvalget om Beskæftigelse og Sociale Anliggender</w:t>
      </w:r>
      <w:r>
        <w:rPr>
          <w:rStyle w:val="HideTWBExt"/>
        </w:rPr>
        <w:t>&lt;/Commission&gt;</w:t>
      </w:r>
    </w:p>
    <w:p>
      <w:pPr>
        <w:pStyle w:val="CoverNormal24a"/>
      </w:pPr>
      <w:r>
        <w:t>Ordfører</w:t>
      </w:r>
      <w:r>
        <w:t xml:space="preserve">: </w:t>
      </w:r>
      <w:r>
        <w:rPr>
          <w:rStyle w:val="HideTWBExt"/>
        </w:rPr>
        <w:t>&lt;Depute&gt;</w:t>
      </w:r>
      <w:r>
        <w:t>Nela Riehl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INDHOLD</w:t>
      </w:r>
    </w:p>
    <w:p>
      <w:pPr>
        <w:pStyle w:val="TOCPage"/>
      </w:pPr>
      <w:r>
        <w:t>Side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FORSLAG TIL EUROPA-PARLAMENTETS BESLUTNING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FORSLAG TIL EUROPA-PARLAMENTETS BESLUTNING</w:t>
      </w:r>
      <w:bookmarkEnd w:id="0"/>
    </w:p>
    <w:p>
      <w:pPr>
        <w:pStyle w:val="NormalBold"/>
      </w:pPr>
      <w:r>
        <w:t>om det europæiske semester for samordning af de økonomiske politikker: beskæftigelsesmæssige og sociale prioriteter – årsberetning 2026</w:t>
      </w:r>
    </w:p>
    <w:p>
      <w:pPr>
        <w:pStyle w:val="NormalBold"/>
      </w:pPr>
    </w:p>
    <w:p>
      <w:pPr>
        <w:pStyle w:val="NormalBold12a"/>
      </w:pPr>
      <w:r>
        <w:t>(</w:t>
      </w:r>
      <w:r>
        <w:t>2025/2183(INI)</w:t>
      </w:r>
      <w:r>
        <w:t>)</w:t>
      </w:r>
    </w:p>
    <w:p>
      <w:pPr>
        <w:pStyle w:val="Normal12"/>
      </w:pPr>
      <w:r>
        <w:rPr>
          <w:i/>
        </w:rPr>
        <w:t>Europa-Parlamentet</w:t>
      </w:r>
      <w:r>
        <w:t>,</w:t>
      </w:r>
    </w:p>
    <w:p>
      <w:pPr>
        <w:pStyle w:val="NormalHanging"/>
      </w:pPr>
      <w:r>
        <w:t>–</w:t>
      </w:r>
      <w:r>
        <w:tab/>
      </w:r>
      <w:r>
        <w:t>der henviser til artikel 3 i traktaten om Den Europæiske Union,</w:t>
      </w:r>
    </w:p>
    <w:p>
      <w:pPr>
        <w:pStyle w:val="NormalHanging"/>
      </w:pPr>
      <w:r>
        <w:t>–</w:t>
      </w:r>
      <w:r>
        <w:tab/>
      </w:r>
      <w:r>
        <w:t>der henviser til artikel 9, 121, 148 og 149 i traktaten om Den Europæiske Unions funktionsmåde (TEUF),</w:t>
      </w:r>
    </w:p>
    <w:p>
      <w:pPr>
        <w:pStyle w:val="NormalHanging"/>
      </w:pPr>
      <w:r>
        <w:t>–</w:t>
      </w:r>
      <w:r>
        <w:tab/>
      </w:r>
      <w:r>
        <w:t>der henviser til den europæiske søjle for sociale rettigheder, der blev proklameret og undertegnet af Rådet, Parlamentet og Kommissionen den 17. november 2017,</w:t>
      </w:r>
    </w:p>
    <w:p>
      <w:pPr>
        <w:pStyle w:val="NormalHanging"/>
      </w:pPr>
      <w:r>
        <w:t>–</w:t>
      </w:r>
      <w:r>
        <w:tab/>
      </w:r>
      <w:r>
        <w:t>der henviser til Kommissionens meddelelse af XX. november 2026 om den årlige undersøgelse af bæredygtig vækst 2026,</w:t>
      </w:r>
    </w:p>
    <w:p>
      <w:pPr>
        <w:pStyle w:val="NormalHanging"/>
      </w:pPr>
      <w:r>
        <w:t>–</w:t>
      </w:r>
      <w:r>
        <w:tab/>
      </w:r>
      <w:r>
        <w:t>der henviser til Kommissionens forslag af XXX 2026 til Rådets og Kommissionens fælles rapport om beskæftigelsen,</w:t>
      </w:r>
    </w:p>
    <w:p>
      <w:pPr>
        <w:pStyle w:val="NormalHanging"/>
      </w:pPr>
      <w:r>
        <w:t>–</w:t>
      </w:r>
      <w:r>
        <w:tab/>
      </w:r>
      <w:r>
        <w:t>der henviser til Kommissionens henstilling af XXX 2026 med henblik på Rådets henstilling om den økonomiske politik i euroområdet,</w:t>
      </w:r>
    </w:p>
    <w:p>
      <w:pPr>
        <w:pStyle w:val="NormalHanging"/>
      </w:pPr>
      <w:r>
        <w:t>–</w:t>
      </w:r>
      <w:r>
        <w:tab/>
      </w:r>
      <w:r>
        <w:t>der henviser til Kommissionens rapport af XXX 2026 med titlen "Rapport om varslingsmekanismen 2025",</w:t>
      </w:r>
    </w:p>
    <w:p>
      <w:pPr>
        <w:pStyle w:val="NormalHanging"/>
      </w:pPr>
      <w:r>
        <w:t>–</w:t>
      </w:r>
      <w:r>
        <w:tab/>
      </w:r>
      <w:r>
        <w:t>der henviser til Kommissionens meddelelse af XX. november 2026 med titlen "Udkast til budgetplaner for 2025: Samlet vurdering",</w:t>
      </w:r>
    </w:p>
    <w:p>
      <w:pPr>
        <w:pStyle w:val="NormalHanging"/>
      </w:pPr>
      <w:r>
        <w:t>–</w:t>
      </w:r>
      <w:r>
        <w:tab/>
      </w:r>
      <w:r>
        <w:t>der henviser til Mario Draghis rapport med titlen "Fremtiden for den europæiske konkurrenceevne", som blev offentliggjort i september 2024,</w:t>
      </w:r>
    </w:p>
    <w:p>
      <w:pPr>
        <w:pStyle w:val="NormalHanging"/>
      </w:pPr>
      <w:r>
        <w:t>–</w:t>
      </w:r>
      <w:r>
        <w:tab/>
      </w:r>
      <w:r>
        <w:t>der henviser til Enrico Lettas rapport om det indre markeds fremtid med titlen "More than a Market", der blev offentliggjort i april 2024,</w:t>
      </w:r>
    </w:p>
    <w:p>
      <w:pPr>
        <w:pStyle w:val="NormalHanging"/>
      </w:pPr>
      <w:r>
        <w:t>–</w:t>
      </w:r>
      <w:r>
        <w:tab/>
      </w:r>
      <w:r>
        <w:t>der henviser til Rapporten fra Gruppen på Højt Plan vedrørende Fremtiden for Social Beskyttelse og Velfærdsstaten i EU, der blev offentliggjort i januar 2023,</w:t>
      </w:r>
    </w:p>
    <w:p>
      <w:pPr>
        <w:pStyle w:val="NormalHanging"/>
      </w:pPr>
      <w:r>
        <w:t>–</w:t>
      </w:r>
      <w:r>
        <w:tab/>
      </w:r>
      <w:r>
        <w:t>der henviser til forretningsordenens artikel 55,</w:t>
      </w:r>
    </w:p>
    <w:p>
      <w:pPr>
        <w:pStyle w:val="NormalHanging"/>
      </w:pPr>
      <w:r>
        <w:t>–</w:t>
      </w:r>
      <w:r>
        <w:tab/>
      </w:r>
      <w:r>
        <w:t>der henviser til betænkning fra Udvalget om Beskæftigelse og Sociale Anliggender (A10-0000/2025),</w:t>
      </w:r>
    </w:p>
    <w:p>
      <w:pPr>
        <w:pStyle w:val="NormalHanging"/>
      </w:pPr>
      <w:r>
        <w:t>A.</w:t>
      </w:r>
      <w:r>
        <w:tab/>
      </w:r>
      <w:r>
        <w:t>der henviser til, at arbejdsløsheden i EU i juni 2025 var på 5,9 %, mens ungdomsarbejdsløsheden fortsat er høj, nemlig 14,7 %; der henviser til, at højere beskæftigelsesniveauer ikke fuldt ud modsvares af jobkvalitet, lønstigninger og højere produktivitet;</w:t>
      </w:r>
    </w:p>
    <w:p>
      <w:pPr>
        <w:pStyle w:val="NormalHanging"/>
      </w:pPr>
      <w:r>
        <w:t>B.</w:t>
      </w:r>
      <w:r>
        <w:tab/>
      </w:r>
      <w:r>
        <w:t>der henviser til, at det europæiske semester fortsat er et centralt instrument til koordinering af den økonomiske politik, finanspolitikken, beskæftigelsespolitikken og socialpolitikken i hele EU og dermed giver mulighed for at integrere social, miljømæssig og generationsmæssig retfærdighed mere systematisk i den makroøkonomiske styring;</w:t>
      </w:r>
    </w:p>
    <w:p>
      <w:pPr>
        <w:pStyle w:val="NormalHanging"/>
      </w:pPr>
      <w:r>
        <w:t>C.</w:t>
      </w:r>
      <w:r>
        <w:tab/>
      </w:r>
      <w:r>
        <w:t>der henviser til, at 21 % af EU's befolkning var truet af fattigdom eller social udstødelse (AROPE) i 2024; der henviser til, at der ikke gøres tilstrækkelige fremskridt hen imod målet om at reducere antallet af børn i risiko for fattigdom eller social udstødelse med 5 millioner inden 2030;</w:t>
      </w:r>
    </w:p>
    <w:p>
      <w:pPr>
        <w:pStyle w:val="NormalHanging"/>
      </w:pPr>
      <w:r>
        <w:t>D.</w:t>
      </w:r>
      <w:r>
        <w:tab/>
      </w:r>
      <w:r>
        <w:t>der henviser til, at klimaændringer og miljøødelæggelser har forværret ulighederne og påvirket de mest sårbare grupper; der henviser til, at omstillingen til klimaneutralitet forventes at skabe ca. 2,5 mio. yderligere arbejdspladser;</w:t>
      </w:r>
    </w:p>
    <w:p>
      <w:pPr>
        <w:pStyle w:val="NormalHanging"/>
      </w:pPr>
      <w:r>
        <w:t>E.</w:t>
      </w:r>
      <w:r>
        <w:tab/>
      </w:r>
      <w:r>
        <w:t>der henviser til, at boligomkostningspres og høje energipriser pålægger husholdningerne betydelige byrder, men at boligpolitikken ofte har været underrepræsenteret i de landespecifikke henstillinger;</w:t>
      </w:r>
    </w:p>
    <w:p>
      <w:pPr>
        <w:pStyle w:val="NormalHanging"/>
      </w:pPr>
      <w:r>
        <w:t>F.</w:t>
      </w:r>
      <w:r>
        <w:tab/>
      </w:r>
      <w:r>
        <w:t>der henviser til, at EU står over for en vedvarende mangel på arbejdstagere og færdigheder på grund af en række faktorer, herunder dårlig jobkvalitet;</w:t>
      </w:r>
    </w:p>
    <w:p>
      <w:pPr>
        <w:pStyle w:val="NormalHanging"/>
      </w:pPr>
      <w:r>
        <w:t>G.</w:t>
      </w:r>
      <w:r>
        <w:tab/>
      </w:r>
      <w:r>
        <w:t>der henviser til, at data viser, at der er behov for en større indsats i de fleste medlemsstater for at nå målet om, at 60 % af alle voksne skal deltage i uddannelse senest i 2030; der henviser til, at den integrerede tilgang til politikkoordinering inden for det europæiske semester udgør rammen for at styre de nødvendige investeringer i udvikling af menneskelig kapital og uddannelses- og erhvervsuddannelsessystemer;</w:t>
      </w:r>
    </w:p>
    <w:p>
      <w:pPr>
        <w:pStyle w:val="NormalHanging"/>
      </w:pPr>
      <w:r>
        <w:t>H.</w:t>
      </w:r>
      <w:r>
        <w:tab/>
      </w:r>
      <w:r>
        <w:t>der henviser til, at behovet for yderligere investeringer i social infrastruktur er blevet anslået til 192 mia. EUR om året, herunder i økonomisk overkommelige boliger, sundheds- og langtidspleje, uddannelse og livslang læring</w:t>
      </w:r>
      <w:r>
        <w:rPr>
          <w:rStyle w:val="FootnoteReference"/>
        </w:rPr>
        <w:footnoteReference w:customMarkFollows="1" w:id="2"/>
        <w:t xml:space="preserve">1</w:t>
      </w:r>
      <w:r>
        <w:t>; der henviser til, at der er behov for en yderligere indsats for at måle den sociale investeringskløft i EU samt det økonomiske afkast af sociale investeringer;</w:t>
      </w:r>
    </w:p>
    <w:p>
      <w:pPr>
        <w:pStyle w:val="NormalHanging12a"/>
      </w:pPr>
      <w:r>
        <w:t>1.</w:t>
      </w:r>
      <w:r>
        <w:tab/>
      </w:r>
      <w:r>
        <w:t>understreger den konkurrencemæssige fordel ved at investere i EU's sociale model; opfordrer til, at anbefalingerne fra Gruppen på Højt Plan vedrørende Fremtiden for Social Beskyttelse og Velfærdsstaten samt anbefalingerne i Letta- og Draghi-rapporterne integreres i processen med det europæiske semester;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rettigheder; opfordrer til, at den integrerede forvaltningsramme afspejles i EU-institutionernes interne processer, hvor deres økonomiske og sociale organer inddrages i lige stort omfang;</w:t>
      </w:r>
    </w:p>
    <w:p>
      <w:pPr>
        <w:pStyle w:val="NormalHanging12a"/>
      </w:pPr>
      <w:r>
        <w:t>2.</w:t>
      </w:r>
      <w:r>
        <w:tab/>
      </w:r>
      <w:r>
        <w:t>mener, at Kommissionen og Rådet bør styrke deres bestræbelser på at gennemføre den europæiske søjle for sociale rettigheder; opfordrer til, at målene i handlingsplanen for den europæiske søjle for sociale rettigheder integreres i kernen af det europæiske semester ved at gøre dem til benchmarks i vurderingerne af det europæiske semester;</w:t>
      </w:r>
    </w:p>
    <w:p>
      <w:pPr>
        <w:pStyle w:val="NormalHanging12a"/>
      </w:pPr>
      <w:r>
        <w:t>3.</w:t>
      </w:r>
      <w:r>
        <w:tab/>
      </w:r>
      <w:r>
        <w:t>glæder sig over Kommissionens ambition om at udrydde fattigdom senest i 2050 og dens hensigt om at foreslå en retsakt om kvalitetsjob; understreger behovet for sammenhæng mellem det europæiske semester, opfølgningen på handlingsplanen for den europæiske søjle for sociale rettigheder og disse kommende instrumenter med målbare mål og tilsvarende landespecifikke henstillinger;</w:t>
      </w:r>
    </w:p>
    <w:p>
      <w:pPr>
        <w:pStyle w:val="NormalHanging12a"/>
      </w:pPr>
      <w:r>
        <w:t>4.</w:t>
      </w:r>
      <w:r>
        <w:tab/>
      </w:r>
      <w:r>
        <w:t>glæder sig over den permanente medtagelse af rammen for social konvergens i det europæiske semester; understreger dens betydning sammen med den sociale resultattavle for at kortlægge risici og spore fremskridt med hensyn til opadgående social konvergens;</w:t>
      </w:r>
    </w:p>
    <w:p>
      <w:pPr>
        <w:pStyle w:val="NormalHanging12a"/>
      </w:pPr>
      <w:r>
        <w:t>5.</w:t>
      </w:r>
      <w:r>
        <w:tab/>
      </w:r>
      <w:r>
        <w:t>minder om, at sociale investeringer kan have en positiv indvirkning på økonomisk vækst, produktivitet og konkurrenceevne og dermed også støtte finanspolitisk holdbarhed og samtidig fremme opadgående social konvergens; opfordrer Kommissionen og Rådet til at behandle sociale investeringer som grundlæggende for bæredygtig vækst;</w:t>
      </w:r>
    </w:p>
    <w:p>
      <w:pPr>
        <w:pStyle w:val="NormalHanging12a"/>
      </w:pPr>
      <w:r>
        <w:t>6.</w:t>
      </w:r>
      <w:r>
        <w:tab/>
      </w:r>
      <w:r>
        <w:t>understreger, at Kommissionens plan for økonomisk overkommelige boliger bør integreres bedre i det europæiske semester med et stærkere fokus på økonomisk overkommelige, bæredygtige og anstændige boliger i de landespecifikke henstillinger; minder underskriverne af Lissabonerklæringen om den europæiske platform for bekæmpelse af hjemløshed om målet om at udrydde hjemløshed senest i 2030;</w:t>
      </w:r>
    </w:p>
    <w:p>
      <w:pPr>
        <w:pStyle w:val="NormalHanging12a"/>
      </w:pPr>
      <w:r>
        <w:t>7.</w:t>
      </w:r>
      <w:r>
        <w:tab/>
      </w:r>
      <w:r>
        <w:t>understreger, at investeringer i uddannelse, opkvalificering og omskoling er en strategisk social investering med langsigtede afkast for konkurrenceevne og samhørighed;</w:t>
      </w:r>
    </w:p>
    <w:p>
      <w:pPr>
        <w:pStyle w:val="NormalHanging12a"/>
      </w:pPr>
      <w:r>
        <w:t>8.</w:t>
      </w:r>
      <w:r>
        <w:tab/>
      </w:r>
      <w:r>
        <w:t>understreger, at retfærdighed mellem generationerne skal blive et strukturelt element i det europæiske semester; opfordrer Kommissionen til som led i sin strategi for retfærdighed mellem generationerne at integrere indikatorer for unges trivsel, adgang til kvalitetsjob, økonomisk overkommelige boliger, uddannelse og færdigheder i vurderingsrammen for det europæiske semester og til systematisk at evaluere de langsigtede virkninger af finanspolitiske henstillinger og reformhenstillinger;</w:t>
      </w:r>
    </w:p>
    <w:p>
      <w:pPr>
        <w:pStyle w:val="NormalHanging12a"/>
      </w:pPr>
      <w:r>
        <w:t>9.</w:t>
      </w:r>
      <w:r>
        <w:tab/>
      </w:r>
      <w:r>
        <w:t>anerkender, at medlemsstaterne har forpligtet sig til at investere 5 % af BNP årligt i centrale forsvarsbehov og dermed forbundne sikkerhedsudgifter senest i 2035, herunder gennem aktivering af den nationale undtagelsesklausul; understreger, at sådanne udgifter inden for rammerne af det europæiske semester skal planlægges på en koordineret måde;</w:t>
      </w:r>
    </w:p>
    <w:p>
      <w:pPr>
        <w:pStyle w:val="NormalHanging12a"/>
      </w:pPr>
      <w:r>
        <w:t>10.</w:t>
      </w:r>
      <w:r>
        <w:tab/>
      </w:r>
      <w:r>
        <w:t>bemærker, at henstillingerne fra det europæiske semester i 2026 vil spille en afgørende rolle i udformningen af de nationale og regionale partnerskabsplaner; mener, at reformer og investeringer bør udvælges på grundlag af den effektivitet, hvormed de efterkommer de relevante landespecifikke henstillinger;</w:t>
      </w:r>
    </w:p>
    <w:p>
      <w:pPr>
        <w:pStyle w:val="NormalHanging12a"/>
      </w:pPr>
      <w:r>
        <w:t>11.</w:t>
      </w:r>
      <w:r>
        <w:tab/>
      </w:r>
      <w:r>
        <w:t>støtter en mere demokratisk proces med det europæiske semester, hvor Parlamentet er stærkt involveret i fastsættelsen af prioriteter for den økonomiske politik og vedtagelsen af beslutninger om økonomisk styring; insisterer på systematisk inddragelse af arbejdsmarkedets parter, civilsamfundsorganisationer og regionale og lokale aktører i processen med det europæiske semester;</w:t>
      </w:r>
    </w:p>
    <w:p>
      <w:pPr>
        <w:pStyle w:val="NormalHanging12a"/>
      </w:pPr>
      <w:r>
        <w:t>12.</w:t>
      </w:r>
      <w:r>
        <w:tab/>
      </w:r>
      <w:r>
        <w:t>pålægger sin formand at sende denne beslutning til Rådet og Kommissionen.</w:t>
      </w:r>
    </w:p>
    <w:sectPr>
      <w:footerReference w:type="even" r:id="rId6"/>
      <w:footerReference w:type="default" r:id="rId7"/>
      <w:footerReference w:type="first" r:id="rId8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rPr>
        <w:rStyle w:val="HideTWBExt"/>
      </w:rPr>
      <w:t>&lt;PathFdR&gt;</w:t>
    </w:r>
    <w:r>
      <w:t>PR\1331649DA.docx</w:t>
    </w:r>
    <w:r>
      <w:rPr>
        <w:rStyle w:val="HideTWBExt"/>
      </w:rPr>
      <w:t>&lt;/PathFdR&gt;</w:t>
    </w:r>
  </w:p>
  <w:p>
    <w:pPr>
      <w:pStyle w:val="EPFooter2"/>
    </w:pPr>
    <w:r>
      <w:t>DA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PR\1331649DA.docx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DA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PR\1331649DA.docx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DA</w:t>
    </w:r>
    <w:r>
      <w:tab/>
    </w:r>
    <w:r>
      <w:rPr>
        <w:rStyle w:val="EPFooter2Motto"/>
      </w:rPr>
      <w:t>Forenet i mangfoldighed</w:t>
    </w:r>
    <w:r>
      <w:tab/>
    </w:r>
    <w:r>
      <w:t>DA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>Arbejdsdokument fra Kommissionens tjenestegrene af 27. maj 2020 med titlen "Identifying Europe's recovery needs" (SWD(2020)0098), der ledsager Kommissionens meddelelse med titlen "Et vigtigt øjeblik for Europa: Genopretning og forberedelser til den næste generation" (COM(2020)0456).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1194</Words>
  <Characters>7468</Characters>
  <Application>Microsoft Office Word</Application>
  <DocSecurity>0</DocSecurity>
  <Lines>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1331649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301254</vt:lpwstr>
  </property>
  <property fmtid="{D5CDD505-2E9C-101B-9397-08002B2CF9AE}" pid="7" name="dmxml.render.traceId">
    <vt:lpwstr>69303238ae97d778266dec70b3b101d0</vt:lpwstr>
  </property>
  <property fmtid="{D5CDD505-2E9C-101B-9397-08002B2CF9AE}" pid="8" name="FooterPath">
    <vt:lpwstr>PR\1331649DA.doc</vt:lpwstr>
  </property>
  <property fmtid="{D5CDD505-2E9C-101B-9397-08002B2CF9AE}" pid="9" name="PE Number">
    <vt:lpwstr>779.558</vt:lpwstr>
  </property>
  <property fmtid="{D5CDD505-2E9C-101B-9397-08002B2CF9AE}" pid="10" name="UID">
    <vt:lpwstr>eu.europa.europarl-DIN1-2025-0000214726_01.07-da-01.00_text-xml</vt:lpwstr>
  </property>
</Properties>
</file>