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{EMPL}</w:t>
      </w:r>
      <w:r>
        <w:t>Επιτροπή Απασχόλησης και Κοινωνικών Υποθέσεων</w:t>
      </w:r>
      <w:r>
        <w:rPr>
          <w:rStyle w:val="HideTWBExt"/>
        </w:rPr>
        <w:t>&lt;/Commission&gt;</w:t>
      </w:r>
    </w:p>
    <w:p>
      <w:pPr>
        <w:pStyle w:val="LineBottom"/>
      </w:pPr>
      <w:r>
        <w:t xml:space="preserve"> </w:t>
      </w:r>
    </w:p>
    <w:p>
      <w:pPr>
        <w:pStyle w:val="CoverReference"/>
      </w:pPr>
      <w:r>
        <w:rPr>
          <w:rStyle w:val="HideTWBExt"/>
        </w:rPr>
        <w:t>&lt;RefProc&gt;</w:t>
      </w:r>
      <w:r>
        <w:t>2025/2183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{20/11/2025}</w:t>
      </w:r>
      <w:r>
        <w:t>20.11.2025</w:t>
      </w:r>
      <w:r>
        <w:rPr>
          <w:rStyle w:val="HideTWBExt"/>
        </w:rPr>
        <w:t>&lt;/Date&gt;</w:t>
      </w:r>
    </w:p>
    <w:p>
      <w:pPr>
        <w:pStyle w:val="CoverDocType24a"/>
      </w:pPr>
      <w:r>
        <w:rPr>
          <w:rStyle w:val="HideTWBExt"/>
        </w:rPr>
        <w:t>&lt;TitreType&gt;</w:t>
      </w:r>
      <w:r>
        <w:t>ΣΧΕΔΙΟ ΕΚΘΕΣΗΣ</w:t>
      </w:r>
      <w:r>
        <w:rPr>
          <w:rStyle w:val="HideTWBExt"/>
        </w:rPr>
        <w:t>&lt;/TitreType&gt;</w:t>
      </w:r>
    </w:p>
    <w:p>
      <w:pPr>
        <w:pStyle w:val="CoverNormal"/>
      </w:pPr>
      <w:r>
        <w:rPr>
          <w:rStyle w:val="HideTWBExt"/>
        </w:rPr>
        <w:t>&lt;Titre&gt;</w:t>
      </w:r>
      <w:r>
        <w:t>σχετικά με το Ευρωπαϊκό Εξάμηνο για τον συντονισμό των οικονομικών πολιτικών: απασχόληση και κοινωνικές προτεραιότητες — ετήσια έκθεση 2026</w:t>
      </w:r>
      <w:r>
        <w:rPr>
          <w:rStyle w:val="HideTWBExt"/>
        </w:rPr>
        <w:t>&lt;/Titre&gt;</w:t>
      </w:r>
    </w:p>
    <w:p>
      <w:pPr>
        <w:pStyle w:val="CoverNormal24a"/>
      </w:pPr>
      <w:r>
        <w:rPr>
          <w:rStyle w:val="HideTWBExt"/>
        </w:rPr>
        <w:t>&lt;DocRef&gt;</w:t>
      </w:r>
      <w:r>
        <w:t>(2025/2183(INI))</w:t>
      </w:r>
      <w:r>
        <w:rPr>
          <w:rStyle w:val="HideTWBExt"/>
        </w:rPr>
        <w:t>&lt;/DocRef&gt;</w:t>
      </w:r>
    </w:p>
    <w:p>
      <w:pPr>
        <w:pStyle w:val="CoverNormal24a"/>
      </w:pPr>
      <w:r>
        <w:rPr>
          <w:rStyle w:val="HideTWBExt"/>
        </w:rPr>
        <w:t>&lt;Commission&gt;</w:t>
      </w:r>
      <w:r>
        <w:rPr>
          <w:rStyle w:val="HideTWBInt"/>
        </w:rPr>
        <w:t>{EMPL}</w:t>
      </w:r>
      <w:r>
        <w:t>Επιτροπή Απασχόλησης και Κοινωνικών Υποθέσεων</w:t>
      </w:r>
      <w:r>
        <w:rPr>
          <w:rStyle w:val="HideTWBExt"/>
        </w:rPr>
        <w:t>&lt;/Commission&gt;</w:t>
      </w:r>
    </w:p>
    <w:p>
      <w:pPr>
        <w:pStyle w:val="CoverNormal24a"/>
      </w:pPr>
      <w:r>
        <w:t>Εισηγήτρια</w:t>
      </w:r>
      <w:r>
        <w:t xml:space="preserve">: </w:t>
      </w:r>
      <w:r>
        <w:rPr>
          <w:rStyle w:val="HideTWBExt"/>
        </w:rPr>
        <w:t>&lt;Depute&gt;</w:t>
      </w:r>
      <w:r>
        <w:t>Nela Riehl</w:t>
      </w:r>
      <w:r>
        <w:rPr>
          <w:rStyle w:val="HideTWBExt"/>
        </w:rPr>
        <w:t>&lt;/Depute&gt;</w:t>
      </w:r>
    </w:p>
    <w:p>
      <w:r>
        <w:br w:type="page"/>
      </w:r>
      <w:r>
        <w:t>PR_INI</w:t>
      </w:r>
    </w:p>
    <w:p>
      <w:pPr>
        <w:pStyle w:val="TOCHeading"/>
      </w:pPr>
      <w:r>
        <w:t>ΠΕΡΙΕΧΟΜΕNA</w:t>
      </w:r>
    </w:p>
    <w:p>
      <w:pPr>
        <w:pStyle w:val="TOCPage"/>
      </w:pPr>
      <w:r>
        <w:t>Σελίδα</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ΠΡΟΤΑΣΗ ΨΗΦΙΣΜΑΤΟΣ ΤΟΥ ΕΥΡΩΠΑΪΚΟΥ ΚΟΙΝΟΒΟΥΛΙΟΥ</w:t>
      </w:r>
      <w:r>
        <w:tab/>
      </w:r>
      <w:r>
        <w:fldChar w:fldCharType="begin"/>
      </w:r>
      <w:r>
        <w:instrText xml:space="preserve"> PAGEREF _Toc256000000 \h </w:instrText>
      </w:r>
      <w:r>
        <w:fldChar w:fldCharType="separate"/>
      </w:r>
      <w:r>
        <w:t>3</w:t>
      </w:r>
      <w:r>
        <w:fldChar w:fldCharType="end"/>
      </w:r>
    </w:p>
    <w:p>
      <w:pPr>
        <w:pStyle w:val="TOC1"/>
      </w:pPr>
      <w:r>
        <w:fldChar w:fldCharType="end"/>
      </w:r>
    </w:p>
    <w:p>
      <w:r>
        <w:br w:type="page"/>
      </w:r>
    </w:p>
    <w:p>
      <w:pPr>
        <w:pStyle w:val="PageHeading"/>
      </w:pPr>
      <w:bookmarkStart w:id="0" w:name="_Toc256000000"/>
      <w:r>
        <w:t>ΠΡΟΤΑΣΗ ΨΗΦΙΣΜΑΤΟΣ ΤΟΥ ΕΥΡΩΠΑΪΚΟΥ ΚΟΙΝΟΒΟΥΛΙΟΥ</w:t>
      </w:r>
      <w:bookmarkEnd w:id="0"/>
    </w:p>
    <w:p>
      <w:pPr>
        <w:pStyle w:val="NormalBold"/>
      </w:pPr>
      <w:r>
        <w:t>σχετικά με το Ευρωπαϊκό Εξάμηνο για τον συντονισμό των οικονομικών πολιτικών: απασχόληση και κοινωνικές προτεραιότητες — ετήσια έκθεση 2026</w:t>
      </w:r>
    </w:p>
    <w:p>
      <w:pPr>
        <w:pStyle w:val="NormalBold"/>
      </w:pPr>
    </w:p>
    <w:p>
      <w:pPr>
        <w:pStyle w:val="NormalBold12a"/>
      </w:pPr>
      <w:r>
        <w:t>(</w:t>
      </w:r>
      <w:r>
        <w:t>2025/2183(INI)</w:t>
      </w:r>
      <w:r>
        <w:t>)</w:t>
      </w:r>
    </w:p>
    <w:p>
      <w:pPr>
        <w:pStyle w:val="Normal12"/>
      </w:pPr>
      <w:r>
        <w:rPr>
          <w:i/>
        </w:rPr>
        <w:t>Το Ευρωπαϊκό Κοινοβούλιο</w:t>
      </w:r>
      <w:r>
        <w:t>,</w:t>
      </w:r>
    </w:p>
    <w:p>
      <w:pPr>
        <w:pStyle w:val="NormalHanging"/>
      </w:pPr>
      <w:r>
        <w:t>–</w:t>
      </w:r>
      <w:r>
        <w:tab/>
      </w:r>
      <w:r>
        <w:t>έχοντας υπόψη το άρθρο 3 της Συνθήκης για την Ευρωπαϊκή Ένωση,</w:t>
      </w:r>
    </w:p>
    <w:p>
      <w:pPr>
        <w:pStyle w:val="NormalHanging"/>
      </w:pPr>
      <w:r>
        <w:t>–</w:t>
      </w:r>
      <w:r>
        <w:tab/>
      </w:r>
      <w:r>
        <w:t>έχοντας υπόψη τα άρθρα 9, 121, 148 και 149 της Συνθήκης για τη λειτουργία της Ευρωπαϊκής Ένωσης (ΣΛΕΕ),</w:t>
      </w:r>
    </w:p>
    <w:p>
      <w:pPr>
        <w:pStyle w:val="NormalHanging"/>
      </w:pPr>
      <w:r>
        <w:t>–</w:t>
      </w:r>
      <w:r>
        <w:tab/>
      </w:r>
      <w:r>
        <w:t>έχοντας υπόψη τον ευρωπαϊκό πυλώνα κοινωνικών δικαιωμάτων που διακηρύχθηκε και υπογράφηκε από το Συμβούλιο, το Κοινοβούλιο και την Επιτροπή στις 17 Νοεμβρίου 2017,</w:t>
      </w:r>
    </w:p>
    <w:p>
      <w:pPr>
        <w:pStyle w:val="NormalHanging"/>
      </w:pPr>
      <w:r>
        <w:t>–</w:t>
      </w:r>
      <w:r>
        <w:tab/>
      </w:r>
      <w:r>
        <w:t>έχοντας υπόψη την ανακοίνωση της Επιτροπής, της XX Νοεμβρίου 2026, σχετικά με την ετήσια έρευνα για τη βιώσιμη ανάπτυξη για το έτος 2026,</w:t>
      </w:r>
    </w:p>
    <w:p>
      <w:pPr>
        <w:pStyle w:val="NormalHanging"/>
      </w:pPr>
      <w:r>
        <w:t>–</w:t>
      </w:r>
      <w:r>
        <w:tab/>
      </w:r>
      <w:r>
        <w:t>έχοντας υπόψη την πρόταση της Επιτροπής, της ΧΧΧ 2026, για μια κοινή έκθεση για την απασχόληση από την Επιτροπή και το Συμβούλιο,</w:t>
      </w:r>
    </w:p>
    <w:p>
      <w:pPr>
        <w:pStyle w:val="NormalHanging"/>
      </w:pPr>
      <w:r>
        <w:t>–</w:t>
      </w:r>
      <w:r>
        <w:tab/>
      </w:r>
      <w:r>
        <w:t>έχοντας υπόψη τη σύσταση της Επιτροπής, της ΧΧΧ 2026, για σύσταση του Συμβουλίου σχετικά με την οικονομική πολιτική της ζώνης του ευρώ,</w:t>
      </w:r>
    </w:p>
    <w:p>
      <w:pPr>
        <w:pStyle w:val="NormalHanging"/>
      </w:pPr>
      <w:r>
        <w:t>–</w:t>
      </w:r>
      <w:r>
        <w:tab/>
      </w:r>
      <w:r>
        <w:t>έχοντας υπόψη την έκθεση της Επιτροπής, της ΧΧΧ 2026, με τίτλο «Έκθεση του μηχανισμού επαγρύπνησης 2025»,</w:t>
      </w:r>
    </w:p>
    <w:p>
      <w:pPr>
        <w:pStyle w:val="NormalHanging"/>
      </w:pPr>
      <w:r>
        <w:t>–</w:t>
      </w:r>
      <w:r>
        <w:tab/>
      </w:r>
      <w:r>
        <w:t>έχοντας υπόψη την ανακοίνωση της Επιτροπής, της ΧΧ Νοεμβρίου 2026, με τίτλο «Σχέδια δημοσιονομικών προγραμμάτων για το 2025: συνολική αξιολόγηση»,</w:t>
      </w:r>
    </w:p>
    <w:p>
      <w:pPr>
        <w:pStyle w:val="NormalHanging"/>
      </w:pPr>
      <w:r>
        <w:t>–</w:t>
      </w:r>
      <w:r>
        <w:tab/>
      </w:r>
      <w:r>
        <w:t>έχοντας υπόψη την έκθεση του Mario Draghi, με τίτλο «The future of European competitiveness» (Το μέλλον της ευρωπαϊκής ανταγωνιστικότητας), που δημοσιεύτηκε τον Σεπτέμβριο του 2024,</w:t>
      </w:r>
    </w:p>
    <w:p>
      <w:pPr>
        <w:pStyle w:val="NormalHanging"/>
      </w:pPr>
      <w:r>
        <w:t>–</w:t>
      </w:r>
      <w:r>
        <w:tab/>
      </w:r>
      <w:r>
        <w:t>έχοντας υπόψη την έκθεση του Enrico Letta σχετικά με το μέλλον της ενιαίας αγοράς, με τίτλο «More than a Market» (Πολύ περισσότερο από μια απλή αγορά), η οποία δημοσιεύτηκε τον Απρίλιο του 2024,</w:t>
      </w:r>
    </w:p>
    <w:p>
      <w:pPr>
        <w:pStyle w:val="NormalHanging"/>
      </w:pPr>
      <w:r>
        <w:t>–</w:t>
      </w:r>
      <w:r>
        <w:tab/>
      </w:r>
      <w:r>
        <w:t>έχοντας υπόψη την έκθεση της ομάδας υψηλού επιπέδου για το μέλλον της κοινωνικής προστασίας και του κράτους πρόνοιας στην ΕΕ, που δημοσιεύθηκε τον Ιανουάριο του 2023,</w:t>
      </w:r>
    </w:p>
    <w:p>
      <w:pPr>
        <w:pStyle w:val="NormalHanging"/>
      </w:pPr>
      <w:r>
        <w:t>–</w:t>
      </w:r>
      <w:r>
        <w:tab/>
      </w:r>
      <w:r>
        <w:t>έχοντας υπόψη το άρθρο 55 του Κανονισμού του,</w:t>
      </w:r>
    </w:p>
    <w:p>
      <w:pPr>
        <w:pStyle w:val="NormalHanging"/>
      </w:pPr>
      <w:r>
        <w:t>–</w:t>
      </w:r>
      <w:r>
        <w:tab/>
      </w:r>
      <w:r>
        <w:t>έχοντας υπόψη την έκθεση της Επιτροπής Απασχόλησης και Κοινωνικών Υποθέσεων (A10-0000/2025),</w:t>
      </w:r>
    </w:p>
    <w:p>
      <w:pPr>
        <w:pStyle w:val="NormalHanging"/>
      </w:pPr>
      <w:r>
        <w:t>Α.</w:t>
      </w:r>
      <w:r>
        <w:tab/>
      </w:r>
      <w:r>
        <w:t>λαμβάνοντας υπόψη ότι τον Ιούνιο του 2025, το ποσοστό ανεργίας στην ΕΕ ήταν 5,9 %, ενώ η ανεργία των νέων παραμένει υψηλή, στο 14,7 %· λαμβάνοντας υπόψη ότι τα υψηλότερα επίπεδα απασχόλησης δεν συνεπάγονται απαραίτητα ποιοτικές θέσεις εργασίας, αυξήσεις των μισθών και αύξηση της παραγωγικότητας·</w:t>
      </w:r>
    </w:p>
    <w:p>
      <w:pPr>
        <w:pStyle w:val="NormalHanging"/>
      </w:pPr>
      <w:r>
        <w:t>Β.</w:t>
      </w:r>
      <w:r>
        <w:tab/>
      </w:r>
      <w:r>
        <w:t>λαμβάνοντας υπόψη ότι το Ευρωπαϊκό Εξάμηνο παραμένει ένα βασικό μέσο για τον συντονισμό της οικονομικής, δημοσιονομικής, κοινωνικής πολιτικής και της πολιτικής απασχόλησης σε ολόκληρη την ΕΕ και, ως εκ τούτου, προσφέρει την ευκαιρία να ενσωματωθεί πιο συστηματικά η κοινωνική, περιβαλλοντική και διαγενεακή δικαιοσύνη στη μακροοικονομική διακυβέρνηση·</w:t>
      </w:r>
    </w:p>
    <w:p>
      <w:pPr>
        <w:pStyle w:val="NormalHanging"/>
      </w:pPr>
      <w:r>
        <w:t>Γ.</w:t>
      </w:r>
      <w:r>
        <w:tab/>
      </w:r>
      <w:r>
        <w:t>λαμβάνοντας υπόψη ότι, το 2024, το 21 % του πληθυσμού της ΕΕ διέτρεχε κίνδυνο φτώχειας ή κοινωνικού αποκλεισμού (AROPE)· λαμβάνοντας υπόψη ότι δεν έχει σημειωθεί επαρκής πρόοδος προς την επίτευξη του στόχου της μείωσης του αριθμού των παιδιών που διατρέχουν κίνδυνο φτώχειας ή κοινωνικού αποκλεισμού κατά 5 εκατομμύρια έως το 2030·</w:t>
      </w:r>
    </w:p>
    <w:p>
      <w:pPr>
        <w:pStyle w:val="NormalHanging"/>
      </w:pPr>
      <w:r>
        <w:t>Δ.</w:t>
      </w:r>
      <w:r>
        <w:tab/>
      </w:r>
      <w:r>
        <w:t>λαμβάνοντας υπόψη ότι η κλιματική αλλαγή και η καταστροφή του περιβάλλοντος έχουν οξύνει τις ανισότητες και έχουν επηρεάσει τις πιο ευάλωτες ομάδες· λαμβάνοντας υπόψη ότι η μετάβαση προς την κλιματική ουδετερότητα αναμένεται να δημιουργήσει περίπου 2,5 εκατομμύρια πρόσθετες θέσεις εργασίας·</w:t>
      </w:r>
    </w:p>
    <w:p>
      <w:pPr>
        <w:pStyle w:val="NormalHanging"/>
      </w:pPr>
      <w:r>
        <w:t>Ε.</w:t>
      </w:r>
      <w:r>
        <w:tab/>
      </w:r>
      <w:r>
        <w:t>λαμβάνοντας υπόψη ότι οι πιέσεις από το κόστος στέγασης και οι υψηλές τιμές της ενέργειας επιβαρύνουν σημαντικά τα νοικοκυριά, ωστόσο η στεγαστική πολιτική συχνά υποεκπροσωπείται στις ειδικές ανά χώρα συστάσεις·</w:t>
      </w:r>
    </w:p>
    <w:p>
      <w:pPr>
        <w:pStyle w:val="NormalHanging"/>
      </w:pPr>
      <w:r>
        <w:t>ΣΤ.</w:t>
      </w:r>
      <w:r>
        <w:tab/>
      </w:r>
      <w:r>
        <w:t>λαμβάνοντας υπόψη ότι η ΕΕ αντιμετωπίζει μια συνεχή έλλειψη εργαζομένων και δεξιοτήτων, λόγω διαφόρων παραγόντων, συμπεριλαμβανομένης της κακής ποιότητας των θέσεων εργασίας·</w:t>
      </w:r>
    </w:p>
    <w:p>
      <w:pPr>
        <w:pStyle w:val="NormalHanging"/>
      </w:pPr>
      <w:r>
        <w:t>Ζ.</w:t>
      </w:r>
      <w:r>
        <w:tab/>
      </w:r>
      <w:r>
        <w:t>λαμβάνοντας υπόψη ότι, σύμφωνα με τα στοιχεία, απαιτούνται περισσότερες προσπάθειες στα περισσότερα κράτη μέλη για την επίτευξη του στόχου συμμετοχής του 60 % των ενηλίκων στην εκπαίδευση και την κατάρτιση έως το 2030· λαμβάνοντας υπόψη ότι η ολοκληρωμένη προσέγγιση για τον συντονισμό των πολιτικών εντός του Ευρωπαϊκού Εξαμήνου παρέχει το πλαίσιο για την καθοδήγηση των απαραίτητων επενδύσεων στην ανάπτυξη του ανθρώπινου κεφαλαίου και στα συστήματα εκπαίδευσης και κατάρτισης·</w:t>
      </w:r>
    </w:p>
    <w:p>
      <w:pPr>
        <w:pStyle w:val="NormalHanging"/>
      </w:pPr>
      <w:r>
        <w:t>Η.</w:t>
      </w:r>
      <w:r>
        <w:tab/>
      </w:r>
      <w:r>
        <w:t>λαμβάνοντας υπόψη ότι οι πρόσθετες επενδυτικές ανάγκες σε κοινωνικές υποδομές εκτιμώνται σε 192 δισεκατομμύρια EUR ετησίως, μεταξύ άλλων στους τομείς της οικονομικά προσιτής στέγασης, της υγείας και της μακροχρόνιας φροντίδας, της εκπαίδευσης και της διά βίου κατάρτισης</w:t>
      </w:r>
      <w:r>
        <w:rPr>
          <w:rStyle w:val="FootnoteReference"/>
        </w:rPr>
        <w:footnoteReference w:customMarkFollows="1" w:id="2"/>
        <w:t xml:space="preserve">1</w:t>
      </w:r>
      <w:r>
        <w:t>· λαμβάνοντας υπόψη ότι απαιτούνται περαιτέρω προσπάθειες για να εκτιμηθεί το κενό στις κοινωνικές επενδύσεις στην ΕΕ, καθώς και η οικονομική απόδοση αυτών των επενδύσεων·</w:t>
      </w:r>
    </w:p>
    <w:p>
      <w:pPr>
        <w:pStyle w:val="NormalHanging12a"/>
      </w:pPr>
      <w:r>
        <w:t>1.</w:t>
      </w:r>
      <w:r>
        <w:tab/>
      </w:r>
      <w:r>
        <w:t>τονίζει το ανταγωνιστικό πλεονέκτημα των επενδύσεων στο κοινωνικό μοντέλο της ΕΕ· ζητεί να ενσωματωθούν στη διαδικασία του Ευρωπαϊκού Εξαμήνου οι συστάσεις της ομάδας υψηλού επιπέδου για το μέλλον της κοινωνικής προστασίας και του κράτους πρόνοιας, καθώς και οι συστάσεις των εκθέσεων Letta και Draghi· εκφράζει την ικανοποίησή του για την ενσωμάτωση του ευρωπαϊκού πυλώνα κοινωνικών δικαιωμάτων στο πλαίσιο οικονομικής διακυβέρνησης και καλεί τα κράτη μέλη να αξιοποιήσουν τη δυνατότητα παράτασης της περιόδου προσαρμογής για να επενδύσουν στις προτεραιότητες του ευρωπαϊκού πυλώνα κοινωνικών δικαιωμάτων· ζητεί το ολοκληρωμένο πλαίσιο διακυβέρνησης να αποτυπώνεται στις εσωτερικές διαδικασίες των θεσμικών οργάνων της ΕΕ με την ισότιμη συμμετοχή των οικονομικών και κοινωνικών φορέων·</w:t>
      </w:r>
    </w:p>
    <w:p>
      <w:pPr>
        <w:pStyle w:val="NormalHanging12a"/>
      </w:pPr>
      <w:r>
        <w:t>2.</w:t>
      </w:r>
      <w:r>
        <w:tab/>
      </w:r>
      <w:r>
        <w:t>θεωρεί ότι η Επιτροπή και το Συμβούλιο θα πρέπει να εντείνουν τις προσπάθειές τους για την εφαρμογή του ευρωπαϊκού πυλώνα κοινωνικών δικαιωμάτων· ζητεί οι στόχοι του σχεδίου δράσης για τον ευρωπαϊκό πυλώνα κοινωνικών δικαιωμάτων να ενσωματωθούν στον πυρήνα του Ευρωπαϊκού Εξαμήνου, καθιστώντας τους σημεία αναφοράς στις αξιολογήσεις του Ευρωπαϊκού Εξαμήνου·</w:t>
      </w:r>
    </w:p>
    <w:p>
      <w:pPr>
        <w:pStyle w:val="NormalHanging12a"/>
      </w:pPr>
      <w:r>
        <w:t>3.</w:t>
      </w:r>
      <w:r>
        <w:tab/>
      </w:r>
      <w:r>
        <w:t>επικροτεί τη φιλοδοξία της Επιτροπής να εξαλείψει τη φτώχεια έως το 2050 και την πρόθεσή της να προτείνει μια νομοθετική πράξη για ποιοτικές θέσεις εργασίας· τονίζει την ανάγκη συνοχής μεταξύ του Ευρωπαϊκού Εξαμήνου, της παρακολούθησης του σχεδίου δράσης για τον ευρωπαϊκό πυλώνα κοινωνικών δικαιωμάτων και των εν λόγω επικείμενων μέσων, με μετρήσιμους στόχους και αντίστοιχες ανά χώρα συστάσεις·</w:t>
      </w:r>
    </w:p>
    <w:p>
      <w:pPr>
        <w:pStyle w:val="NormalHanging12a"/>
      </w:pPr>
      <w:r>
        <w:t>4.</w:t>
      </w:r>
      <w:r>
        <w:tab/>
      </w:r>
      <w:r>
        <w:t>εκφράζει την ικανοποίησή του για τη μόνιμη συμπερίληψη του πλαισίου κοινωνικής σύγκλισης στο Ευρωπαϊκό Εξάμηνο· τονίζει τη σημασία του, σε συνδυασμό με τον πίνακα κοινωνικών αποτελεσμάτων, για τον εντοπισμό των κινδύνων και την παρακολούθηση της προόδου όσον αφορά την ανοδική κοινωνική σύγκλιση·</w:t>
      </w:r>
    </w:p>
    <w:p>
      <w:pPr>
        <w:pStyle w:val="NormalHanging12a"/>
      </w:pPr>
      <w:r>
        <w:t>5.</w:t>
      </w:r>
      <w:r>
        <w:tab/>
      </w:r>
      <w:r>
        <w:t>υπενθυμίζει ότι οι κοινωνικές επενδύσεις μπορούν να έχουν θετικό αντίκτυπο στην οικονομική ανάπτυξη, την παραγωγικότητα και την ανταγωνιστικότητα, υποστηρίζοντας έτσι και τη δημοσιονομική βιωσιμότητα και προωθώντας παράλληλα την ανοδική κοινωνική σύγκλιση· καλεί την Επιτροπή και το Συμβούλιο να αντιμετωπίσουν τις κοινωνικές επενδύσεις ως θεμελιώδεις για τη βιώσιμη ανάπτυξη·</w:t>
      </w:r>
    </w:p>
    <w:p>
      <w:pPr>
        <w:pStyle w:val="NormalHanging12a"/>
      </w:pPr>
      <w:r>
        <w:t>6.</w:t>
      </w:r>
      <w:r>
        <w:tab/>
      </w:r>
      <w:r>
        <w:t>υπογραμμίζει ότι το σχέδιο της Επιτροπής για την οικονομικά προσιτή στέγαση θα πρέπει να ενσωματωθεί καλύτερα στο Ευρωπαϊκό Εξάμηνο, με μεγαλύτερη έμφαση στην οικονομικά προσιτή, βιώσιμη και αξιοπρεπή στέγαση στις ειδικές ανά χώρα συστάσεις· υπενθυμίζει στα υπογράφοντα μέρη της δήλωσης της Λισαβόνας σχετικά με την ευρωπαϊκή πλατφόρμα για την καταπολέμηση του φαινομένου της αστεγίας, τον στόχο της εξάλειψης του φαινομένου αυτού έως το 2030·</w:t>
      </w:r>
    </w:p>
    <w:p>
      <w:pPr>
        <w:pStyle w:val="NormalHanging12a"/>
      </w:pPr>
      <w:r>
        <w:t>7.</w:t>
      </w:r>
      <w:r>
        <w:tab/>
      </w:r>
      <w:r>
        <w:t>τονίζει ότι οι επενδύσεις στην εκπαίδευση, την αναβάθμιση των δεξιοτήτων και την επανειδίκευση αποτελούν στρατηγική κοινωνική επένδυση με μακροπρόθεσμες αποδόσεις για την ανταγωνιστικότητα και τη συνοχή·</w:t>
      </w:r>
    </w:p>
    <w:p>
      <w:pPr>
        <w:pStyle w:val="NormalHanging12a"/>
      </w:pPr>
      <w:r>
        <w:t>8.</w:t>
      </w:r>
      <w:r>
        <w:tab/>
      </w:r>
      <w:r>
        <w:t>επισημαίνει ότι η διαγενεακή δικαιοσύνη πρέπει να αποτελέσει διαρθρωτικό στοιχείο του Ευρωπαϊκού Εξαμήνου· καλεί την Επιτροπή, στο πλαίσιο της στρατηγικής της για τη διαγενεακή δικαιοσύνη, να ενσωματώσει δείκτες σχετικά με την ευημερία των νέων, την πρόσβαση σε ποιοτικές θέσεις εργασίας, την οικονομική προσιτότητα της στέγασης, την εκπαίδευση και τις δεξιότητες στο πλαίσιο αξιολόγησης του Ευρωπαϊκού Εξαμήνου και να αξιολογεί συστηματικά τις μακροπρόθεσμες επιπτώσεις των δημοσιονομικών και μεταρρυθμιστικών συστάσεων·</w:t>
      </w:r>
    </w:p>
    <w:p>
      <w:pPr>
        <w:pStyle w:val="NormalHanging12a"/>
      </w:pPr>
      <w:r>
        <w:t>9.</w:t>
      </w:r>
      <w:r>
        <w:tab/>
      </w:r>
      <w:r>
        <w:t>αναγνωρίζει ότι τα κράτη μέλη έχουν δεσμευτεί να επενδύουν ετησίως το 5 % του ΑΕΠ σε βασικές αμυντικές ανάγκες και συναφείς δαπάνες για την ασφάλεια έως το 2035, μεταξύ άλλων μέσω της ενεργοποίησης της εθνικής ρήτρας διαφυγής· τονίζει ότι, στο πλαίσιο του Ευρωπαϊκού Εξαμήνου, οι δαπάνες αυτές πρέπει να προγραμματίζονται με συντονισμένο τρόπο·</w:t>
      </w:r>
    </w:p>
    <w:p>
      <w:pPr>
        <w:pStyle w:val="NormalHanging12a"/>
      </w:pPr>
      <w:r>
        <w:t>10.</w:t>
      </w:r>
      <w:r>
        <w:tab/>
      </w:r>
      <w:r>
        <w:t>σημειώνει ότι οι συστάσεις του Ευρωπαϊκού Εξαμήνου του 2026 θα διαδραματίσουν ουσιαστικό ρόλο στην κατάρτιση των εθνικών και περιφερειακών σχεδίων εταιρικής σχέσης· θεωρεί ότι οι μεταρρυθμίσεις και οι επενδύσεις θα πρέπει να επιλέγονται με βάση την αποδοτικότητα και την αποτελεσματικότητα με την οποία ανταποκρίνονται στις σχετικές ανά χώρα συστάσεις·</w:t>
      </w:r>
    </w:p>
    <w:p>
      <w:pPr>
        <w:pStyle w:val="NormalHanging12a"/>
      </w:pPr>
      <w:r>
        <w:t>11.</w:t>
      </w:r>
      <w:r>
        <w:tab/>
      </w:r>
      <w:r>
        <w:t>υποστηρίζει μια πιο δημοκρατική διαδικασία του Ευρωπαϊκού Εξαμήνου, με το Κοινοβούλιο να συμμετέχει ενεργά στον καθορισμό προτεραιοτήτων οικονομικής πολιτικής καθώς και στη λήψη αποφάσεων οικονομικής διακυβέρνησης· επιμένει στη συστηματική συμμετοχή των κοινωνικών εταίρων, των οργανώσεων της κοινωνίας των πολιτών και των περιφερειακών και τοπικών φορέων στη διαδικασία του Ευρωπαϊκού Εξαμήνου·</w:t>
      </w:r>
    </w:p>
    <w:p>
      <w:pPr>
        <w:pStyle w:val="NormalHanging12a"/>
      </w:pPr>
      <w:r>
        <w:t>12.</w:t>
      </w:r>
      <w:r>
        <w:tab/>
      </w:r>
      <w:r>
        <w:t>αναθέτει στην Πρόεδρό του να διαβιβάσει το παρόν ψήφισμα στο Συμβούλιο και στην Επιτροπή.</w:t>
      </w:r>
    </w:p>
    <w:sectPr>
      <w:footerReference w:type="even" r:id="rId6"/>
      <w:footerReference w:type="default" r:id="rId7"/>
      <w:footerReference w:type="first" r:id="rId8"/>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779.558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w:t>
    </w:r>
    <w:r>
      <w:fldChar w:fldCharType="end"/>
    </w:r>
    <w:r>
      <w:t>/</w:t>
    </w:r>
    <w:r>
      <w:fldChar w:fldCharType="begin"/>
    </w:r>
    <w:r>
      <w:instrText xml:space="preserve"> NUMPAGES </w:instrText>
    </w:r>
    <w:r>
      <w:fldChar w:fldCharType="separate"/>
    </w:r>
    <w:r>
      <w:t>6</w:t>
    </w:r>
    <w:r>
      <w:fldChar w:fldCharType="end"/>
    </w:r>
    <w:r>
      <w:tab/>
    </w:r>
    <w:r>
      <w:rPr>
        <w:rStyle w:val="HideTWBExt"/>
      </w:rPr>
      <w:t>&lt;PathFdR&gt;</w:t>
    </w:r>
    <w:r>
      <w:t>PR\1331649EL.docx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PR\1331649EL.docx</w:t>
    </w:r>
    <w:r>
      <w:rPr>
        <w:rStyle w:val="HideTWBExt"/>
      </w:rPr>
      <w:t>&lt;/PathFdR&gt;</w:t>
    </w:r>
    <w:r>
      <w:tab/>
    </w:r>
    <w:r>
      <w:fldChar w:fldCharType="begin"/>
    </w:r>
    <w:r>
      <w:instrText xml:space="preserve"> PAGE </w:instrText>
    </w:r>
    <w:r>
      <w:fldChar w:fldCharType="separate"/>
    </w:r>
    <w:r>
      <w:t>5</w:t>
    </w:r>
    <w:r>
      <w:fldChar w:fldCharType="end"/>
    </w:r>
    <w:r>
      <w:t>/</w:t>
    </w:r>
    <w:r>
      <w:fldChar w:fldCharType="begin"/>
    </w:r>
    <w:r>
      <w:instrText xml:space="preserve"> NUMPAGES </w:instrText>
    </w:r>
    <w:r>
      <w:fldChar w:fldCharType="separate"/>
    </w:r>
    <w:r>
      <w:t>6</w:t>
    </w:r>
    <w:r>
      <w:fldChar w:fldCharType="end"/>
    </w:r>
    <w:r>
      <w:tab/>
    </w:r>
    <w:r>
      <w:t>PE</w:t>
    </w:r>
    <w:r>
      <w:rPr>
        <w:rStyle w:val="HideTWBExt"/>
      </w:rPr>
      <w:t>&lt;NoPE&gt;</w:t>
    </w:r>
    <w:r>
      <w:t>779.558</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PR\1331649EL.docx</w:t>
    </w:r>
    <w:r>
      <w:rPr>
        <w:rStyle w:val="HideTWBExt"/>
      </w:rPr>
      <w:t>&lt;/PathFdR&gt;</w:t>
    </w:r>
    <w:r>
      <w:tab/>
    </w:r>
    <w:r>
      <w:tab/>
    </w:r>
    <w:r>
      <w:t>PE</w:t>
    </w:r>
    <w:r>
      <w:rPr>
        <w:rStyle w:val="HideTWBExt"/>
      </w:rPr>
      <w:t>&lt;NoPE&gt;</w:t>
    </w:r>
    <w:r>
      <w:t>779.558</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Ενωμένη στην πολυμορφία</w:t>
    </w:r>
    <w:r>
      <w:tab/>
    </w:r>
    <w:r>
      <w:t>EL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Έγγραφο εργασίας των υπηρεσιών της Επιτροπής, της 27ης Μαΐου 2020, με τίτλο «Identifying Europe’s recovery needs» (Προσδιορισμός των αναγκών ανάκαμψης της Ευρώπης) (SWD (20200098) που συνοδεύει την ανακοίνωση της Επιτροπής με τίτλο «Η ώρα της Ευρώπης: ανασύνταξη και προετοιμασία για την επόμενη γενιά» (COM(2020)0456).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Pages>
  <Words>1339</Words>
  <Characters>8160</Characters>
  <Application>Microsoft Office Word</Application>
  <DocSecurity>0</DocSecurity>
  <Lines>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1331649</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300934</vt:lpwstr>
  </property>
  <property fmtid="{D5CDD505-2E9C-101B-9397-08002B2CF9AE}" pid="7" name="dmxml.render.traceId">
    <vt:lpwstr>6930080b2a86669e1d72716a3b90a336</vt:lpwstr>
  </property>
  <property fmtid="{D5CDD505-2E9C-101B-9397-08002B2CF9AE}" pid="8" name="FooterPath">
    <vt:lpwstr>PR\1331649EL.doc</vt:lpwstr>
  </property>
  <property fmtid="{D5CDD505-2E9C-101B-9397-08002B2CF9AE}" pid="9" name="PE Number">
    <vt:lpwstr>779.558</vt:lpwstr>
  </property>
  <property fmtid="{D5CDD505-2E9C-101B-9397-08002B2CF9AE}" pid="10" name="UID">
    <vt:lpwstr>eu.europa.europarl-DIN1-2025-0000214726_01.07-el-01.00_text-xml</vt:lpwstr>
  </property>
</Properties>
</file>