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Euroopa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Tööhõive- ja sotsiaalkomisjon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{20/11/2025}</w:t>
      </w:r>
      <w:r>
        <w:t>20.11.2025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RAPORTI PROJEKT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majanduspoliitika koordineerimise Euroopa poolaasta kohta: tööhõive ja sotsiaalsed prioriteedid – 2026. aasta aruanne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(2025/2183(INI))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Tööhõive- ja sotsiaalkomisjon</w:t>
      </w:r>
      <w:r>
        <w:rPr>
          <w:rStyle w:val="HideTWBExt"/>
        </w:rPr>
        <w:t>&lt;/Commission&gt;</w:t>
      </w:r>
    </w:p>
    <w:p>
      <w:pPr>
        <w:pStyle w:val="CoverNormal24a"/>
      </w:pPr>
      <w:r>
        <w:t>Raportöör</w:t>
      </w:r>
      <w:r>
        <w:t xml:space="preserve">: </w:t>
      </w:r>
      <w:r>
        <w:rPr>
          <w:rStyle w:val="HideTWBExt"/>
        </w:rPr>
        <w:t>&lt;Depute&gt;</w:t>
      </w:r>
      <w:r>
        <w:t>Nela Riehl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SISUKORD</w:t>
      </w:r>
    </w:p>
    <w:p>
      <w:pPr>
        <w:pStyle w:val="TOCPage"/>
      </w:pPr>
      <w:r>
        <w:t>lk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EUROOPA PARLAMENDI RESOLUTSIOONI ETTEPANEK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EUROOPA PARLAMENDI RESOLUTSIOONI ETTEPANEK</w:t>
      </w:r>
      <w:bookmarkEnd w:id="0"/>
    </w:p>
    <w:p>
      <w:pPr>
        <w:pStyle w:val="NormalBold"/>
      </w:pPr>
      <w:r>
        <w:t>majanduspoliitika koordineerimise Euroopa poolaasta kohta: tööhõive ja sotsiaalsed prioriteedid – 2026. aasta aruanne</w:t>
      </w:r>
    </w:p>
    <w:p>
      <w:pPr>
        <w:pStyle w:val="NormalBold"/>
      </w:pPr>
    </w:p>
    <w:p>
      <w:pPr>
        <w:pStyle w:val="NormalBold12a"/>
      </w:pPr>
      <w:r>
        <w:t>(</w:t>
      </w:r>
      <w:r>
        <w:t>2025/2183(INI)</w:t>
      </w:r>
      <w:r>
        <w:t>)</w:t>
      </w:r>
    </w:p>
    <w:p>
      <w:pPr>
        <w:pStyle w:val="Normal12"/>
      </w:pPr>
      <w:r>
        <w:rPr>
          <w:i/>
        </w:rPr>
        <w:t>Euroopa Parlament</w:t>
      </w:r>
      <w:r>
        <w:t>,</w:t>
      </w:r>
    </w:p>
    <w:p>
      <w:pPr>
        <w:pStyle w:val="NormalHanging"/>
      </w:pPr>
      <w:r>
        <w:t>–</w:t>
      </w:r>
      <w:r>
        <w:tab/>
      </w:r>
      <w:r>
        <w:t>võttes arvesse Euroopa Liidu lepingu artiklit 3,</w:t>
      </w:r>
    </w:p>
    <w:p>
      <w:pPr>
        <w:pStyle w:val="NormalHanging"/>
      </w:pPr>
      <w:r>
        <w:t>–</w:t>
      </w:r>
      <w:r>
        <w:tab/>
      </w:r>
      <w:r>
        <w:t>võttes arvesse Euroopa Liidu toimimise lepingu (ELi toimimise lepingu) artikleid 9, 121, 148 ja 149,</w:t>
      </w:r>
    </w:p>
    <w:p>
      <w:pPr>
        <w:pStyle w:val="NormalHanging"/>
      </w:pPr>
      <w:r>
        <w:t>–</w:t>
      </w:r>
      <w:r>
        <w:tab/>
      </w:r>
      <w:r>
        <w:t>võttes arvesse Euroopa sotsiaalõiguste sammast, mille nõukogu, Euroopa Parlament ja komisjon kuulutasid välja ja allkirjastasid 17. novembril 2017,</w:t>
      </w:r>
    </w:p>
    <w:p>
      <w:pPr>
        <w:pStyle w:val="NormalHanging"/>
      </w:pPr>
      <w:r>
        <w:t>–</w:t>
      </w:r>
      <w:r>
        <w:tab/>
      </w:r>
      <w:r>
        <w:t>võttes arvesse komisjoni XX novembri 2026. aasta teatist 2026. aasta kestliku majanduskasvu analüüsi kohta,</w:t>
      </w:r>
    </w:p>
    <w:p>
      <w:pPr>
        <w:pStyle w:val="NormalHanging"/>
      </w:pPr>
      <w:r>
        <w:t>–</w:t>
      </w:r>
      <w:r>
        <w:tab/>
      </w:r>
      <w:r>
        <w:t>võttes arvesse komisjoni XXX 2026. aasta ettepanekut komisjoni ja nõukogu ühise tööhõivearuande kohta,</w:t>
      </w:r>
    </w:p>
    <w:p>
      <w:pPr>
        <w:pStyle w:val="NormalHanging"/>
      </w:pPr>
      <w:r>
        <w:t>–</w:t>
      </w:r>
      <w:r>
        <w:tab/>
      </w:r>
      <w:r>
        <w:t>võttes arvesse komisjoni XXX 2026. aasta soovitust võtta vastu nõukogu soovitus euroala majanduspoliitika kohta,</w:t>
      </w:r>
    </w:p>
    <w:p>
      <w:pPr>
        <w:pStyle w:val="NormalHanging"/>
      </w:pPr>
      <w:r>
        <w:t>–</w:t>
      </w:r>
      <w:r>
        <w:tab/>
      </w:r>
      <w:r>
        <w:t>võttes arvesse komisjoni XXX 2026. aasta aruannet „Häiremehhanismi aruanne 2025“,</w:t>
      </w:r>
    </w:p>
    <w:p>
      <w:pPr>
        <w:pStyle w:val="NormalHanging"/>
      </w:pPr>
      <w:r>
        <w:t>–</w:t>
      </w:r>
      <w:r>
        <w:tab/>
      </w:r>
      <w:r>
        <w:t>võttes arvesse komisjoni XX novembri 2026. aasta teatist „2025. aasta eelarvekava: üldhinnang“,</w:t>
      </w:r>
    </w:p>
    <w:p>
      <w:pPr>
        <w:pStyle w:val="NormalHanging"/>
      </w:pPr>
      <w:r>
        <w:t>–</w:t>
      </w:r>
      <w:r>
        <w:tab/>
      </w:r>
      <w:r>
        <w:t>võttes arvesse Mario Draghi 2024. aasta septembris avaldatud aruannet „The future of European competitiveness“ („Euroopa konkurentsivõime tulevik“),</w:t>
      </w:r>
    </w:p>
    <w:p>
      <w:pPr>
        <w:pStyle w:val="NormalHanging"/>
      </w:pPr>
      <w:r>
        <w:t>–</w:t>
      </w:r>
      <w:r>
        <w:tab/>
      </w:r>
      <w:r>
        <w:t>võttes arvesse Enrico Letta 2024. aasta aprillis avaldatud aruannet „Much more than a market“ („Palju enamat kui turg“), mis käsitleb ühtse turu tulevikku,</w:t>
      </w:r>
    </w:p>
    <w:p>
      <w:pPr>
        <w:pStyle w:val="NormalHanging"/>
      </w:pPr>
      <w:r>
        <w:t>–</w:t>
      </w:r>
      <w:r>
        <w:tab/>
      </w:r>
      <w:r>
        <w:t>võttes arvesse ELi sotsiaalkaitse ja heaoluriigi tulevikku käsitleva kõrgetasemelise töörühma 2023. aasta jaanuaris avaldatud aruannet,</w:t>
      </w:r>
    </w:p>
    <w:p>
      <w:pPr>
        <w:pStyle w:val="NormalHanging"/>
      </w:pPr>
      <w:r>
        <w:t>–</w:t>
      </w:r>
      <w:r>
        <w:tab/>
      </w:r>
      <w:r>
        <w:t>võttes arvesse kodukorra artiklit 55,</w:t>
      </w:r>
    </w:p>
    <w:p>
      <w:pPr>
        <w:pStyle w:val="NormalHanging"/>
      </w:pPr>
      <w:r>
        <w:t>–</w:t>
      </w:r>
      <w:r>
        <w:tab/>
      </w:r>
      <w:r>
        <w:t>võttes arvesse tööhõive- ja sotsiaalkomisjoni raportit (A10-0000/2025),</w:t>
      </w:r>
    </w:p>
    <w:p>
      <w:pPr>
        <w:pStyle w:val="NormalHanging"/>
      </w:pPr>
      <w:r>
        <w:t>A.</w:t>
      </w:r>
      <w:r>
        <w:tab/>
      </w:r>
      <w:r>
        <w:t>arvestades, et 2025. aasta juunis oli töötuse määr ELis 5,9 %, samas kui noorte töötuse määr oli endiselt kõrge (14,7 %); arvestades, et töökohtade kvaliteet, palgatõus ja tootlikkuse kasv ei ole kõrgemate tööhõive määradega täielikult sammu pidanud;</w:t>
      </w:r>
    </w:p>
    <w:p>
      <w:pPr>
        <w:pStyle w:val="NormalHanging"/>
      </w:pPr>
      <w:r>
        <w:t>B.</w:t>
      </w:r>
      <w:r>
        <w:tab/>
      </w:r>
      <w:r>
        <w:t>arvestades, et Euroopa poolaasta on jätkuvalt keskne vahend majandus-, eelarve-, tööhõive- ja sotsiaalpoliitika koordineerimiseks kogu ELis ning pakub seega võimalust integreerida sotsiaalne, keskkonnaalane ja põlvkondadevaheline õiglus süstemaatilisemalt makromajanduslikku juhtimisse;</w:t>
      </w:r>
    </w:p>
    <w:p>
      <w:pPr>
        <w:pStyle w:val="NormalHanging"/>
      </w:pPr>
      <w:r>
        <w:t>C.</w:t>
      </w:r>
      <w:r>
        <w:tab/>
      </w:r>
      <w:r>
        <w:t>arvestades, et 2024. aastal oli vaesuse või sotsiaalse tõrjutuse ohus 21 % ELi elanikkonnast; arvestades, et 2030. aastaks seatud eesmärgi suunas, mille kohaselt vaesuse või sotsiaalse tõrjutuse ohus olevate laste arvu vähendatakse 5 miljoni võrra, ei ole tehtud piisavaid edusamme;</w:t>
      </w:r>
    </w:p>
    <w:p>
      <w:pPr>
        <w:pStyle w:val="NormalHanging"/>
      </w:pPr>
      <w:r>
        <w:t>D.</w:t>
      </w:r>
      <w:r>
        <w:tab/>
      </w:r>
      <w:r>
        <w:t>arvestades, et kliimamuutused ja keskkonna hävitamine on süvendanud ebavõrdsust ja mõjutanud kõige haavatavamaid rühmi; arvestades, et kliimaneutraalsusele üleminek peaks looma ligikaudu 2,5 miljonit uut töökohta;</w:t>
      </w:r>
    </w:p>
    <w:p>
      <w:pPr>
        <w:pStyle w:val="NormalHanging"/>
      </w:pPr>
      <w:r>
        <w:t>E.</w:t>
      </w:r>
      <w:r>
        <w:tab/>
      </w:r>
      <w:r>
        <w:t>arvestades, et eluasemekulude surve ja kõrged energiahinnad tekitavad kodumajapidamistele suurt koormust, kuid eluasemepoliitika on riigipõhistes soovitustes sageli alaesindatud;</w:t>
      </w:r>
    </w:p>
    <w:p>
      <w:pPr>
        <w:pStyle w:val="NormalHanging"/>
      </w:pPr>
      <w:r>
        <w:t>F.</w:t>
      </w:r>
      <w:r>
        <w:tab/>
      </w:r>
      <w:r>
        <w:t>arvestades, et EL seisab silmitsi töötajate ja oskuste püsiva nappusega, mis on tingitud mitmest tegurist, mille hulgas on ka puudulik töökohtade kvaliteet;</w:t>
      </w:r>
    </w:p>
    <w:p>
      <w:pPr>
        <w:pStyle w:val="NormalHanging"/>
      </w:pPr>
      <w:r>
        <w:t>G.</w:t>
      </w:r>
      <w:r>
        <w:tab/>
      </w:r>
      <w:r>
        <w:t>arvestades, et andmete põhjal on enamikus liikmesriikides vaja teha rohkem jõupingutusi, et saavutada 2030. aastaks eesmärk, mille kohaselt osaleb 60 % täiskasvanutest hariduses ja koolituses; arvestades, et poliitika koordineerimisel Euroopa poolaasta raames järgitav integreeritud lähenemisviis loob raamistiku, mis suunab vajalikke investeeringuid inimkapitali arendamisse ning haridus- ja koolitussüsteemidesse;</w:t>
      </w:r>
    </w:p>
    <w:p>
      <w:pPr>
        <w:pStyle w:val="NormalHanging"/>
      </w:pPr>
      <w:r>
        <w:t>H.</w:t>
      </w:r>
      <w:r>
        <w:tab/>
      </w:r>
      <w:r>
        <w:t>arvestades, et sotsiaaltaristusse, sealhulgas taskukohastesse eluasemetesse, tervishoidu ja pikaajalisse hooldusse, haridusse ja elukestvasse koolitusse, on vaja lisainvesteeringuid, mille suurus on hinnanguliselt 192 miljardit eurot aastas</w:t>
      </w:r>
      <w:r>
        <w:rPr>
          <w:rStyle w:val="FootnoteReference"/>
        </w:rPr>
        <w:footnoteReference w:customMarkFollows="1" w:id="2"/>
        <w:t xml:space="preserve">1</w:t>
      </w:r>
      <w:r>
        <w:t>; arvestades, et tööd on vaja jätkata ELi sotsiaalsete investeeringute puudujäägi ja sotsiaalsete investeeringute majandusliku tasuvuse mõõtmiseks;</w:t>
      </w:r>
    </w:p>
    <w:p>
      <w:pPr>
        <w:pStyle w:val="NormalHanging12a"/>
      </w:pPr>
      <w:r>
        <w:t>1.</w:t>
      </w:r>
      <w:r>
        <w:tab/>
      </w:r>
      <w:r>
        <w:t>rõhutab, et ELi sotsiaalsesse mudelisse investeerimine annab konkurentsieelise; nõuab, et sotsiaalkaitse ja heaoluriikide tulevikku käsitleva kõrgetasemelise töörühma soovitused ning Letta ja Draghi aruannete soovitused integreeritaks Euroopa poolaasta protsessi; väljendab heameelt Euroopa sotsiaalõiguste samba integreerimise üle majanduse juhtimise raamistikku ja kutsub liikmesriike üles kasutama võimalust pikendada kohandamisperioodi, et investeerida Euroopa sotsiaalõiguste samba prioriteetidesse; nõuab, et integreeritud juhtimisraamistik kajastuks ELi institutsioonide siseprotsessides ning et nende majandus- ja sotsiaalorganid oleksid kaasatud võrdsel määral;</w:t>
      </w:r>
    </w:p>
    <w:p>
      <w:pPr>
        <w:pStyle w:val="NormalHanging12a"/>
      </w:pPr>
      <w:r>
        <w:t>2.</w:t>
      </w:r>
      <w:r>
        <w:tab/>
      </w:r>
      <w:r>
        <w:t>on seisukohal, et komisjon ja nõukogu peaksid Euroopa sotsiaalõiguste samba rakendamiseks tehtavaid jõupingutusi suurendama; nõuab, et Euroopa sotsiaalõiguste samba tegevuskava eesmärgid lõimitaks Euroopa poolaasta keskmesse ja võetaks Euroopa poolaasta hindamistel võrdlusalusteks;</w:t>
      </w:r>
    </w:p>
    <w:p>
      <w:pPr>
        <w:pStyle w:val="NormalHanging12a"/>
      </w:pPr>
      <w:r>
        <w:t>3.</w:t>
      </w:r>
      <w:r>
        <w:tab/>
      </w:r>
      <w:r>
        <w:t>väljendab heameelt komisjoni eesmärgi üle kaotada vaesus 2050. aastaks ja tema kavatsuse üle esitada ettepanek kvaliteetsete töökohtade õigusakti kohta; rõhutab, et Euroopa poolaasta, Euroopa sotsiaalõiguste samba tegevuskava järelmeetmete ja tulevaste õigusaktide vahel on vaja tagada sidusus koos mõõdetavate eesmärkide ja vastavate riigipõhiste soovitustega;</w:t>
      </w:r>
    </w:p>
    <w:p>
      <w:pPr>
        <w:pStyle w:val="NormalHanging12a"/>
      </w:pPr>
      <w:r>
        <w:t>4.</w:t>
      </w:r>
      <w:r>
        <w:tab/>
      </w:r>
      <w:r>
        <w:t>väljendab heameelt sotsiaalse lähenemise raamistiku püsiva lisamise üle Euroopa poolaastasse; rõhutab nii selle kui ka sotsiaalnäitajate tulemustabeli tähtsust riskide tuvastamisel ja ülespoole suunatud sotsiaalse lähenemise edusammude jälgimisel;</w:t>
      </w:r>
    </w:p>
    <w:p>
      <w:pPr>
        <w:pStyle w:val="NormalHanging12a"/>
      </w:pPr>
      <w:r>
        <w:t>5.</w:t>
      </w:r>
      <w:r>
        <w:tab/>
      </w:r>
      <w:r>
        <w:t>tuletab meelde, et sotsiaalsetel investeeringutel võib olla positiivne mõju majanduskasvule, tootlikkusele ja konkurentsivõimele, mis omakorda toetab riigi rahanduse jätkusuutlikkust ja edendab ühtlasi ülespoole suunatud sotsiaalset lähenemist; kutsub komisjoni ja nõukogu üles pidama sotsiaalseid investeeringuid kestliku majanduskasvu aluseks;</w:t>
      </w:r>
    </w:p>
    <w:p>
      <w:pPr>
        <w:pStyle w:val="NormalHanging12a"/>
      </w:pPr>
      <w:r>
        <w:t>6.</w:t>
      </w:r>
      <w:r>
        <w:tab/>
      </w:r>
      <w:r>
        <w:t>rõhutab, et komisjoni taskukohaste eluasemete kava tuleks Euroopa poolaastasse paremini integreerida ning riigipõhistes soovitustes tuleks pöörata taskukohastele, kestlikele ja inimväärsetele eluasemetele suuremat tähelepanu; tuletab meelde riikidele, kes on allkirjastanud Lissaboni deklaratsiooni kodutuse vastu võitlemise Euroopa platvormi kohta, et kodutuse kaotamise eesmärk on seatud 2030. aastaks;</w:t>
      </w:r>
    </w:p>
    <w:p>
      <w:pPr>
        <w:pStyle w:val="NormalHanging12a"/>
      </w:pPr>
      <w:r>
        <w:t>7.</w:t>
      </w:r>
      <w:r>
        <w:tab/>
      </w:r>
      <w:r>
        <w:t>rõhutab, et investeerimine haridusse, täiendõpesse ja ümberõppesse on strateegiline sotsiaalne investeering, millest on pikas perspektiivis kasu konkurentsivõimele ja ühtekuuluvusele;</w:t>
      </w:r>
    </w:p>
    <w:p>
      <w:pPr>
        <w:pStyle w:val="NormalHanging12a"/>
      </w:pPr>
      <w:r>
        <w:t>8.</w:t>
      </w:r>
      <w:r>
        <w:tab/>
      </w:r>
      <w:r>
        <w:t>rõhutab, et põlvkondadevaheline õiglus peab saama Euroopa poolaasta struktuurseks osaks; kutsub komisjoni üles integreerima põlvkondadevahelise õigluse strateegia raames noorte heaolu, kvaliteetsete töökohtade kättesaadavuse, eluaseme taskukohasuse, hariduse ja oskuste näitajad Euroopa poolaasta hindamisraamistikku ning hindama süstemaatiliselt eelarve- ja reformisoovituste pikaajalist mõju;</w:t>
      </w:r>
    </w:p>
    <w:p>
      <w:pPr>
        <w:pStyle w:val="NormalHanging12a"/>
      </w:pPr>
      <w:r>
        <w:t>9.</w:t>
      </w:r>
      <w:r>
        <w:tab/>
      </w:r>
      <w:r>
        <w:t>tunnistab, et liikmesriigid on võtnud kohustuse investeerida 2035. aastaks igal aastal 5 % SKPst peamistesse kaitsenõuetesse ja nendega seotud julgeolekukulutustesse, sealhulgas riikide vabastusklausli aktiveerimise kaudu; rõhutab, et Euroopa poolaasta raames tuleb sellised kulutused kavandada kooskõlastatult;</w:t>
      </w:r>
    </w:p>
    <w:p>
      <w:pPr>
        <w:pStyle w:val="NormalHanging12a"/>
      </w:pPr>
      <w:r>
        <w:t>10.</w:t>
      </w:r>
      <w:r>
        <w:tab/>
      </w:r>
      <w:r>
        <w:t>märgib, et 2026. aasta Euroopa poolaasta soovitustel on riikliku ja piirkondliku partnerluse kavade koostamisel väga tähtis roll; on veendunud, et reformid ja investeeringud tuleks valida selle põhjal, kui tõhusalt ja tulemuslikult need vastavad asjaomastele riigipõhistele soovitustele;</w:t>
      </w:r>
    </w:p>
    <w:p>
      <w:pPr>
        <w:pStyle w:val="NormalHanging12a"/>
      </w:pPr>
      <w:r>
        <w:t>11.</w:t>
      </w:r>
      <w:r>
        <w:tab/>
      </w:r>
      <w:r>
        <w:t>toetab demokraatlikumat Euroopa poolaasta protsessi, kus Euroopa Parlament on tihedalt kaasatud majanduspoliitika prioriteetide seadmisse ja majanduse juhtimise alaste otsuste tegemisse; nõuab sotsiaalpartnerite, kodanikuühiskonna organisatsioonide ning piirkondlike ja kohalike osalejate süstemaatilist kaasamist Euroopa poolaasta protsessi;</w:t>
      </w:r>
    </w:p>
    <w:p>
      <w:pPr>
        <w:pStyle w:val="NormalHanging12a"/>
      </w:pPr>
      <w:r>
        <w:t>12.</w:t>
      </w:r>
      <w:r>
        <w:tab/>
      </w:r>
      <w:r>
        <w:t>teeb presidendile ülesandeks edastada käesolev resolutsioon nõukogule ja komisjonile.</w:t>
      </w:r>
    </w:p>
    <w:sectPr>
      <w:footerReference w:type="even" r:id="rId6"/>
      <w:footerReference w:type="default" r:id="rId7"/>
      <w:footerReference w:type="first" r:id="rId8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rPr>
        <w:rStyle w:val="HideTWBExt"/>
      </w:rPr>
      <w:t>&lt;PathFdR&gt;</w:t>
    </w:r>
    <w:r>
      <w:t>PR\1331649ET.docx</w:t>
    </w:r>
    <w:r>
      <w:rPr>
        <w:rStyle w:val="HideTWBExt"/>
      </w:rPr>
      <w:t>&lt;/PathFdR&gt;</w:t>
    </w:r>
  </w:p>
  <w:p>
    <w:pPr>
      <w:pStyle w:val="EPFooter2"/>
    </w:pPr>
    <w:r>
      <w:t>ET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PR\1331649ET.docx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PR\1331649ET.docx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ET</w:t>
    </w:r>
    <w:r>
      <w:tab/>
    </w:r>
    <w:r>
      <w:rPr>
        <w:rStyle w:val="EPFooter2Motto"/>
      </w:rPr>
      <w:t>Ühinenud mitmekesisuses</w:t>
    </w:r>
    <w:r>
      <w:tab/>
    </w:r>
    <w:r>
      <w:t>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>Komisjoni talituste 27. mai 2020. aasta töödokument „Identifying Europe’s recovery needs“ („Euroopa taastamisvajaduste kindlakstegemine“) (SWD(20200098), mis on lisatud komisjoni teatisele „Euroopa võimalus: Parandame vead ja teeme ettevalmistusi järgmise põlvkonna jaoks“ (COM(2020)0456).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t-EE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926</Words>
  <Characters>7100</Characters>
  <Application>Microsoft Office Word</Application>
  <DocSecurity>0</DocSecurity>
  <Lines>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ET</vt:lpwstr>
  </property>
  <property fmtid="{D5CDD505-2E9C-101B-9397-08002B2CF9AE}" pid="3" name="&lt;FdR&gt;">
    <vt:lpwstr>1331649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299532</vt:lpwstr>
  </property>
  <property fmtid="{D5CDD505-2E9C-101B-9397-08002B2CF9AE}" pid="7" name="dmxml.render.traceId">
    <vt:lpwstr>692eb9582ab3e270bda557a18d27e19c</vt:lpwstr>
  </property>
  <property fmtid="{D5CDD505-2E9C-101B-9397-08002B2CF9AE}" pid="8" name="FooterPath">
    <vt:lpwstr>PR\1331649ET.doc</vt:lpwstr>
  </property>
  <property fmtid="{D5CDD505-2E9C-101B-9397-08002B2CF9AE}" pid="9" name="PE Number">
    <vt:lpwstr>779.558</vt:lpwstr>
  </property>
  <property fmtid="{D5CDD505-2E9C-101B-9397-08002B2CF9AE}" pid="10" name="UID">
    <vt:lpwstr>eu.europa.europarl-DIN1-2025-0000214726_01.07-et-01.00_text-xml</vt:lpwstr>
  </property>
</Properties>
</file>