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Europski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Odbor za zapošljavanje i socijalna pitanja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2025/2183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{20/11/2025}</w:t>
      </w:r>
      <w:r>
        <w:t>20.11.2025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NACRT IZVJEŠĆA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o europskom semestru za koordinaciju ekonomskih politika: prioriteti u području zapošljavanja i socijalni prioriteti – godišnje izvješće za 2026.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(2025/2183(INI))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Odbor za zapošljavanje i socijalna pitanja</w:t>
      </w:r>
      <w:r>
        <w:rPr>
          <w:rStyle w:val="HideTWBExt"/>
        </w:rPr>
        <w:t>&lt;/Commission&gt;</w:t>
      </w:r>
    </w:p>
    <w:p>
      <w:pPr>
        <w:pStyle w:val="CoverNormal24a"/>
      </w:pPr>
      <w:r>
        <w:t>Izvjestiteljica</w:t>
      </w:r>
      <w:r>
        <w:t xml:space="preserve">: </w:t>
      </w:r>
      <w:r>
        <w:rPr>
          <w:rStyle w:val="HideTWBExt"/>
        </w:rPr>
        <w:t>&lt;Depute&gt;</w:t>
      </w:r>
      <w:r>
        <w:t>Nela Riehl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SADRŽAJ</w:t>
      </w:r>
    </w:p>
    <w:p>
      <w:pPr>
        <w:pStyle w:val="TOCPage"/>
      </w:pPr>
      <w:r>
        <w:t>Stranica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PRIJEDLOG REZOLUCIJE EUROPSKOG PARLAMENTA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PRIJEDLOG REZOLUCIJE EUROPSKOG PARLAMENTA</w:t>
      </w:r>
      <w:bookmarkEnd w:id="0"/>
    </w:p>
    <w:p>
      <w:pPr>
        <w:pStyle w:val="NormalBold"/>
      </w:pPr>
      <w:r>
        <w:t>o europskom semestru za koordinaciju ekonomskih politika: prioriteti u području zapošljavanja i socijalni prioriteti – godišnje izvješće za 2026.</w:t>
      </w:r>
    </w:p>
    <w:p>
      <w:pPr>
        <w:pStyle w:val="NormalBold"/>
      </w:pPr>
    </w:p>
    <w:p>
      <w:pPr>
        <w:pStyle w:val="NormalBold12a"/>
      </w:pPr>
      <w:r>
        <w:t>(</w:t>
      </w:r>
      <w:r>
        <w:t>2025/2183(INI)</w:t>
      </w:r>
      <w:r>
        <w:t>)</w:t>
      </w:r>
    </w:p>
    <w:p>
      <w:pPr>
        <w:pStyle w:val="Normal12"/>
      </w:pPr>
      <w:r>
        <w:rPr>
          <w:i/>
        </w:rPr>
        <w:t>Europski parlament</w:t>
      </w:r>
      <w:r>
        <w:t>,</w:t>
      </w:r>
    </w:p>
    <w:p>
      <w:pPr>
        <w:pStyle w:val="NormalHanging"/>
      </w:pPr>
      <w:r>
        <w:t>–</w:t>
      </w:r>
      <w:r>
        <w:tab/>
      </w:r>
      <w:r>
        <w:t>uzimajući u obzir članak 3. Ugovora o Europskoj uniji,</w:t>
      </w:r>
    </w:p>
    <w:p>
      <w:pPr>
        <w:pStyle w:val="NormalHanging"/>
      </w:pPr>
      <w:r>
        <w:t>–</w:t>
      </w:r>
      <w:r>
        <w:tab/>
      </w:r>
      <w:r>
        <w:t>uzimajući u obzir članke 9., 121., 148. i 149. Ugovora o funkcioniranju Europske unije (UFEU),</w:t>
      </w:r>
    </w:p>
    <w:p>
      <w:pPr>
        <w:pStyle w:val="NormalHanging"/>
      </w:pPr>
      <w:r>
        <w:t>–</w:t>
      </w:r>
      <w:r>
        <w:tab/>
      </w:r>
      <w:r>
        <w:t>uzimajući u obzir europski stup socijalnih prava, koji su Vijeće, Parlament i Komisija proglasili i potpisali 17. studenoga 2017.,</w:t>
      </w:r>
    </w:p>
    <w:p>
      <w:pPr>
        <w:pStyle w:val="NormalHanging"/>
      </w:pPr>
      <w:r>
        <w:t>–</w:t>
      </w:r>
      <w:r>
        <w:tab/>
      </w:r>
      <w:r>
        <w:t>uzimajući u obzir komunikaciju Komisije od XX. studenoga 2026. o Godišnjoj strategiji održivog rasta 2026.,</w:t>
      </w:r>
    </w:p>
    <w:p>
      <w:pPr>
        <w:pStyle w:val="NormalHanging"/>
      </w:pPr>
      <w:r>
        <w:t>–</w:t>
      </w:r>
      <w:r>
        <w:tab/>
      </w:r>
      <w:r>
        <w:t>uzimajući u obzir Prijedlog zajedničkog izvješća Komisije i Vijeća o zapošljavanju od XXX 2026.,</w:t>
      </w:r>
    </w:p>
    <w:p>
      <w:pPr>
        <w:pStyle w:val="NormalHanging"/>
      </w:pPr>
      <w:r>
        <w:t>–</w:t>
      </w:r>
      <w:r>
        <w:tab/>
      </w:r>
      <w:r>
        <w:t>uzimajući u obzir Preporuku Komisije od XXX 2026. za preporuku Vijeća o ekonomskoj politici europodručja,</w:t>
      </w:r>
    </w:p>
    <w:p>
      <w:pPr>
        <w:pStyle w:val="NormalHanging"/>
      </w:pPr>
      <w:r>
        <w:t>–</w:t>
      </w:r>
      <w:r>
        <w:tab/>
      </w:r>
      <w:r>
        <w:t>uzimajući u obzir izvješće Komisije od XXX 2026. naslovljeno „Izvješće o mehanizmu upozoravanja za 2025.”,</w:t>
      </w:r>
    </w:p>
    <w:p>
      <w:pPr>
        <w:pStyle w:val="NormalHanging"/>
      </w:pPr>
      <w:r>
        <w:t>–</w:t>
      </w:r>
      <w:r>
        <w:tab/>
      </w:r>
      <w:r>
        <w:t>uzimajući u obzir komunikaciju Komisije od XX. studenoga 2026. naslovljenu „Nacrt proračunskih planova za 2025.: ukupna ocjena”,</w:t>
      </w:r>
    </w:p>
    <w:p>
      <w:pPr>
        <w:pStyle w:val="NormalHanging"/>
      </w:pPr>
      <w:r>
        <w:t>–</w:t>
      </w:r>
      <w:r>
        <w:tab/>
      </w:r>
      <w:r>
        <w:t>uzimajući u obzir izvješće Marija Draghija naslovljeno „Budućnosti europske konkurentnosti”, objavljeno u rujnu 2024.,</w:t>
      </w:r>
    </w:p>
    <w:p>
      <w:pPr>
        <w:pStyle w:val="NormalHanging"/>
      </w:pPr>
      <w:r>
        <w:t>–</w:t>
      </w:r>
      <w:r>
        <w:tab/>
      </w:r>
      <w:r>
        <w:t>uzimajući u obzir izvješće Enrica Lette o budućnosti jedinstvenog tržišta naslovljeno „Više od tržišta”, objavljeno u travnju 2024.,</w:t>
      </w:r>
    </w:p>
    <w:p>
      <w:pPr>
        <w:pStyle w:val="NormalHanging"/>
      </w:pPr>
      <w:r>
        <w:t>–</w:t>
      </w:r>
      <w:r>
        <w:tab/>
      </w:r>
      <w:r>
        <w:t>uzimajući u obzir izvješće skupine na visokoj razini za budućnost socijalne zaštite i socijalne države u EU-u, objavljeno u siječnju 2023.,</w:t>
      </w:r>
    </w:p>
    <w:p>
      <w:pPr>
        <w:pStyle w:val="NormalHanging"/>
      </w:pPr>
      <w:r>
        <w:t>–</w:t>
      </w:r>
      <w:r>
        <w:tab/>
      </w:r>
      <w:r>
        <w:t>uzimajući u obzir članak 55. Poslovnika,</w:t>
      </w:r>
    </w:p>
    <w:p>
      <w:pPr>
        <w:pStyle w:val="NormalHanging"/>
      </w:pPr>
      <w:r>
        <w:t>–</w:t>
      </w:r>
      <w:r>
        <w:tab/>
      </w:r>
      <w:r>
        <w:t>uzimajući u obzir izvješće Odbora za zapošljavanje i socijalna pitanja (A10-0000/2025),</w:t>
      </w:r>
    </w:p>
    <w:p>
      <w:pPr>
        <w:pStyle w:val="NormalHanging"/>
      </w:pPr>
      <w:r>
        <w:t>A.</w:t>
      </w:r>
      <w:r>
        <w:tab/>
      </w:r>
      <w:r>
        <w:t>budući da je u lipnju 2025. stopa nezaposlenosti u EU-u iznosila 5,9 %, dok je nezaposlenost mladih i dalje visoka i iznosi 14,7 %; budući da više razine zaposlenosti nisu u potpunosti usklađene s kvalitetom radnih mjesta, povećanjem plaća i povećanjem produktivnosti;</w:t>
      </w:r>
    </w:p>
    <w:p>
      <w:pPr>
        <w:pStyle w:val="NormalHanging"/>
      </w:pPr>
      <w:r>
        <w:t>B.</w:t>
      </w:r>
      <w:r>
        <w:tab/>
      </w:r>
      <w:r>
        <w:t>budući da je europski semestar i dalje središnji instrument za koordinaciju gospodarske, fiskalne i socijalne politike te politike zapošljavanja diljem EU-a te stoga pruža priliku za sustavnije uključivanje socijalne, okolišne i međugeneracijske pravednosti u makroekonomsko upravljanje;</w:t>
      </w:r>
    </w:p>
    <w:p>
      <w:pPr>
        <w:pStyle w:val="NormalHanging"/>
      </w:pPr>
      <w:r>
        <w:t>C.</w:t>
      </w:r>
      <w:r>
        <w:tab/>
      </w:r>
      <w:r>
        <w:t>budući da je 2024. godine 21 % stanovništva EU-a bilo izloženo riziku od siromaštva ili socijalne isključenosti; budući da nije ostvaren dovoljan napredak prema cilju da se do 2030. smanji broj djece izložene riziku od siromaštva ili socijalne isključenosti za 5 milijuna;</w:t>
      </w:r>
    </w:p>
    <w:p>
      <w:pPr>
        <w:pStyle w:val="NormalHanging"/>
      </w:pPr>
      <w:r>
        <w:t>D.</w:t>
      </w:r>
      <w:r>
        <w:tab/>
      </w:r>
      <w:r>
        <w:t>budući da su klimatske promjene i uništavanje okoliša pogoršali nejednakosti i pogodili najranjivije skupine; budući da se očekuje da će se prijelazom na klimatsku neutralnost otvoriti oko 2,5 milijuna dodatnih radnih mjesta;</w:t>
      </w:r>
    </w:p>
    <w:p>
      <w:pPr>
        <w:pStyle w:val="NormalHanging"/>
      </w:pPr>
      <w:r>
        <w:t>E.</w:t>
      </w:r>
      <w:r>
        <w:tab/>
      </w:r>
      <w:r>
        <w:t>budući da pritisci troškova stanovanja i visoke cijene energije nameću znatna opterećenja kućanstvima, a stambena politika je ipak često nedovoljno zastupljena u preporukama za pojedine zemlje;</w:t>
      </w:r>
    </w:p>
    <w:p>
      <w:pPr>
        <w:pStyle w:val="NormalHanging"/>
      </w:pPr>
      <w:r>
        <w:t>F.</w:t>
      </w:r>
      <w:r>
        <w:tab/>
      </w:r>
      <w:r>
        <w:t>budući da se EU suočava s trajnim nedostatkom radnika i vještina zbog niza čimbenika, uključujući lošu kvalitetu radnih mjesta;</w:t>
      </w:r>
    </w:p>
    <w:p>
      <w:pPr>
        <w:pStyle w:val="NormalHanging"/>
      </w:pPr>
      <w:r>
        <w:t>G.</w:t>
      </w:r>
      <w:r>
        <w:tab/>
      </w:r>
      <w:r>
        <w:t>budući da podaci upućuju na to da je u većini država članica potrebno uložiti više napora kako bi se do 2030. postigao cilj od 60 % odraslih osoba koje sudjeluju u obrazovanju i osposobljavanju; budući da integrirani pristup koordinaciji politika u okviru Europskog semestra pruža okvir za usmjeravanje potrebnih ulaganja u razvoj ljudskog kapitala te sustave obrazovanja i osposobljavanja;</w:t>
      </w:r>
    </w:p>
    <w:p>
      <w:pPr>
        <w:pStyle w:val="NormalHanging"/>
      </w:pPr>
      <w:r>
        <w:t>H.</w:t>
      </w:r>
      <w:r>
        <w:tab/>
      </w:r>
      <w:r>
        <w:t>budući da se procjenjuje da su potrebna dodatna ulaganja u socijalnu infrastrukturu u iznosu od 192 milijarde EUR godišnje, među ostalim u cjenovno pristupačno stanovanje, zdravstvenu i dugotrajnu skrb, obrazovanje i cjeloživotno osposobljavanje</w:t>
      </w:r>
      <w:r>
        <w:rPr>
          <w:rStyle w:val="FootnoteReference"/>
        </w:rPr>
        <w:footnoteReference w:customMarkFollows="1" w:id="2"/>
        <w:t xml:space="preserve">1</w:t>
      </w:r>
      <w:r>
        <w:t>; budući da je potreban daljnji rad kako bi se ocijenio jaz u socijalnim ulaganjima u EU-u, kao i gospodarski povrat socijalnih ulaganja;</w:t>
      </w:r>
    </w:p>
    <w:p>
      <w:pPr>
        <w:pStyle w:val="NormalHanging12a"/>
      </w:pPr>
      <w:r>
        <w:t>1.</w:t>
      </w:r>
      <w:r>
        <w:tab/>
      </w:r>
      <w:r>
        <w:t>naglašava konkurentsku prednost ulaganja u socijalni model EU-a; poziva na to da se preporuke Skupine na visokoj razini za budućnost socijalne zaštite i socijalne države, kao i preporuke iz izvješća Enrica Lette i Marija Draghija, uključe u postupak europskog semestra; pozdravlja integraciju europskog stupa socijalnih prava u okvir gospodarskog upravljanja i poziva države članice da iskoriste mogućnost produljenja razdoblja prilagodbe za ulaganje u prioritete europskog stupa socijalnih prava; poziva na to da se integrirani okvir upravljanja odražava u unutarnjim procesima institucija EU-a, u koje su u jednakoj mjeri uključena njihova gospodarska i socijalna tijela;</w:t>
      </w:r>
    </w:p>
    <w:p>
      <w:pPr>
        <w:pStyle w:val="NormalHanging12a"/>
      </w:pPr>
      <w:r>
        <w:t>2.</w:t>
      </w:r>
      <w:r>
        <w:tab/>
      </w:r>
      <w:r>
        <w:t>smatra da bi Komisija i Vijeće trebali povećati svoje napore u provedbi europskog stupa socijalnih prava; poziva na to da se ciljevi akcijskog plana za europski stup socijalnih prava ugrade u srž europskog semestra tako da ih se uključi kao referentne vrijednosti u procjene europskog semestra;</w:t>
      </w:r>
    </w:p>
    <w:p>
      <w:pPr>
        <w:pStyle w:val="NormalHanging12a"/>
      </w:pPr>
      <w:r>
        <w:t>3.</w:t>
      </w:r>
      <w:r>
        <w:tab/>
      </w:r>
      <w:r>
        <w:t>pozdravlja težnju Komisije da iskorijeni siromaštvo do 2050. i njezinu namjeru da predloži zakon o kvalitetnim radnim mjestima; naglašava potrebu za usklađenošću između europskog semestra, daljnjeg postupanja u vezi s akcijskim planom za europski stup socijalnih prava i tih budućih instrumenata, s mjerljivim ciljevima i odgovarajućim preporukama za pojedine zemlje;</w:t>
      </w:r>
    </w:p>
    <w:p>
      <w:pPr>
        <w:pStyle w:val="NormalHanging12a"/>
      </w:pPr>
      <w:r>
        <w:t>4.</w:t>
      </w:r>
      <w:r>
        <w:tab/>
      </w:r>
      <w:r>
        <w:t>pozdravlja trajno uključivanje okvira socijalne konvergencije u europski semestar; naglašava njegovu važnost, zajedno sa socijalnim pokazateljima, za utvrđivanje rizika i praćenje napretka u uzlaznoj socijalnoj konvergenciji;</w:t>
      </w:r>
    </w:p>
    <w:p>
      <w:pPr>
        <w:pStyle w:val="NormalHanging12a"/>
      </w:pPr>
      <w:r>
        <w:t>5.</w:t>
      </w:r>
      <w:r>
        <w:tab/>
      </w:r>
      <w:r>
        <w:t>podsjeća da socijalna ulaganja mogu imati pozitivan učinak na gospodarski rast, produktivnost i konkurentnost, čime se također podupire fiskalna održivost uz istodobno promicanje uzlazne socijalne konvergencije; poziva Komisiju i Vijeće da socijalna ulaganja smatraju temeljnima za održivi rast;</w:t>
      </w:r>
    </w:p>
    <w:p>
      <w:pPr>
        <w:pStyle w:val="NormalHanging12a"/>
      </w:pPr>
      <w:r>
        <w:t>6.</w:t>
      </w:r>
      <w:r>
        <w:tab/>
      </w:r>
      <w:r>
        <w:t>naglašava da bi Komisijin plan za cjenovno pristupačno stanovanje trebalo bolje integrirati u europski semestar, s većim naglaskom na cjenovno pristupačnom, održivom i dostojanstvenom stanovanju u preporukama za pojedine zemlje; podsjeća potpisnike Lisabonske deklaracije o Europskoj platformi za borbu protiv beskućništva na cilj iskorjenjivanja beskućništva do 2030.;</w:t>
      </w:r>
    </w:p>
    <w:p>
      <w:pPr>
        <w:pStyle w:val="NormalHanging12a"/>
      </w:pPr>
      <w:r>
        <w:t>7.</w:t>
      </w:r>
      <w:r>
        <w:tab/>
      </w:r>
      <w:r>
        <w:t>naglašava da je ulaganje u obrazovanje, usavršavanje i prekvalifikaciju strateško socijalno ulaganje s dugoročnim povratom za konkurentnost i koheziju;</w:t>
      </w:r>
    </w:p>
    <w:p>
      <w:pPr>
        <w:pStyle w:val="NormalHanging12a"/>
      </w:pPr>
      <w:r>
        <w:t>8.</w:t>
      </w:r>
      <w:r>
        <w:tab/>
      </w:r>
      <w:r>
        <w:t>naglašava da međugeneracijska pravednost mora postati strukturna sastavnica europskog semestra; poziva Komisiju da u okviru svoje strategije međugeneracijske pravednosti u okvir za procjenu europskog semestra uključi pokazatelje o dobrobiti mladih, pristupu kvalitetnim radnim mjestima, cjenovnoj pristupačnosti stanovanja, obrazovanju i vještinama te da sustavno ocjenjuje dugoročne učinke fiskalnih preporuka i preporuka za reforme;</w:t>
      </w:r>
    </w:p>
    <w:p>
      <w:pPr>
        <w:pStyle w:val="NormalHanging12a"/>
      </w:pPr>
      <w:r>
        <w:t>9.</w:t>
      </w:r>
      <w:r>
        <w:tab/>
      </w:r>
      <w:r>
        <w:t>potvrđuje da su se države članice obvezale da će do 2035. ulagati 5 % BDP-a godišnje u temeljne obrambene zahtjeve i povezane rashode za sigurnost, među ostalim aktivacijom nacionalne klauzule o odstupanju; naglašava da se u okviru europskog semestra takvi rashodi moraju planirati na koordiniran način;</w:t>
      </w:r>
    </w:p>
    <w:p>
      <w:pPr>
        <w:pStyle w:val="NormalHanging12a"/>
      </w:pPr>
      <w:r>
        <w:t>10.</w:t>
      </w:r>
      <w:r>
        <w:tab/>
      </w:r>
      <w:r>
        <w:t>prima na znanje da će preporuke u okviru europskog semestra 2026. imati ključnu ulogu u izradi nacionalnih i regionalnih partnerskih planova; smatra da bi se reforme i ulaganja trebali birati na temelju učinkovitosti i djelotvornosti u skladu s relevantnim preporukama za pojedine zemlje;</w:t>
      </w:r>
    </w:p>
    <w:p>
      <w:pPr>
        <w:pStyle w:val="NormalHanging12a"/>
      </w:pPr>
      <w:r>
        <w:t>11.</w:t>
      </w:r>
      <w:r>
        <w:tab/>
      </w:r>
      <w:r>
        <w:t>podržava demokratskiji proces europskog semestra, uz snažnu uključenost Parlamenta u određivanje prioriteta gospodarske politike i donošenje odluka o gospodarskom upravljanju; ustraje u sustavnom uključivanju socijalnih partnera, organizacija civilnog društva te regionalnih i lokalnih aktera u postupak europskog semestra;</w:t>
      </w:r>
    </w:p>
    <w:p>
      <w:pPr>
        <w:pStyle w:val="NormalHanging12a"/>
      </w:pPr>
      <w:r>
        <w:t>12.</w:t>
      </w:r>
      <w:r>
        <w:tab/>
      </w:r>
      <w:r>
        <w:t>nalaže svojoj predsjednici da ovu Rezoluciju proslijedi Vijeću i Komisiji.</w:t>
      </w:r>
    </w:p>
    <w:sectPr>
      <w:footerReference w:type="even" r:id="rId6"/>
      <w:footerReference w:type="default" r:id="rId7"/>
      <w:footerReference w:type="first" r:id="rId8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5</w:t>
    </w:r>
    <w:r>
      <w:fldChar w:fldCharType="end"/>
    </w:r>
    <w:r>
      <w:tab/>
    </w:r>
    <w:r>
      <w:rPr>
        <w:rStyle w:val="HideTWBExt"/>
      </w:rPr>
      <w:t>&lt;PathFdR&gt;</w:t>
    </w:r>
    <w:r>
      <w:t>PR\1331649HR.docx</w:t>
    </w:r>
    <w:r>
      <w:rPr>
        <w:rStyle w:val="HideTWBExt"/>
      </w:rPr>
      <w:t>&lt;/PathFdR&gt;</w:t>
    </w:r>
  </w:p>
  <w:p>
    <w:pPr>
      <w:pStyle w:val="EPFooter2"/>
    </w:pPr>
    <w:r>
      <w:t>HR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PR\1331649HR.docx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5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PR\1331649HR.docx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HR</w:t>
    </w:r>
    <w:r>
      <w:tab/>
    </w:r>
    <w:r>
      <w:rPr>
        <w:rStyle w:val="EPFooter2Motto"/>
      </w:rPr>
      <w:t>Ujedinjena u raznolikosti</w:t>
    </w:r>
    <w:r>
      <w:tab/>
    </w:r>
    <w:r>
      <w:t>HR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>Radni dokument službi Komisije od 27. svibnja 2020. naslovljen „Identifying Europe’s recovery needs” (Utvrđivanje potreba za oporavak Europe) (SWD(20200098) priložen komunikaciji Komisije naslovljenoj „Europa na djelu: oporavak i priprema za sljedeću generaciju” (COM(2020)0456).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5</Pages>
  <Words>1098</Words>
  <Characters>6881</Characters>
  <Application>Microsoft Office Word</Application>
  <DocSecurity>0</DocSecurity>
  <Lines>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1331649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301155</vt:lpwstr>
  </property>
  <property fmtid="{D5CDD505-2E9C-101B-9397-08002B2CF9AE}" pid="7" name="dmxml.render.traceId">
    <vt:lpwstr>69301a1319ec2003762eb9d6f6c8003b</vt:lpwstr>
  </property>
  <property fmtid="{D5CDD505-2E9C-101B-9397-08002B2CF9AE}" pid="8" name="FooterPath">
    <vt:lpwstr>PR\1331649HR.doc</vt:lpwstr>
  </property>
  <property fmtid="{D5CDD505-2E9C-101B-9397-08002B2CF9AE}" pid="9" name="PE Number">
    <vt:lpwstr>779.558</vt:lpwstr>
  </property>
  <property fmtid="{D5CDD505-2E9C-101B-9397-08002B2CF9AE}" pid="10" name="UID">
    <vt:lpwstr>eu.europa.europarl-DIN1-2025-0000214726_01.07-hr-02.00_text-xml</vt:lpwstr>
  </property>
</Properties>
</file>