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Java 24.2.0 -->
  <w:body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4"/>
        <w:gridCol w:w="2268"/>
      </w:tblGrid>
      <w:tr>
        <w:tblPrEx>
          <w:tblW w:w="0" w:type="auto"/>
          <w:jc w:val="center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hRule="exact" w:val="1417"/>
          <w:jc w:val="center"/>
        </w:trPr>
        <w:tc>
          <w:tcPr>
            <w:tcW w:w="680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pStyle w:val="EPName"/>
            </w:pPr>
            <w:r>
              <w:t>Európai Parlament</w:t>
            </w:r>
          </w:p>
          <w:p>
            <w:pPr>
              <w:pStyle w:val="EPTerm"/>
              <w:jc w:val="left"/>
            </w:pPr>
            <w:r>
              <w:t>2024-2029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vAlign w:val="top"/>
          </w:tcPr>
          <w:p>
            <w:pPr>
              <w:pStyle w:val="EPLogo"/>
              <w:jc w:val="right"/>
            </w:pPr>
            <w: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91.56pt;height:51.46pt">
                  <v:imagedata r:id="rId5" o:title=""/>
                </v:shape>
              </w:pict>
            </w:r>
          </w:p>
        </w:tc>
      </w:tr>
    </w:tbl>
    <w:p>
      <w:pPr>
        <w:pStyle w:val="LineTop"/>
      </w:pPr>
      <w:r>
        <w:t xml:space="preserve"> </w:t>
      </w:r>
    </w:p>
    <w:p>
      <w:pPr>
        <w:pStyle w:val="EPBody"/>
      </w:pPr>
      <w:r>
        <w:rPr>
          <w:rStyle w:val="HideTWBExt"/>
        </w:rPr>
        <w:t>&lt;Commission&gt;</w:t>
      </w:r>
      <w:r>
        <w:rPr>
          <w:rStyle w:val="HideTWBInt"/>
        </w:rPr>
        <w:t>{EMPL}</w:t>
      </w:r>
      <w:r>
        <w:t>Foglalkoztatási és Szociális Bizottság</w:t>
      </w:r>
      <w:r>
        <w:rPr>
          <w:rStyle w:val="HideTWBExt"/>
        </w:rPr>
        <w:t>&lt;/Commission&gt;</w:t>
      </w:r>
    </w:p>
    <w:p>
      <w:pPr>
        <w:pStyle w:val="LineBottom"/>
      </w:pPr>
      <w:r>
        <w:t xml:space="preserve"> </w:t>
      </w:r>
    </w:p>
    <w:p>
      <w:pPr>
        <w:pStyle w:val="CoverReference"/>
      </w:pPr>
      <w:r>
        <w:rPr>
          <w:rStyle w:val="HideTWBExt"/>
        </w:rPr>
        <w:t>&lt;RefProc&gt;</w:t>
      </w:r>
      <w:r>
        <w:t>2025/2183</w:t>
      </w:r>
      <w:r>
        <w:rPr>
          <w:rStyle w:val="HideTWBExt"/>
        </w:rPr>
        <w:t>&lt;/RefProc&gt;</w:t>
      </w:r>
      <w:r>
        <w:rPr>
          <w:rStyle w:val="HideTWBExt"/>
        </w:rPr>
        <w:t>&lt;RefTypeProc&gt;</w:t>
      </w:r>
      <w:r>
        <w:t>(INI)</w:t>
      </w:r>
      <w:r>
        <w:rPr>
          <w:rStyle w:val="HideTWBExt"/>
        </w:rPr>
        <w:t>&lt;/RefTypeProc&gt;</w:t>
      </w:r>
    </w:p>
    <w:p>
      <w:pPr>
        <w:pStyle w:val="CoverDate"/>
      </w:pPr>
      <w:r>
        <w:rPr>
          <w:rStyle w:val="HideTWBExt"/>
        </w:rPr>
        <w:t>&lt;Date&gt;</w:t>
      </w:r>
      <w:r>
        <w:rPr>
          <w:rStyle w:val="HideTWBInt"/>
        </w:rPr>
        <w:t>{20/11/2025}</w:t>
      </w:r>
      <w:r>
        <w:t>20.11.2025</w:t>
      </w:r>
      <w:r>
        <w:rPr>
          <w:rStyle w:val="HideTWBExt"/>
        </w:rPr>
        <w:t>&lt;/Date&gt;</w:t>
      </w:r>
    </w:p>
    <w:p>
      <w:pPr>
        <w:pStyle w:val="CoverDocType24a"/>
      </w:pPr>
      <w:r>
        <w:rPr>
          <w:rStyle w:val="HideTWBExt"/>
        </w:rPr>
        <w:t>&lt;TitreType&gt;</w:t>
      </w:r>
      <w:r>
        <w:t>JELENTÉSTERVEZET</w:t>
      </w:r>
      <w:r>
        <w:rPr>
          <w:rStyle w:val="HideTWBExt"/>
        </w:rPr>
        <w:t>&lt;/TitreType&gt;</w:t>
      </w:r>
    </w:p>
    <w:p>
      <w:pPr>
        <w:pStyle w:val="CoverNormal"/>
      </w:pPr>
      <w:r>
        <w:rPr>
          <w:rStyle w:val="HideTWBExt"/>
        </w:rPr>
        <w:t>&lt;Titre&gt;</w:t>
      </w:r>
      <w:r>
        <w:t>a gazdaságpolitikai koordináció európai szemeszteréről: foglalkoztatási és szociális prioritások – 2026. évi éves jelentés</w:t>
      </w:r>
      <w:r>
        <w:rPr>
          <w:rStyle w:val="HideTWBExt"/>
        </w:rPr>
        <w:t>&lt;/Titre&gt;</w:t>
      </w:r>
    </w:p>
    <w:p>
      <w:pPr>
        <w:pStyle w:val="CoverNormal24a"/>
      </w:pPr>
      <w:r>
        <w:rPr>
          <w:rStyle w:val="HideTWBExt"/>
        </w:rPr>
        <w:t>&lt;DocRef&gt;</w:t>
      </w:r>
      <w:r>
        <w:t>(2025/2183(INI))</w:t>
      </w:r>
      <w:r>
        <w:rPr>
          <w:rStyle w:val="HideTWBExt"/>
        </w:rPr>
        <w:t>&lt;/DocRef&gt;</w:t>
      </w:r>
    </w:p>
    <w:p>
      <w:pPr>
        <w:pStyle w:val="CoverNormal24a"/>
      </w:pPr>
      <w:r>
        <w:rPr>
          <w:rStyle w:val="HideTWBExt"/>
        </w:rPr>
        <w:t>&lt;Commission&gt;</w:t>
      </w:r>
      <w:r>
        <w:rPr>
          <w:rStyle w:val="HideTWBInt"/>
        </w:rPr>
        <w:t>{EMPL}</w:t>
      </w:r>
      <w:r>
        <w:t>Foglalkoztatási és Szociális Bizottság</w:t>
      </w:r>
      <w:r>
        <w:rPr>
          <w:rStyle w:val="HideTWBExt"/>
        </w:rPr>
        <w:t>&lt;/Commission&gt;</w:t>
      </w:r>
    </w:p>
    <w:p>
      <w:pPr>
        <w:pStyle w:val="CoverNormal24a"/>
      </w:pPr>
      <w:r>
        <w:t>Előadó</w:t>
      </w:r>
      <w:r>
        <w:t xml:space="preserve">: </w:t>
      </w:r>
      <w:r>
        <w:rPr>
          <w:rStyle w:val="HideTWBExt"/>
        </w:rPr>
        <w:t>&lt;Depute&gt;</w:t>
      </w:r>
      <w:r>
        <w:t>Nela Riehl</w:t>
      </w:r>
      <w:r>
        <w:rPr>
          <w:rStyle w:val="HideTWBExt"/>
        </w:rPr>
        <w:t>&lt;/Depute&gt;</w:t>
      </w:r>
    </w:p>
    <w:p>
      <w:r>
        <w:br w:type="page"/>
      </w:r>
      <w:r>
        <w:t>PR_INI</w:t>
      </w:r>
    </w:p>
    <w:p>
      <w:pPr>
        <w:pStyle w:val="TOCHeading"/>
      </w:pPr>
      <w:r>
        <w:t>TARTALOM</w:t>
      </w:r>
    </w:p>
    <w:p>
      <w:pPr>
        <w:pStyle w:val="TOCPage"/>
      </w:pPr>
      <w:r>
        <w:t>Oldal</w:t>
      </w:r>
    </w:p>
    <w:p>
      <w:pPr>
        <w:pStyle w:val="TOC1"/>
        <w:tabs>
          <w:tab w:val="right" w:leader="dot" w:pos="9065"/>
        </w:tabs>
        <w:rPr>
          <w:rFonts w:ascii="Calibri" w:hAnsi="Calibri"/>
          <w:noProof/>
          <w:sz w:val="22"/>
        </w:rPr>
      </w:pPr>
      <w:r>
        <w:fldChar w:fldCharType="begin"/>
      </w:r>
      <w:r>
        <w:instrText xml:space="preserve"> TOC </w:instrText>
      </w:r>
      <w:r>
        <w:instrText xml:space="preserve"> \t</w:instrText>
      </w:r>
      <w:r>
        <w:instrText xml:space="preserve"> </w:instrText>
      </w:r>
      <w:r>
        <w:instrText>PageHeading</w:instrText>
      </w:r>
      <w:r>
        <w:fldChar w:fldCharType="separate"/>
      </w:r>
      <w:r>
        <w:t>AZ EURÓPAI PARLAMENT ÁLLÁSFOGLALÁSÁRA IRÁNYULÓ INDÍTVÁNY</w:t>
      </w:r>
      <w:r>
        <w:tab/>
      </w:r>
      <w:r>
        <w:fldChar w:fldCharType="begin"/>
      </w:r>
      <w:r>
        <w:instrText xml:space="preserve"> PAGEREF _Toc256000000 \h </w:instrText>
      </w:r>
      <w:r>
        <w:fldChar w:fldCharType="separate"/>
      </w:r>
      <w:r>
        <w:t>3</w:t>
      </w:r>
      <w:r>
        <w:fldChar w:fldCharType="end"/>
      </w:r>
    </w:p>
    <w:p>
      <w:pPr>
        <w:pStyle w:val="TOC1"/>
      </w:pPr>
      <w:r>
        <w:fldChar w:fldCharType="end"/>
      </w:r>
    </w:p>
    <w:p>
      <w:r>
        <w:br w:type="page"/>
      </w:r>
    </w:p>
    <w:p>
      <w:pPr>
        <w:pStyle w:val="PageHeading"/>
      </w:pPr>
      <w:bookmarkStart w:id="0" w:name="_Toc256000000"/>
      <w:r>
        <w:t>AZ EURÓPAI PARLAMENT ÁLLÁSFOGLALÁSÁRA IRÁNYULÓ INDÍTVÁNY</w:t>
      </w:r>
      <w:bookmarkEnd w:id="0"/>
    </w:p>
    <w:p>
      <w:pPr>
        <w:pStyle w:val="NormalBold"/>
      </w:pPr>
      <w:r>
        <w:t>a gazdaságpolitikai koordináció európai szemeszteréről: foglalkoztatási és szociális prioritások – 2026. évi éves jelentés</w:t>
      </w:r>
    </w:p>
    <w:p>
      <w:pPr>
        <w:pStyle w:val="NormalBold"/>
      </w:pPr>
    </w:p>
    <w:p>
      <w:pPr>
        <w:pStyle w:val="NormalBold12a"/>
      </w:pPr>
      <w:r>
        <w:t>(</w:t>
      </w:r>
      <w:r>
        <w:t>2025/2183(INI)</w:t>
      </w:r>
      <w:r>
        <w:t>)</w:t>
      </w:r>
    </w:p>
    <w:p>
      <w:pPr>
        <w:pStyle w:val="Normal12"/>
      </w:pPr>
      <w:r>
        <w:rPr>
          <w:i/>
        </w:rPr>
        <w:t xml:space="preserve">Az </w:t>
      </w:r>
      <w:r>
        <w:rPr>
          <w:i/>
        </w:rPr>
        <w:t>Európai Parlament</w:t>
      </w:r>
      <w:r>
        <w:t>,</w:t>
      </w:r>
    </w:p>
    <w:p>
      <w:pPr>
        <w:pStyle w:val="NormalHanging"/>
      </w:pPr>
      <w:r>
        <w:t>–</w:t>
      </w:r>
      <w:r>
        <w:tab/>
      </w:r>
      <w:r>
        <w:t>tekintettel az Európai Unióról szóló szerződés 3. cikkére,</w:t>
      </w:r>
    </w:p>
    <w:p>
      <w:pPr>
        <w:pStyle w:val="NormalHanging"/>
      </w:pPr>
      <w:r>
        <w:t>–</w:t>
      </w:r>
      <w:r>
        <w:tab/>
      </w:r>
      <w:r>
        <w:t>tekintettel az Európai Unió működéséről szóló szerződés (EUMSZ) 9., 121., 148. és 149. cikkére,</w:t>
      </w:r>
    </w:p>
    <w:p>
      <w:pPr>
        <w:pStyle w:val="NormalHanging"/>
      </w:pPr>
      <w:r>
        <w:t>–</w:t>
      </w:r>
      <w:r>
        <w:tab/>
      </w:r>
      <w:r>
        <w:t>tekintettel a szociális jogok európai pillérére, amelyet a Tanács, a Parlament és a Bizottság 2017. november 17-én hirdetett ki és írt alá,</w:t>
      </w:r>
    </w:p>
    <w:p>
      <w:pPr>
        <w:pStyle w:val="NormalHanging"/>
      </w:pPr>
      <w:r>
        <w:t>–</w:t>
      </w:r>
      <w:r>
        <w:tab/>
      </w:r>
      <w:r>
        <w:t>tekintettel a 2026. évi éves fenntartható növekedési jelentésről szóló, 2026. november XX-i bizottsági közleményre,</w:t>
      </w:r>
    </w:p>
    <w:p>
      <w:pPr>
        <w:pStyle w:val="NormalHanging"/>
      </w:pPr>
      <w:r>
        <w:t>–</w:t>
      </w:r>
      <w:r>
        <w:tab/>
      </w:r>
      <w:r>
        <w:t>tekintettel a Bizottság és a Tanács együttes foglalkoztatási jelentésére irányuló, 2026. XXX-i bizottsági javaslatra,</w:t>
      </w:r>
    </w:p>
    <w:p>
      <w:pPr>
        <w:pStyle w:val="NormalHanging"/>
      </w:pPr>
      <w:r>
        <w:t>–</w:t>
      </w:r>
      <w:r>
        <w:tab/>
      </w:r>
      <w:r>
        <w:t>tekintettel az euróövezet gazdaságpolitikájáról szóló tanácsi ajánlásra vonatkozó, 2026. XXX-i európai bizottsági ajánlásra,</w:t>
      </w:r>
    </w:p>
    <w:p>
      <w:pPr>
        <w:pStyle w:val="NormalHanging"/>
      </w:pPr>
      <w:r>
        <w:t>–</w:t>
      </w:r>
      <w:r>
        <w:tab/>
      </w:r>
      <w:r>
        <w:t>tekintettel „A riasztási mechanizmus keretében készült 2025. évi jelentés” című, 2026. XXX-i bizottsági jelentésére,</w:t>
      </w:r>
    </w:p>
    <w:p>
      <w:pPr>
        <w:pStyle w:val="NormalHanging"/>
      </w:pPr>
      <w:r>
        <w:t>–</w:t>
      </w:r>
      <w:r>
        <w:tab/>
      </w:r>
      <w:r>
        <w:t>tekintettel a „2025. évi költségvetésiterv-javaslatok: Átfogó értékelés” című, 2026. november XX-i bizottsági közleményre,</w:t>
      </w:r>
    </w:p>
    <w:p>
      <w:pPr>
        <w:pStyle w:val="NormalHanging"/>
      </w:pPr>
      <w:r>
        <w:t>–</w:t>
      </w:r>
      <w:r>
        <w:tab/>
      </w:r>
      <w:r>
        <w:t>tekintettel Mario Draghi „Az európai versenyképesség jövője” című, 2024 szeptemberében közzétett jelentésére,</w:t>
      </w:r>
    </w:p>
    <w:p>
      <w:pPr>
        <w:pStyle w:val="NormalHanging"/>
      </w:pPr>
      <w:r>
        <w:t>–</w:t>
      </w:r>
      <w:r>
        <w:tab/>
      </w:r>
      <w:r>
        <w:t>tekintettel Enrico Letta „Much more than a market” (Jóval több, mint piac) című, az egységes piac jövőjéről szóló, 2024 áprilisában közzétett jelentésére,</w:t>
      </w:r>
    </w:p>
    <w:p>
      <w:pPr>
        <w:pStyle w:val="NormalHanging"/>
      </w:pPr>
      <w:r>
        <w:t>–</w:t>
      </w:r>
      <w:r>
        <w:tab/>
      </w:r>
      <w:r>
        <w:t>tekintettel az uniós szociális védelem és jóléti állam jövőjével foglalkozó magas szintű munkacsoport jelentésére, amelyet 2023 januárjában tettek közzé,</w:t>
      </w:r>
    </w:p>
    <w:p>
      <w:pPr>
        <w:pStyle w:val="NormalHanging"/>
      </w:pPr>
      <w:r>
        <w:t>–</w:t>
      </w:r>
      <w:r>
        <w:tab/>
      </w:r>
      <w:r>
        <w:t>tekintettel eljárási szabályzata 55. cikkére,</w:t>
      </w:r>
    </w:p>
    <w:p>
      <w:pPr>
        <w:pStyle w:val="NormalHanging"/>
      </w:pPr>
      <w:r>
        <w:t>–</w:t>
      </w:r>
      <w:r>
        <w:tab/>
      </w:r>
      <w:r>
        <w:t>tekintettel a Foglalkoztatási és Szociális Bizottság jelentésére (A10-0000/2025),</w:t>
      </w:r>
    </w:p>
    <w:p>
      <w:pPr>
        <w:pStyle w:val="NormalHanging"/>
      </w:pPr>
      <w:r>
        <w:t>A.</w:t>
      </w:r>
      <w:r>
        <w:tab/>
      </w:r>
      <w:r>
        <w:t>mivel 2025 júniusában az EU-ban a munkanélküliségi ráta 5,9% volt, míg az ifjúsági munkanélküliség továbbra is magas, 14,7%-os; mivel a magasabb foglalkoztatási szintek nem járnak mindig együtt minőségi munkahelyekkel, béremelésekkel és a termelékenység növekedésével;</w:t>
      </w:r>
    </w:p>
    <w:p>
      <w:pPr>
        <w:pStyle w:val="NormalHanging"/>
      </w:pPr>
      <w:r>
        <w:t>B.</w:t>
      </w:r>
      <w:r>
        <w:tab/>
      </w:r>
      <w:r>
        <w:t>mivel az európai szemeszter továbbra is a gazdasági, költségvetési, foglalkoztatási és szociálpolitika EU-szerte történő összehangolásának központi eszköze, és így lehetőséget kínál arra, hogy a társadalmi, környezeti és generációk közötti méltányosságot szisztematikusabban beépítsék a makrogazdasági irányításba;</w:t>
      </w:r>
    </w:p>
    <w:p>
      <w:pPr>
        <w:pStyle w:val="NormalHanging"/>
      </w:pPr>
      <w:r>
        <w:t>C.</w:t>
      </w:r>
      <w:r>
        <w:tab/>
      </w:r>
      <w:r>
        <w:t>mivel 2024-ben az EU lakosságának 21%-a volt kitéve a szegénység vagy a társadalmi kirekesztődés kockázatának (AROPE); mivel nem történt elegendő előrelépés azon célkitűzés felé, hogy 2030-ig 5 millióval csökkenjen a szegénység vagy a társadalmi kirekesztődés kockázatának kitett gyermekek száma;</w:t>
      </w:r>
    </w:p>
    <w:p>
      <w:pPr>
        <w:pStyle w:val="NormalHanging"/>
      </w:pPr>
      <w:r>
        <w:t>D.</w:t>
      </w:r>
      <w:r>
        <w:tab/>
      </w:r>
      <w:r>
        <w:t>mivel az éghajlatváltozás és a környezet pusztulása súlyosbította az egyenlőtlenségeket, és a legkiszolgáltatottabb csoportokat érintette; mivel a klímasemlegességre való átállás várhatóan mintegy 2,5 millió új munkahelyet teremt;</w:t>
      </w:r>
    </w:p>
    <w:p>
      <w:pPr>
        <w:pStyle w:val="NormalHanging"/>
      </w:pPr>
      <w:r>
        <w:t>E.</w:t>
      </w:r>
      <w:r>
        <w:tab/>
      </w:r>
      <w:r>
        <w:t>mivel a növekvő lakhatási költségek nyomás és a magas energiaárak jelentős terheket rónak a háztartásokra, ugyanakkor a lakhatási politika gyakran alulreprezentált az országspecifikus ajánlásokban;</w:t>
      </w:r>
    </w:p>
    <w:p>
      <w:pPr>
        <w:pStyle w:val="NormalHanging"/>
      </w:pPr>
      <w:r>
        <w:t>F.</w:t>
      </w:r>
      <w:r>
        <w:tab/>
      </w:r>
      <w:r>
        <w:t>mivel az EU számos tényező – többek között a rossz minőségű munkahelyek – miatt tartós munkaerő- és készséghiánnyal néz szembe;</w:t>
      </w:r>
    </w:p>
    <w:p>
      <w:pPr>
        <w:pStyle w:val="NormalHanging"/>
      </w:pPr>
      <w:r>
        <w:t>G.</w:t>
      </w:r>
      <w:r>
        <w:tab/>
      </w:r>
      <w:r>
        <w:t>mivel az adatok szerint a legtöbb tagállamban több erőfeszítésre van szükség annak a célnak az eléréséhez, hogy 2030-ra a felnőttek 60%-a vegyen részt oktatásban és képzésben; mivel az európai szemeszteren belül a szakpolitikai koordináció integrált megközelítése keretet biztosít a humántőke-fejlesztésbe és az oktatási és képzési rendszerekbe történő nélkülözhetetlen beruházásokhoz;</w:t>
      </w:r>
    </w:p>
    <w:p>
      <w:pPr>
        <w:pStyle w:val="NormalHanging"/>
      </w:pPr>
      <w:r>
        <w:t>H.</w:t>
      </w:r>
      <w:r>
        <w:tab/>
      </w:r>
      <w:r>
        <w:t>mivel a becslések szerint évente 192 milliárd EUR további beruházásra van szükség a szociális infrastruktúra terén, többek között a megfizethető lakhatás, az egészségügy és a tartós ápolás-gondozás, az oktatás és az egész életen át tartó képzés terén</w:t>
      </w:r>
      <w:r>
        <w:rPr>
          <w:rStyle w:val="FootnoteReference"/>
        </w:rPr>
        <w:footnoteReference w:customMarkFollows="1" w:id="2"/>
        <w:t xml:space="preserve">1</w:t>
      </w:r>
      <w:r>
        <w:t>; mivel további munkára van szükség az EU-n belüli szociális beruházási hiány és a szociális beruházások gazdasági megtérülésének méréséhez;</w:t>
      </w:r>
    </w:p>
    <w:p>
      <w:pPr>
        <w:pStyle w:val="NormalHanging12a"/>
      </w:pPr>
      <w:r>
        <w:t>1.</w:t>
      </w:r>
      <w:r>
        <w:tab/>
      </w:r>
      <w:r>
        <w:t>hangsúlyozza az EU szociális modelljébe való beruházás versenyelőnyét; kéri, hogy a szociális védelem és a jóléti állam jövőjével foglalkozó magas szintű munkacsoport ajánlásait, valamint a Letta- és Draghi-jelentés ajánlásait építsék be az európai szemeszter folyamatába; üdvözli a szociális jogok európai pillérének integrálását a gazdasági kormányzási keretbe, és felhívja a tagállamokat, hogy használják ki a szociális jogok európai pillérének prioritásaiba való beruházás kiigazítási időszaka meghosszabbításának lehetőségét; kéri, hogy az integrált irányítási keret tükröződjön az uniós intézmények belső folyamataiban, gazdasági és társadalmi szerveik egyenlő mértékű bevonásával;</w:t>
      </w:r>
    </w:p>
    <w:p>
      <w:pPr>
        <w:pStyle w:val="NormalHanging12a"/>
      </w:pPr>
      <w:r>
        <w:t>2.</w:t>
      </w:r>
      <w:r>
        <w:tab/>
      </w:r>
      <w:r>
        <w:t>úgy véli, hogy a Bizottságnak és a Tanácsnak fokoznia kell a szociális jogok európai pillérének végrehajtására irányuló erőfeszítéseit; kéri, hogy a szociális jogok európai pillérére vonatkozó cselekvési terv céljait teljes mértékben építsék be az európai szemeszterbe azáltal, hogy azokat referenciaértékekké teszik az európai szemeszter értékelései során;</w:t>
      </w:r>
    </w:p>
    <w:p>
      <w:pPr>
        <w:pStyle w:val="NormalHanging12a"/>
      </w:pPr>
      <w:r>
        <w:t>3.</w:t>
      </w:r>
      <w:r>
        <w:tab/>
      </w:r>
      <w:r>
        <w:t>üdvözli a Bizottság azon törekvését, hogy 2050-ig felszámolja a szegénységet, és hogy javaslatot kíván tenni egy minőségi munkahelyekről szóló jogszabályra; hangsúlyozza, hogy koherenciára van szükség az európai szemeszter, a szociális jogok európai pillérére vonatkozó cselekvési terv nyomon követése és e jövőbeli eszközök között, mérhető célokkal és megfelelő országspecifikus ajánlásokkal;</w:t>
      </w:r>
    </w:p>
    <w:p>
      <w:pPr>
        <w:pStyle w:val="NormalHanging12a"/>
      </w:pPr>
      <w:r>
        <w:t>4.</w:t>
      </w:r>
      <w:r>
        <w:tab/>
      </w:r>
      <w:r>
        <w:t>üdvözli a társadalmi konvergencia keretének állandó beépítését az európai szemeszterbe; hangsúlyozza az európai szemeszter fontosságát abban, hogy a szociális eredménytáblával együtt azonosítsák a kockázatokat és nyomon kövessék a felfelé irányuló társadalmi konvergencia terén elért eredményeket;</w:t>
      </w:r>
    </w:p>
    <w:p>
      <w:pPr>
        <w:pStyle w:val="NormalHanging12a"/>
      </w:pPr>
      <w:r>
        <w:t>5.</w:t>
      </w:r>
      <w:r>
        <w:tab/>
      </w:r>
      <w:r>
        <w:t>emlékeztet, hogy a szociális beruházások pozitív hatást gyakorolhatnak a gazdasági növekedésre, a termelékenységre és a versenyképességre, ezáltal támogatva a költségvetési fenntarthatóságot is, miközben előmozdítják a felfelé irányuló társadalmi konvergenciát; felhívja a Bizottságot és a Tanácsot, hogy a szociális beruházásokat tekintsék a fenntartható növekedés alapelemeinek;</w:t>
      </w:r>
    </w:p>
    <w:p>
      <w:pPr>
        <w:pStyle w:val="NormalHanging12a"/>
      </w:pPr>
      <w:r>
        <w:t>6.</w:t>
      </w:r>
      <w:r>
        <w:tab/>
      </w:r>
      <w:r>
        <w:t>hangsúlyozza, hogy a Bizottság megfizethető lakhatásra vonatkozó tervét jobban be kell építeni az európai szemeszterbe, nagyobb hangsúlyt fektetve a megfizethető, fenntartható és tisztességes lakhatásra az országspecifikus ajánlásokban; emlékezteti a hajléktalanság elleni küzdelem európai platformjáról szóló lisszaboni nyilatkozat aláíróit a hajléktalanság 2030-ig történő felszámolására irányuló célkitűzésre;</w:t>
      </w:r>
    </w:p>
    <w:p>
      <w:pPr>
        <w:pStyle w:val="NormalHanging12a"/>
      </w:pPr>
      <w:r>
        <w:t>7.</w:t>
      </w:r>
      <w:r>
        <w:tab/>
      </w:r>
      <w:r>
        <w:t>hangsúlyozza, hogy az oktatásba, a továbbképzésbe és az átképzésbe való beruházás stratégiai szociális beruházás, amely hosszú távon megtérül a versenyképesség és a kohézió szempontjából;</w:t>
      </w:r>
    </w:p>
    <w:p>
      <w:pPr>
        <w:pStyle w:val="NormalHanging12a"/>
      </w:pPr>
      <w:r>
        <w:t>8.</w:t>
      </w:r>
      <w:r>
        <w:tab/>
      </w:r>
      <w:r>
        <w:t>hangsúlyozza, hogy a generációk közötti méltányosságnak az európai szemeszter strukturális elemévé kell válnia; felhívja a Bizottságot, hogy a generációk közötti méltányosságra vonatkozó stratégiájának részeként építsen be az európai szemeszter értékelési keretébe a fiatalok jóllétére, a minőségi munkahelyekhez való hozzáférésre, a lakhatás megfizethetőségére, az oktatásra és a készségekre vonatkozó mutatókat, és módszeresen értékelje a költségvetési és reformajánlások hosszú távú hatásait;</w:t>
      </w:r>
    </w:p>
    <w:p>
      <w:pPr>
        <w:pStyle w:val="NormalHanging12a"/>
      </w:pPr>
      <w:r>
        <w:t>9.</w:t>
      </w:r>
      <w:r>
        <w:tab/>
      </w:r>
      <w:r>
        <w:t>elismeri, hogy a tagállamok kötelezettséget vállaltak arra, hogy 2035-ig évente a GDP 5%-át fektetik be az alapvető védelmi követelményekbe és a kapcsolódó biztonsági kiadásokba, többek között a nemzeti mentesítési rendelkezés aktiválása révén; hangsúlyozza, hogy az európai szemeszter keretében ezeket a kiadásokat összehangolt módon kell megtervezni;</w:t>
      </w:r>
    </w:p>
    <w:p>
      <w:pPr>
        <w:pStyle w:val="NormalHanging12a"/>
      </w:pPr>
      <w:r>
        <w:t>10.</w:t>
      </w:r>
      <w:r>
        <w:tab/>
      </w:r>
      <w:r>
        <w:t>megjegyzi, hogy az európai szemeszter 2026. évi ajánlásai alapvető szerepet fognak játszani a nemzeti és regionális partnerségi tervek kialakításában; úgy véli, hogy a reformokat és a beruházásokat annak alapján kell kiválasztani, hogy mennyire hatékonyak és eredményesek a vonatkozó országspecifikus ajánlások terén;</w:t>
      </w:r>
    </w:p>
    <w:p>
      <w:pPr>
        <w:pStyle w:val="NormalHanging12a"/>
      </w:pPr>
      <w:r>
        <w:t>11.</w:t>
      </w:r>
      <w:r>
        <w:tab/>
      </w:r>
      <w:r>
        <w:t>támogatja az európai szemeszter folyamatának demokratikusabbá tételét a Parlament erőteljes bevonásával a gazdaságpolitikai prioritások meghatározásába és a gazdaságirányítási döntések meghozatalába; ragaszkodik ahhoz, hogy a szociális partnereket, a civil társadalmi szervezeteket, valamint a regionális és helyi szereplőket szisztematikusan vonják be az európai szemeszter folyamatába;</w:t>
      </w:r>
    </w:p>
    <w:p>
      <w:pPr>
        <w:pStyle w:val="NormalHanging12a"/>
      </w:pPr>
      <w:r>
        <w:t>12.</w:t>
      </w:r>
      <w:r>
        <w:tab/>
      </w:r>
      <w:r>
        <w:t>utasítja elnökét, hogy továbbítsa ezt az állásfoglalást a Tanácsnak és a Bizottságnak.</w:t>
      </w:r>
    </w:p>
    <w:sectPr>
      <w:footerReference w:type="even" r:id="rId6"/>
      <w:footerReference w:type="default" r:id="rId7"/>
      <w:footerReference w:type="first" r:id="rId8"/>
      <w:pgSz w:w="11909" w:h="16834"/>
      <w:pgMar w:top="1134" w:right="1417" w:bottom="1417" w:left="1417" w:header="1134" w:footer="567"/>
      <w:cols w:space="720"/>
      <w:titlePg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t>PE</w:t>
    </w:r>
    <w:r>
      <w:rPr>
        <w:rStyle w:val="HideTWBExt"/>
      </w:rPr>
      <w:t>&lt;NoPE&gt;</w:t>
    </w:r>
    <w:r>
      <w:t>779.558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6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6</w:t>
    </w:r>
    <w:r>
      <w:fldChar w:fldCharType="end"/>
    </w:r>
    <w:r>
      <w:tab/>
    </w:r>
    <w:r>
      <w:rPr>
        <w:rStyle w:val="HideTWBExt"/>
      </w:rPr>
      <w:t>&lt;PathFdR&gt;</w:t>
    </w:r>
    <w:r>
      <w:t>PR\1331649HU.docx</w:t>
    </w:r>
    <w:r>
      <w:rPr>
        <w:rStyle w:val="HideTWBExt"/>
      </w:rPr>
      <w:t>&lt;/PathFdR&gt;</w:t>
    </w:r>
  </w:p>
  <w:p>
    <w:pPr>
      <w:pStyle w:val="EPFooter2"/>
    </w:pPr>
    <w:r>
      <w:t>HU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PR\1331649HU.docx</w:t>
    </w:r>
    <w:r>
      <w:rPr>
        <w:rStyle w:val="HideTWBExt"/>
      </w:rPr>
      <w:t>&lt;/PathFdR&gt;</w:t>
    </w:r>
    <w:r>
      <w:tab/>
    </w:r>
    <w:r>
      <w:fldChar w:fldCharType="begin"/>
    </w:r>
    <w:r>
      <w:instrText xml:space="preserve"> PAGE </w:instrText>
    </w:r>
    <w:r>
      <w:fldChar w:fldCharType="separate"/>
    </w:r>
    <w:r>
      <w:t>5</w:t>
    </w:r>
    <w:r>
      <w:fldChar w:fldCharType="end"/>
    </w:r>
    <w:r>
      <w:t>/</w:t>
    </w:r>
    <w:r>
      <w:fldChar w:fldCharType="begin"/>
    </w:r>
    <w:r>
      <w:instrText xml:space="preserve"> NUMPAGES </w:instrText>
    </w:r>
    <w:r>
      <w:fldChar w:fldCharType="separate"/>
    </w:r>
    <w:r>
      <w:t>6</w:t>
    </w:r>
    <w:r>
      <w:fldChar w:fldCharType="end"/>
    </w:r>
    <w:r>
      <w:tab/>
    </w:r>
    <w:r>
      <w:t>PE</w:t>
    </w:r>
    <w:r>
      <w:rPr>
        <w:rStyle w:val="HideTWBExt"/>
      </w:rPr>
      <w:t>&lt;NoPE&gt;</w:t>
    </w:r>
    <w:r>
      <w:t>779.558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ab/>
    </w:r>
    <w:r>
      <w:tab/>
    </w:r>
    <w:r>
      <w:t>HU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pStyle w:val="EPFooter"/>
    </w:pPr>
    <w:r>
      <w:rPr>
        <w:rStyle w:val="HideTWBExt"/>
      </w:rPr>
      <w:t>&lt;PathFdR&gt;</w:t>
    </w:r>
    <w:r>
      <w:t>PR\1331649HU.docx</w:t>
    </w:r>
    <w:r>
      <w:rPr>
        <w:rStyle w:val="HideTWBExt"/>
      </w:rPr>
      <w:t>&lt;/PathFdR&gt;</w:t>
    </w:r>
    <w:r>
      <w:tab/>
    </w:r>
    <w:r>
      <w:tab/>
    </w:r>
    <w:r>
      <w:t>PE</w:t>
    </w:r>
    <w:r>
      <w:rPr>
        <w:rStyle w:val="HideTWBExt"/>
      </w:rPr>
      <w:t>&lt;NoPE&gt;</w:t>
    </w:r>
    <w:r>
      <w:t>779.558</w:t>
    </w:r>
    <w:r>
      <w:rPr>
        <w:rStyle w:val="HideTWBExt"/>
      </w:rPr>
      <w:t>&lt;/NoPE&gt;</w:t>
    </w:r>
    <w:r>
      <w:rPr>
        <w:rStyle w:val="HideTWBExt"/>
      </w:rPr>
      <w:t>&lt;Version&gt;</w:t>
    </w:r>
    <w:r>
      <w:t>v01-00</w:t>
    </w:r>
    <w:r>
      <w:rPr>
        <w:rStyle w:val="HideTWBExt"/>
      </w:rPr>
      <w:t>&lt;/Version&gt;</w:t>
    </w:r>
  </w:p>
  <w:p>
    <w:pPr>
      <w:pStyle w:val="EPFooter2"/>
    </w:pPr>
    <w:r>
      <w:t>HU</w:t>
    </w:r>
    <w:r>
      <w:tab/>
    </w:r>
    <w:r>
      <w:rPr>
        <w:rStyle w:val="EPFooter2Motto"/>
      </w:rPr>
      <w:t>Egyesülve a sokféleségben</w:t>
    </w:r>
    <w:r>
      <w:tab/>
    </w:r>
    <w:r>
      <w:t>HU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>
      <w:pPr>
        <w:spacing w:after="0" w:line="240" w:lineRule="auto"/>
      </w:pPr>
      <w:r>
        <w:separator/>
      </w:r>
    </w:p>
  </w:footnote>
  <w:footnote w:type="continuationSeparator" w:id="1">
    <w:p>
      <w:pPr>
        <w:spacing w:after="0" w:line="240" w:lineRule="auto"/>
      </w:pPr>
      <w:r>
        <w:continuationSeparator/>
      </w:r>
    </w:p>
  </w:footnote>
  <w:footnote w:id="2">
    <w:p>
      <w:pPr>
        <w:pStyle w:val="FootnoteText"/>
      </w:pPr>
      <w:r>
        <w:rPr>
          <w:vertAlign w:val="superscript"/>
        </w:rPr>
        <w:t>1</w:t>
      </w:r>
      <w:r>
        <w:t xml:space="preserve"> </w:t>
      </w:r>
      <w:r>
        <w:t>„Európa helyreállítási szükségleteinek azonosítása” című, 2020. május 27-i bizottsági szolgálati munkadokumentum (SWD(20200098)), amely az „Európa nagy pillanata: Helyreállítás és felkészülés – a jövő generációért” című bizottsági közleményt (COM(2020)0456) kíséri.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hybridMultilevel"/>
    <w:tmpl w:val="0000000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0000002"/>
    <w:multiLevelType w:val="hybridMultilevel"/>
    <w:tmpl w:val="00000001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evenAndOddHeaders/>
  <w:noPunctuationKerning/>
  <w:characterSpacingControl w:val="doNotCompress"/>
  <w:footnotePr>
    <w:footnote w:id="0"/>
    <w:footnote w:id="1"/>
  </w:foot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</w:pPr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TOCPage">
    <w:name w:val="TOC Page"/>
    <w:basedOn w:val="Normal"/>
    <w:pPr>
      <w:keepNext/>
      <w:widowControl/>
      <w:spacing w:after="240"/>
      <w:jc w:val="right"/>
    </w:pPr>
    <w:rPr>
      <w:rFonts w:ascii="Arial" w:hAnsi="Arial"/>
      <w:b/>
    </w:rPr>
  </w:style>
  <w:style w:type="paragraph" w:customStyle="1" w:styleId="PageHeading">
    <w:name w:val="PageHeading"/>
    <w:basedOn w:val="Normal"/>
    <w:pPr>
      <w:keepNext/>
      <w:widowControl/>
      <w:spacing w:after="480"/>
      <w:jc w:val="center"/>
    </w:pPr>
    <w:rPr>
      <w:rFonts w:ascii="Arial" w:eastAsia="Arial" w:hAnsi="Arial" w:cs="Arial"/>
      <w:b/>
    </w:rPr>
  </w:style>
  <w:style w:type="paragraph" w:customStyle="1" w:styleId="EPComma">
    <w:name w:val="EPComma"/>
    <w:basedOn w:val="Normal"/>
    <w:pPr>
      <w:widowControl/>
      <w:spacing w:before="480" w:after="240"/>
    </w:pPr>
  </w:style>
  <w:style w:type="paragraph" w:customStyle="1" w:styleId="NormalBold">
    <w:name w:val="NormalBold"/>
    <w:basedOn w:val="Normal"/>
    <w:pPr>
      <w:widowControl/>
    </w:pPr>
    <w:rPr>
      <w:b/>
    </w:rPr>
  </w:style>
  <w:style w:type="paragraph" w:customStyle="1" w:styleId="EPName">
    <w:name w:val="EPName"/>
    <w:basedOn w:val="Normal"/>
    <w:pPr>
      <w:widowControl/>
      <w:spacing w:before="80" w:after="80"/>
    </w:pPr>
    <w:rPr>
      <w:rFonts w:ascii="Arial Narrow" w:eastAsia="Arial" w:hAnsi="Arial Narrow" w:cs="Arial"/>
      <w:b/>
      <w:sz w:val="32"/>
    </w:rPr>
  </w:style>
  <w:style w:type="character" w:customStyle="1" w:styleId="HideTWBExt">
    <w:name w:val="HideTWBExt"/>
    <w:rPr>
      <w:rFonts w:ascii="Arial" w:hAnsi="Arial"/>
      <w:vanish/>
      <w:color w:val="000080"/>
      <w:sz w:val="20"/>
    </w:rPr>
  </w:style>
  <w:style w:type="paragraph" w:customStyle="1" w:styleId="EPFooter2">
    <w:name w:val="EPFooter2"/>
    <w:basedOn w:val="Normal"/>
    <w:next w:val="Normal"/>
    <w:pPr>
      <w:widowControl/>
      <w:tabs>
        <w:tab w:val="center" w:pos="4534"/>
        <w:tab w:val="right" w:pos="9920"/>
      </w:tabs>
      <w:ind w:left="-840" w:right="-840"/>
    </w:pPr>
    <w:rPr>
      <w:rFonts w:ascii="Arial" w:eastAsia="Arial" w:hAnsi="Arial" w:cs="Arial"/>
      <w:b/>
      <w:sz w:val="48"/>
    </w:rPr>
  </w:style>
  <w:style w:type="paragraph" w:customStyle="1" w:styleId="Normal12a">
    <w:name w:val="Normal12a"/>
    <w:basedOn w:val="Normal"/>
    <w:pPr>
      <w:widowControl/>
      <w:spacing w:after="240"/>
    </w:pPr>
  </w:style>
  <w:style w:type="character" w:customStyle="1" w:styleId="HideTWBInt">
    <w:name w:val="HideTWBInt"/>
    <w:rPr>
      <w:rFonts w:ascii="Arial" w:hAnsi="Arial"/>
      <w:vanish/>
      <w:color w:val="808080"/>
      <w:sz w:val="20"/>
    </w:rPr>
  </w:style>
  <w:style w:type="paragraph" w:customStyle="1" w:styleId="CoverNormal24a">
    <w:name w:val="CoverNormal24a"/>
    <w:basedOn w:val="Normal"/>
    <w:pPr>
      <w:widowControl/>
      <w:spacing w:after="480"/>
      <w:ind w:left="1416"/>
    </w:pPr>
  </w:style>
  <w:style w:type="paragraph" w:customStyle="1" w:styleId="CoverNormal">
    <w:name w:val="CoverNormal"/>
    <w:basedOn w:val="Normal"/>
    <w:pPr>
      <w:widowControl/>
      <w:ind w:left="1418"/>
    </w:pPr>
  </w:style>
  <w:style w:type="paragraph" w:customStyle="1" w:styleId="CoverReference">
    <w:name w:val="CoverReference"/>
    <w:basedOn w:val="Normal"/>
    <w:pPr>
      <w:widowControl/>
      <w:spacing w:before="1080"/>
      <w:jc w:val="right"/>
    </w:pPr>
    <w:rPr>
      <w:rFonts w:ascii="Arial" w:hAnsi="Arial"/>
      <w:b/>
    </w:rPr>
  </w:style>
  <w:style w:type="paragraph" w:customStyle="1" w:styleId="CoverDocType24a">
    <w:name w:val="CoverDocType24a"/>
    <w:basedOn w:val="Normal"/>
    <w:pPr>
      <w:widowControl/>
      <w:spacing w:after="480"/>
      <w:ind w:left="1416"/>
    </w:pPr>
    <w:rPr>
      <w:rFonts w:ascii="Arial" w:eastAsia="Arial" w:hAnsi="Arial" w:cs="Arial"/>
      <w:b/>
      <w:sz w:val="48"/>
    </w:rPr>
  </w:style>
  <w:style w:type="paragraph" w:customStyle="1" w:styleId="CoverDate">
    <w:name w:val="CoverDate"/>
    <w:basedOn w:val="Normal"/>
    <w:pPr>
      <w:widowControl/>
      <w:spacing w:before="240" w:after="1200"/>
    </w:pPr>
  </w:style>
  <w:style w:type="paragraph" w:customStyle="1" w:styleId="NormalHanging12a">
    <w:name w:val="NormalHanging12a"/>
    <w:basedOn w:val="Normal"/>
    <w:pPr>
      <w:widowControl/>
      <w:overflowPunct/>
      <w:spacing w:after="240"/>
      <w:ind w:left="566" w:hanging="566"/>
    </w:pPr>
  </w:style>
  <w:style w:type="paragraph" w:customStyle="1" w:styleId="EPBody">
    <w:name w:val="EPBody"/>
    <w:basedOn w:val="Normal"/>
    <w:pPr>
      <w:widowControl/>
      <w:jc w:val="center"/>
    </w:pPr>
    <w:rPr>
      <w:rFonts w:ascii="Arial" w:eastAsia="Arial" w:hAnsi="Arial" w:cs="Arial"/>
      <w:i/>
      <w:sz w:val="22"/>
    </w:rPr>
  </w:style>
  <w:style w:type="paragraph" w:customStyle="1" w:styleId="LineTop">
    <w:name w:val="LineTop"/>
    <w:basedOn w:val="Normal"/>
    <w:next w:val="Normal"/>
    <w:pPr>
      <w:widowControl/>
      <w:pBdr>
        <w:top w:val="single" w:sz="4" w:space="1" w:color="000000"/>
      </w:pBdr>
      <w:jc w:val="center"/>
    </w:pPr>
    <w:rPr>
      <w:rFonts w:ascii="Arial" w:hAnsi="Arial"/>
      <w:sz w:val="16"/>
    </w:rPr>
  </w:style>
  <w:style w:type="paragraph" w:customStyle="1" w:styleId="LineBottom">
    <w:name w:val="LineBottom"/>
    <w:basedOn w:val="Normal"/>
    <w:next w:val="Normal"/>
    <w:pPr>
      <w:widowControl/>
      <w:pBdr>
        <w:bottom w:val="single" w:sz="4" w:space="1" w:color="000000"/>
      </w:pBdr>
      <w:spacing w:after="240"/>
      <w:jc w:val="center"/>
    </w:pPr>
    <w:rPr>
      <w:rFonts w:ascii="Arial" w:hAnsi="Arial"/>
      <w:sz w:val="16"/>
    </w:rPr>
  </w:style>
  <w:style w:type="paragraph" w:customStyle="1" w:styleId="EPTerm">
    <w:name w:val="EPTerm"/>
    <w:basedOn w:val="Normal"/>
    <w:next w:val="Normal"/>
    <w:pPr>
      <w:widowControl/>
      <w:spacing w:after="80"/>
    </w:pPr>
    <w:rPr>
      <w:rFonts w:ascii="Arial" w:eastAsia="Arial" w:hAnsi="Arial" w:cs="Arial"/>
      <w:sz w:val="20"/>
    </w:rPr>
  </w:style>
  <w:style w:type="paragraph" w:customStyle="1" w:styleId="EPLogo">
    <w:name w:val="EPLogo"/>
    <w:basedOn w:val="Normal"/>
    <w:pPr>
      <w:widowControl/>
      <w:jc w:val="right"/>
    </w:pPr>
  </w:style>
  <w:style w:type="paragraph" w:customStyle="1" w:styleId="EPFooter">
    <w:name w:val="EPFooter"/>
    <w:basedOn w:val="Normal"/>
    <w:pPr>
      <w:widowControl/>
      <w:tabs>
        <w:tab w:val="center" w:pos="4534"/>
        <w:tab w:val="right" w:pos="9070"/>
      </w:tabs>
      <w:spacing w:before="240" w:after="240"/>
    </w:pPr>
    <w:rPr>
      <w:sz w:val="22"/>
    </w:rPr>
  </w:style>
  <w:style w:type="paragraph" w:customStyle="1" w:styleId="CoverNormal12a">
    <w:name w:val="CoverNormal12a"/>
    <w:basedOn w:val="Normal"/>
    <w:pPr>
      <w:widowControl/>
      <w:spacing w:after="240"/>
      <w:ind w:left="1418"/>
    </w:pPr>
  </w:style>
  <w:style w:type="paragraph" w:customStyle="1" w:styleId="LegendSign">
    <w:name w:val="LegendSign"/>
    <w:basedOn w:val="Normal"/>
    <w:pPr>
      <w:widowControl/>
      <w:tabs>
        <w:tab w:val="right" w:pos="454"/>
        <w:tab w:val="left" w:pos="736"/>
      </w:tabs>
      <w:overflowPunct/>
      <w:ind w:left="736" w:hanging="736"/>
    </w:pPr>
    <w:rPr>
      <w:sz w:val="18"/>
    </w:rPr>
  </w:style>
  <w:style w:type="paragraph" w:customStyle="1" w:styleId="LegendStandard">
    <w:name w:val="LegendStandard"/>
    <w:basedOn w:val="LegendSign"/>
    <w:pPr>
      <w:widowControl/>
      <w:ind w:left="0" w:firstLine="0"/>
    </w:pPr>
  </w:style>
  <w:style w:type="paragraph" w:customStyle="1" w:styleId="LegendTitle">
    <w:name w:val="LegendTitle"/>
    <w:basedOn w:val="Normal"/>
    <w:pPr>
      <w:widowControl/>
      <w:spacing w:before="240" w:after="240"/>
    </w:pPr>
    <w:rPr>
      <w:b/>
      <w:i/>
    </w:rPr>
  </w:style>
  <w:style w:type="paragraph" w:styleId="TOC1">
    <w:name w:val="toc 1"/>
    <w:basedOn w:val="Normal12b"/>
    <w:next w:val="Normal12b"/>
    <w:autoRedefine/>
    <w:rsid w:val="00805BCE"/>
    <w:pPr>
      <w:widowControl/>
      <w:spacing w:after="240"/>
    </w:pPr>
  </w:style>
  <w:style w:type="character" w:customStyle="1" w:styleId="EPFooter2Motto">
    <w:name w:val="EPFooter2Motto"/>
    <w:rPr>
      <w:rFonts w:ascii="Arial" w:hAnsi="Arial"/>
      <w:b/>
      <w:i/>
      <w:color w:val="C0C0C0"/>
      <w:sz w:val="22"/>
    </w:rPr>
  </w:style>
  <w:style w:type="paragraph" w:customStyle="1" w:styleId="Normal12b">
    <w:name w:val="Normal12b"/>
    <w:basedOn w:val="Normal"/>
    <w:pPr>
      <w:widowControl/>
      <w:spacing w:before="240"/>
    </w:pPr>
  </w:style>
  <w:style w:type="paragraph" w:customStyle="1" w:styleId="PMissingStyle">
    <w:name w:val="P_MissingStyle"/>
    <w:basedOn w:val="Normal"/>
    <w:pPr>
      <w:widowControl/>
      <w:spacing w:after="0" w:line="240" w:lineRule="auto"/>
    </w:pPr>
    <w:rPr>
      <w:rFonts w:ascii="Times New Roman" w:eastAsia="Times New Roman" w:hAnsi="Times New Roman" w:cs="Times New Roman"/>
      <w:color w:val="FFFFFF"/>
      <w:sz w:val="24"/>
    </w:rPr>
  </w:style>
  <w:style w:type="character" w:customStyle="1" w:styleId="CMissingStyle">
    <w:name w:val="C_MissingStyle"/>
    <w:rPr>
      <w:color w:val="FFFFFF"/>
      <w:sz w:val="22"/>
    </w:rPr>
  </w:style>
  <w:style w:type="paragraph" w:styleId="TOCHeading">
    <w:name w:val="TOC Heading"/>
    <w:basedOn w:val="Normal"/>
    <w:next w:val="Normal"/>
    <w:uiPriority w:val="39"/>
    <w:unhideWhenUsed/>
    <w:qFormat/>
    <w:rsid w:val="000200DD"/>
    <w:pPr>
      <w:keepNext/>
      <w:widowControl/>
      <w:spacing w:before="240" w:after="240"/>
      <w:jc w:val="center"/>
      <w:outlineLvl w:val="9"/>
    </w:pPr>
    <w:rPr>
      <w:rFonts w:ascii="Arial" w:hAnsi="Arial"/>
      <w:b/>
    </w:rPr>
  </w:style>
  <w:style w:type="paragraph" w:customStyle="1" w:styleId="Normal12">
    <w:name w:val="Normal12"/>
    <w:basedOn w:val="Normal"/>
    <w:pPr>
      <w:widowControl/>
      <w:spacing w:after="240" w:line="240" w:lineRule="auto"/>
    </w:pPr>
    <w:rPr>
      <w:rFonts w:ascii="Times New Roman" w:eastAsia="Times New Roman" w:hAnsi="Times New Roman" w:cs="Times New Roman"/>
      <w:sz w:val="24"/>
    </w:rPr>
  </w:style>
  <w:style w:type="paragraph" w:customStyle="1" w:styleId="NormalHanging12a4">
    <w:name w:val="NormalHanging12a4"/>
    <w:basedOn w:val="NormalHanging12a3"/>
    <w:pPr>
      <w:widowControl/>
      <w:ind w:left="2268"/>
    </w:pPr>
  </w:style>
  <w:style w:type="paragraph" w:customStyle="1" w:styleId="NormalHanging12a5">
    <w:name w:val="NormalHanging12a5"/>
    <w:basedOn w:val="NormalHanging12a4"/>
    <w:pPr>
      <w:widowControl/>
      <w:ind w:left="2692"/>
    </w:pPr>
  </w:style>
  <w:style w:type="paragraph" w:customStyle="1" w:styleId="NormalHanging12a6">
    <w:name w:val="NormalHanging12a6"/>
    <w:basedOn w:val="NormalHanging12a5"/>
    <w:pPr>
      <w:widowControl/>
      <w:ind w:left="3118"/>
    </w:pPr>
  </w:style>
  <w:style w:type="paragraph" w:customStyle="1" w:styleId="NormalHanging12a7">
    <w:name w:val="NormalHanging12a7"/>
    <w:basedOn w:val="NormalHanging12a6"/>
    <w:pPr>
      <w:widowControl/>
      <w:ind w:left="3544"/>
    </w:pPr>
  </w:style>
  <w:style w:type="paragraph" w:customStyle="1" w:styleId="NormalHanging12a1">
    <w:name w:val="NormalHanging12a1"/>
    <w:basedOn w:val="Normal"/>
    <w:pPr>
      <w:widowControl/>
      <w:overflowPunct/>
      <w:spacing w:after="240" w:line="240" w:lineRule="auto"/>
      <w:ind w:left="992" w:hanging="424"/>
    </w:pPr>
    <w:rPr>
      <w:rFonts w:ascii="Times New Roman" w:eastAsia="Times New Roman" w:hAnsi="Times New Roman" w:cs="Times New Roman"/>
      <w:sz w:val="24"/>
    </w:rPr>
  </w:style>
  <w:style w:type="paragraph" w:customStyle="1" w:styleId="NormalHanging12a2">
    <w:name w:val="NormalHanging12a2"/>
    <w:basedOn w:val="NormalHanging12a1"/>
    <w:pPr>
      <w:widowControl/>
      <w:ind w:left="1416"/>
    </w:pPr>
  </w:style>
  <w:style w:type="paragraph" w:customStyle="1" w:styleId="NormalHanging12a3">
    <w:name w:val="NormalHanging12a3"/>
    <w:basedOn w:val="NormalHanging12a2"/>
    <w:pPr>
      <w:widowControl/>
      <w:ind w:left="1842"/>
    </w:pPr>
  </w:style>
  <w:style w:type="paragraph" w:customStyle="1" w:styleId="NormalHanging">
    <w:name w:val="NormalHanging"/>
    <w:basedOn w:val="Normal"/>
    <w:pPr>
      <w:widowControl/>
      <w:overflowPunct/>
      <w:spacing w:after="240" w:line="240" w:lineRule="auto"/>
      <w:ind w:left="566" w:hanging="566"/>
    </w:pPr>
    <w:rPr>
      <w:rFonts w:ascii="Times New Roman" w:eastAsia="Times New Roman" w:hAnsi="Times New Roman" w:cs="Times New Roman"/>
      <w:sz w:val="24"/>
    </w:rPr>
  </w:style>
  <w:style w:type="character" w:customStyle="1" w:styleId="FooterChar">
    <w:name w:val="Footer Char"/>
    <w:rPr>
      <w:rFonts w:ascii="Times New Roman" w:eastAsia="Times New Roman" w:hAnsi="Times New Roman" w:cs="Times New Roman"/>
      <w:sz w:val="24"/>
    </w:rPr>
  </w:style>
  <w:style w:type="paragraph" w:customStyle="1" w:styleId="NormalBold12a">
    <w:name w:val="NormalBold12a"/>
    <w:basedOn w:val="Normal"/>
    <w:pPr>
      <w:widowControl/>
      <w:spacing w:after="240"/>
    </w:pPr>
    <w:rPr>
      <w:b/>
    </w:rPr>
  </w:style>
  <w:style w:type="paragraph" w:customStyle="1" w:styleId="NormalCenter12a">
    <w:name w:val="NormalCenter12a"/>
    <w:basedOn w:val="Normal"/>
    <w:pPr>
      <w:widowControl/>
      <w:spacing w:after="240"/>
      <w:jc w:val="center"/>
    </w:pPr>
  </w:style>
  <w:style w:type="paragraph" w:customStyle="1" w:styleId="Normal12BoldUnderline">
    <w:name w:val="Normal12BoldUnderline"/>
    <w:basedOn w:val="Normal"/>
    <w:pPr>
      <w:widowControl/>
      <w:spacing w:before="480"/>
    </w:pPr>
    <w:rPr>
      <w:b/>
      <w:u w:val="single"/>
    </w:rPr>
  </w:style>
  <w:style w:type="paragraph" w:customStyle="1" w:styleId="Normal12Bullet2">
    <w:name w:val="Normal12Bullet2"/>
    <w:basedOn w:val="Normal"/>
    <w:pPr>
      <w:widowControl/>
      <w:numPr>
        <w:numId w:val="2"/>
      </w:numPr>
    </w:pPr>
  </w:style>
  <w:style w:type="paragraph" w:customStyle="1" w:styleId="NormalHangingJustified">
    <w:name w:val="NormalHangingJustified"/>
    <w:basedOn w:val="Normal"/>
    <w:pPr>
      <w:widowControl/>
      <w:overflowPunct/>
      <w:spacing w:after="240"/>
      <w:ind w:left="714" w:hanging="356"/>
      <w:jc w:val="both"/>
    </w:pPr>
  </w:style>
  <w:style w:type="paragraph" w:customStyle="1" w:styleId="NormalCenter">
    <w:name w:val="NormalCenter"/>
    <w:basedOn w:val="Normal"/>
    <w:pPr>
      <w:widowControl/>
      <w:spacing w:after="0" w:line="240" w:lineRule="auto"/>
      <w:jc w:val="center"/>
    </w:pPr>
    <w:rPr>
      <w:rFonts w:ascii="Times New Roman" w:eastAsia="Times New Roman" w:hAnsi="Times New Roman" w:cs="Times New Roman"/>
      <w:sz w:val="24"/>
    </w:rPr>
  </w:style>
  <w:style w:type="character" w:styleId="FootnoteReference">
    <w:name w:val="footnote reference"/>
    <w:basedOn w:val="DefaultParagraphFont"/>
    <w:rsid w:val="00805BCE"/>
    <w:rPr>
      <w:vertAlign w:val="superscript"/>
    </w:rPr>
  </w:style>
  <w:style w:type="paragraph" w:styleId="FootnoteText">
    <w:name w:val="footnote text"/>
    <w:basedOn w:val="Normal"/>
    <w:rsid w:val="00805BCE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numbering" Target="numbering.xml" /><Relationship Id="rId1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image" Target="media/image1.png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6</Pages>
  <Words>1063</Words>
  <Characters>7576</Characters>
  <Application>Microsoft Office Word</Application>
  <DocSecurity>0</DocSecurity>
  <Lines>1</Lines>
  <Paragraphs>50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PR_INI</dc:title>
  <dc:creator>e-Parliament@europarl.europa.eu</dc:creator>
  <cp:lastModifiedBy>e-Parliament@europarl.europa.eu</cp:lastModifiedBy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HU</vt:lpwstr>
  </property>
  <property fmtid="{D5CDD505-2E9C-101B-9397-08002B2CF9AE}" pid="3" name="&lt;FdR&gt;">
    <vt:lpwstr>1331649</vt:lpwstr>
  </property>
  <property fmtid="{D5CDD505-2E9C-101B-9397-08002B2CF9AE}" pid="4" name="&lt;Model&gt;">
    <vt:lpwstr>PR_INI</vt:lpwstr>
  </property>
  <property fmtid="{D5CDD505-2E9C-101B-9397-08002B2CF9AE}" pid="5" name="&lt;Type&gt;">
    <vt:lpwstr>PR</vt:lpwstr>
  </property>
  <property fmtid="{D5CDD505-2E9C-101B-9397-08002B2CF9AE}" pid="6" name="dmxml.render.id">
    <vt:lpwstr>300066</vt:lpwstr>
  </property>
  <property fmtid="{D5CDD505-2E9C-101B-9397-08002B2CF9AE}" pid="7" name="dmxml.render.traceId">
    <vt:lpwstr>692ef6478ab1da1f24f0f4c2cbdffd3d</vt:lpwstr>
  </property>
  <property fmtid="{D5CDD505-2E9C-101B-9397-08002B2CF9AE}" pid="8" name="FooterPath">
    <vt:lpwstr>PR\1331649HU.doc</vt:lpwstr>
  </property>
  <property fmtid="{D5CDD505-2E9C-101B-9397-08002B2CF9AE}" pid="9" name="PE Number">
    <vt:lpwstr>779.558</vt:lpwstr>
  </property>
  <property fmtid="{D5CDD505-2E9C-101B-9397-08002B2CF9AE}" pid="10" name="UID">
    <vt:lpwstr>eu.europa.europarl-DIN1-2025-0000214726_01.07-hu-01.00_text-xml</vt:lpwstr>
  </property>
</Properties>
</file>