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4.2.0 --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4"/>
        <w:gridCol w:w="2268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hRule="exact" w:val="1417"/>
          <w:jc w:val="center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EPName"/>
            </w:pPr>
            <w:r>
              <w:t>Europos Parlamentas</w:t>
            </w:r>
          </w:p>
          <w:p>
            <w:pPr>
              <w:pStyle w:val="EPTerm"/>
              <w:jc w:val="left"/>
            </w:pPr>
            <w:r>
              <w:t>2024-2029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>
            <w:pPr>
              <w:pStyle w:val="EPLogo"/>
              <w:jc w:val="right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1.56pt;height:51.46pt">
                  <v:imagedata r:id="rId5" o:title=""/>
                </v:shape>
              </w:pict>
            </w:r>
          </w:p>
        </w:tc>
      </w:tr>
    </w:tbl>
    <w:p>
      <w:pPr>
        <w:pStyle w:val="LineTop"/>
      </w:pPr>
      <w:r>
        <w:t xml:space="preserve"> </w:t>
      </w:r>
    </w:p>
    <w:p>
      <w:pPr>
        <w:pStyle w:val="EPBody"/>
      </w:pPr>
      <w:r>
        <w:rPr>
          <w:rStyle w:val="HideTWBExt"/>
        </w:rPr>
        <w:t>&lt;Commission&gt;</w:t>
      </w:r>
      <w:r>
        <w:rPr>
          <w:rStyle w:val="HideTWBInt"/>
        </w:rPr>
        <w:t>{EMPL}</w:t>
      </w:r>
      <w:r>
        <w:t>Užimtumo ir socialinių reikalų komitetas</w:t>
      </w:r>
      <w:r>
        <w:rPr>
          <w:rStyle w:val="HideTWBExt"/>
        </w:rPr>
        <w:t>&lt;/Commission&gt;</w:t>
      </w:r>
    </w:p>
    <w:p>
      <w:pPr>
        <w:pStyle w:val="LineBottom"/>
      </w:pPr>
      <w:r>
        <w:t xml:space="preserve"> </w:t>
      </w:r>
    </w:p>
    <w:p>
      <w:pPr>
        <w:pStyle w:val="CoverReference"/>
      </w:pPr>
      <w:r>
        <w:rPr>
          <w:rStyle w:val="HideTWBExt"/>
        </w:rPr>
        <w:t>&lt;RefProc&gt;</w:t>
      </w:r>
      <w:r>
        <w:t>2025/2183</w:t>
      </w:r>
      <w:r>
        <w:rPr>
          <w:rStyle w:val="HideTWBExt"/>
        </w:rPr>
        <w:t>&lt;/RefProc&gt;</w:t>
      </w:r>
      <w:r>
        <w:rPr>
          <w:rStyle w:val="HideTWBExt"/>
        </w:rPr>
        <w:t>&lt;RefTypeProc&gt;</w:t>
      </w:r>
      <w:r>
        <w:t>(INI)</w:t>
      </w:r>
      <w:r>
        <w:rPr>
          <w:rStyle w:val="HideTWBExt"/>
        </w:rPr>
        <w:t>&lt;/RefTypeProc&gt;</w:t>
      </w:r>
    </w:p>
    <w:p>
      <w:pPr>
        <w:pStyle w:val="CoverDate"/>
      </w:pPr>
      <w:r>
        <w:rPr>
          <w:rStyle w:val="HideTWBExt"/>
        </w:rPr>
        <w:t>&lt;Date&gt;</w:t>
      </w:r>
      <w:r>
        <w:rPr>
          <w:rStyle w:val="HideTWBInt"/>
        </w:rPr>
        <w:t>{20/11/2025}</w:t>
      </w:r>
      <w:r>
        <w:t>20.11.2025</w:t>
      </w:r>
      <w:r>
        <w:rPr>
          <w:rStyle w:val="HideTWBExt"/>
        </w:rPr>
        <w:t>&lt;/Date&gt;</w:t>
      </w:r>
    </w:p>
    <w:p>
      <w:pPr>
        <w:pStyle w:val="CoverDocType24a"/>
      </w:pPr>
      <w:r>
        <w:rPr>
          <w:rStyle w:val="HideTWBExt"/>
        </w:rPr>
        <w:t>&lt;TitreType&gt;</w:t>
      </w:r>
      <w:r>
        <w:t>PRANEŠIMO PROJEKTAS</w:t>
      </w:r>
      <w:r>
        <w:rPr>
          <w:rStyle w:val="HideTWBExt"/>
        </w:rPr>
        <w:t>&lt;/TitreType&gt;</w:t>
      </w:r>
    </w:p>
    <w:p>
      <w:pPr>
        <w:pStyle w:val="CoverNormal"/>
      </w:pPr>
      <w:r>
        <w:rPr>
          <w:rStyle w:val="HideTWBExt"/>
        </w:rPr>
        <w:t>&lt;Titre&gt;</w:t>
      </w:r>
      <w:r>
        <w:t>Europos ekonominės politikos koordinavimo semestras: užimtumas ir socialiniai prioritetai. 2026 m. metinis pranešimas</w:t>
      </w:r>
      <w:r>
        <w:rPr>
          <w:rStyle w:val="HideTWBExt"/>
        </w:rPr>
        <w:t>&lt;/Titre&gt;</w:t>
      </w:r>
    </w:p>
    <w:p>
      <w:pPr>
        <w:pStyle w:val="CoverNormal24a"/>
      </w:pPr>
      <w:r>
        <w:rPr>
          <w:rStyle w:val="HideTWBExt"/>
        </w:rPr>
        <w:t>&lt;DocRef&gt;</w:t>
      </w:r>
      <w:r>
        <w:t>(2025/2183(INI))</w:t>
      </w:r>
      <w:r>
        <w:rPr>
          <w:rStyle w:val="HideTWBExt"/>
        </w:rPr>
        <w:t>&lt;/DocRef&gt;</w:t>
      </w:r>
    </w:p>
    <w:p>
      <w:pPr>
        <w:pStyle w:val="CoverNormal24a"/>
      </w:pPr>
      <w:r>
        <w:rPr>
          <w:rStyle w:val="HideTWBExt"/>
        </w:rPr>
        <w:t>&lt;Commission&gt;</w:t>
      </w:r>
      <w:r>
        <w:rPr>
          <w:rStyle w:val="HideTWBInt"/>
        </w:rPr>
        <w:t>{EMPL}</w:t>
      </w:r>
      <w:r>
        <w:t>Užimtumo ir socialinių reikalų komitetas</w:t>
      </w:r>
      <w:r>
        <w:rPr>
          <w:rStyle w:val="HideTWBExt"/>
        </w:rPr>
        <w:t>&lt;/Commission&gt;</w:t>
      </w:r>
    </w:p>
    <w:p>
      <w:pPr>
        <w:pStyle w:val="CoverNormal24a"/>
      </w:pPr>
      <w:r>
        <w:t>Pranešėja</w:t>
      </w:r>
      <w:r>
        <w:t xml:space="preserve">: </w:t>
      </w:r>
      <w:r>
        <w:rPr>
          <w:rStyle w:val="HideTWBExt"/>
        </w:rPr>
        <w:t>&lt;Depute&gt;</w:t>
      </w:r>
      <w:r>
        <w:t>Nela Riehl</w:t>
      </w:r>
      <w:r>
        <w:rPr>
          <w:rStyle w:val="HideTWBExt"/>
        </w:rPr>
        <w:t>&lt;/Depute&gt;</w:t>
      </w:r>
    </w:p>
    <w:p>
      <w:r>
        <w:br w:type="page"/>
      </w:r>
      <w:r>
        <w:t>PR_INI</w:t>
      </w:r>
    </w:p>
    <w:p>
      <w:pPr>
        <w:pStyle w:val="TOCHeading"/>
      </w:pPr>
      <w:r>
        <w:t>TURINYS</w:t>
      </w:r>
    </w:p>
    <w:p>
      <w:pPr>
        <w:pStyle w:val="TOCPage"/>
      </w:pPr>
      <w:r>
        <w:t>Psl.</w:t>
      </w:r>
    </w:p>
    <w:p>
      <w:pPr>
        <w:pStyle w:val="TOC1"/>
        <w:tabs>
          <w:tab w:val="right" w:leader="dot" w:pos="9065"/>
        </w:tabs>
        <w:rPr>
          <w:rFonts w:ascii="Calibri" w:hAnsi="Calibri"/>
          <w:noProof/>
          <w:sz w:val="22"/>
        </w:rPr>
      </w:pPr>
      <w:r>
        <w:fldChar w:fldCharType="begin"/>
      </w:r>
      <w:r>
        <w:instrText xml:space="preserve"> TOC </w:instrText>
      </w:r>
      <w:r>
        <w:instrText xml:space="preserve"> \t</w:instrText>
      </w:r>
      <w:r>
        <w:instrText xml:space="preserve"> </w:instrText>
      </w:r>
      <w:r>
        <w:instrText>PageHeading</w:instrText>
      </w:r>
      <w:r>
        <w:fldChar w:fldCharType="separate"/>
      </w:r>
      <w:r>
        <w:t>PASIŪLYMAS DĖL EUROPOS PARLAMENTO REZOLIUCIJOS</w:t>
      </w:r>
      <w:r>
        <w:tab/>
      </w:r>
      <w:r>
        <w:fldChar w:fldCharType="begin"/>
      </w:r>
      <w:r>
        <w:instrText xml:space="preserve"> PAGEREF _Toc256000000 \h </w:instrText>
      </w:r>
      <w:r>
        <w:fldChar w:fldCharType="separate"/>
      </w:r>
      <w:r>
        <w:t>3</w:t>
      </w:r>
      <w:r>
        <w:fldChar w:fldCharType="end"/>
      </w:r>
    </w:p>
    <w:p>
      <w:pPr>
        <w:pStyle w:val="TOC1"/>
      </w:pPr>
      <w:r>
        <w:fldChar w:fldCharType="end"/>
      </w:r>
    </w:p>
    <w:p>
      <w:r>
        <w:br w:type="page"/>
      </w:r>
    </w:p>
    <w:p>
      <w:pPr>
        <w:pStyle w:val="PageHeading"/>
      </w:pPr>
      <w:bookmarkStart w:id="0" w:name="_Toc256000000"/>
      <w:r>
        <w:t>PASIŪLYMAS DĖL EUROPOS PARLAMENTO REZOLIUCIJOS</w:t>
      </w:r>
      <w:bookmarkEnd w:id="0"/>
    </w:p>
    <w:p>
      <w:pPr>
        <w:pStyle w:val="NormalBold"/>
      </w:pPr>
      <w:r>
        <w:t>Europos ekonominės politikos koordinavimo semestras: užimtumas ir socialiniai prioritetai. 2026 m. metinis pranešimas</w:t>
      </w:r>
    </w:p>
    <w:p>
      <w:pPr>
        <w:pStyle w:val="NormalBold"/>
      </w:pPr>
    </w:p>
    <w:p>
      <w:pPr>
        <w:pStyle w:val="NormalBold12a"/>
      </w:pPr>
      <w:r>
        <w:t>(</w:t>
      </w:r>
      <w:r>
        <w:t>2025/2183(INI)</w:t>
      </w:r>
      <w:r>
        <w:t>)</w:t>
      </w:r>
    </w:p>
    <w:p>
      <w:pPr>
        <w:pStyle w:val="Normal12"/>
      </w:pPr>
      <w:r>
        <w:rPr>
          <w:i/>
        </w:rPr>
        <w:t>Europos Parlamentas</w:t>
      </w:r>
      <w:r>
        <w:t>,</w:t>
      </w:r>
    </w:p>
    <w:p>
      <w:pPr>
        <w:pStyle w:val="NormalHanging"/>
      </w:pPr>
      <w:r>
        <w:t>–</w:t>
      </w:r>
      <w:r>
        <w:tab/>
      </w:r>
      <w:r>
        <w:t>atsižvelgdamas į Europos Sąjungos sutarties 3 straipsnį,</w:t>
      </w:r>
    </w:p>
    <w:p>
      <w:pPr>
        <w:pStyle w:val="NormalHanging"/>
      </w:pPr>
      <w:r>
        <w:t>–</w:t>
      </w:r>
      <w:r>
        <w:tab/>
      </w:r>
      <w:r>
        <w:t>atsižvelgdamas į Sutarties dėl Europos Sąjungos veikimo (SESV) 9, 121, 148 ir 149 straipsnius,</w:t>
      </w:r>
    </w:p>
    <w:p>
      <w:pPr>
        <w:pStyle w:val="NormalHanging"/>
      </w:pPr>
      <w:r>
        <w:t>–</w:t>
      </w:r>
      <w:r>
        <w:tab/>
      </w:r>
      <w:r>
        <w:t>atsižvelgdamas į 2017 m. lapkričio 17 d. Tarybos, Parlamento, ir Komisijos paskelbtą ir pasirašytą Europos socialinių teisių ramstį (ESTR),</w:t>
      </w:r>
    </w:p>
    <w:p>
      <w:pPr>
        <w:pStyle w:val="NormalHanging"/>
      </w:pPr>
      <w:r>
        <w:t>–</w:t>
      </w:r>
      <w:r>
        <w:tab/>
      </w:r>
      <w:r>
        <w:t>atsižvelgdamas į 2026 m. lapkričio XX d. Komisijos komunikatą „2026 m. metinė tvaraus augimo apžvalga“,</w:t>
      </w:r>
    </w:p>
    <w:p>
      <w:pPr>
        <w:pStyle w:val="NormalHanging"/>
      </w:pPr>
      <w:r>
        <w:t>–</w:t>
      </w:r>
      <w:r>
        <w:tab/>
      </w:r>
      <w:r>
        <w:t>atsižvelgdamas į 2024 m. XXX Komisijos pasiūlymą dėl Komisijos ir Tarybos bendros užimtumo ataskaitos,</w:t>
      </w:r>
    </w:p>
    <w:p>
      <w:pPr>
        <w:pStyle w:val="NormalHanging"/>
      </w:pPr>
      <w:r>
        <w:t>–</w:t>
      </w:r>
      <w:r>
        <w:tab/>
      </w:r>
      <w:r>
        <w:t>atsižvelgdamas į 2024 m. XXX Komisijos rekomendaciją dėl Tarybos rekomendacijos dėl euro zonos ekonominės politikos,</w:t>
      </w:r>
    </w:p>
    <w:p>
      <w:pPr>
        <w:pStyle w:val="NormalHanging"/>
      </w:pPr>
      <w:r>
        <w:t>–</w:t>
      </w:r>
      <w:r>
        <w:tab/>
      </w:r>
      <w:r>
        <w:t>atsižvelgdamas į 2026 m. XXX Komisijos ataskaitą „2025 m. įspėjimo mechanizmo ataskaita“,</w:t>
      </w:r>
    </w:p>
    <w:p>
      <w:pPr>
        <w:pStyle w:val="NormalHanging"/>
      </w:pPr>
      <w:r>
        <w:t>–</w:t>
      </w:r>
      <w:r>
        <w:tab/>
      </w:r>
      <w:r>
        <w:t>atsižvelgdamas į 2026 m. lapkričio XX d. Komisijos komunikatą „2025 m. biudžeto planų projektai. Bendras vertinimas“,</w:t>
      </w:r>
    </w:p>
    <w:p>
      <w:pPr>
        <w:pStyle w:val="NormalHanging"/>
      </w:pPr>
      <w:r>
        <w:t>–</w:t>
      </w:r>
      <w:r>
        <w:tab/>
      </w:r>
      <w:r>
        <w:t>atsižvelgdamas į 2024 m. rugsėjo mėn. paskelbtą Mario Draghi pranešimą „Europos konkurencingumo ateitis“,</w:t>
      </w:r>
    </w:p>
    <w:p>
      <w:pPr>
        <w:pStyle w:val="NormalHanging"/>
      </w:pPr>
      <w:r>
        <w:t>–</w:t>
      </w:r>
      <w:r>
        <w:tab/>
      </w:r>
      <w:r>
        <w:t>atsižvelgdamas į 2024 m. balandžio mėn. paskelbtą Enrico Lettos pranešimą dėl bendrosios rinkos ateities „Daug daugiau nei rinka“,</w:t>
      </w:r>
    </w:p>
    <w:p>
      <w:pPr>
        <w:pStyle w:val="NormalHanging"/>
      </w:pPr>
      <w:r>
        <w:t>–</w:t>
      </w:r>
      <w:r>
        <w:tab/>
      </w:r>
      <w:r>
        <w:t>atsižvelgdamas į 2023 m. sausio mėn. paskelbtą Aukšto lygio grupės socialinės apsaugos ir gerovės valstybės ateities Europos Sąjungoje klausimams ataskaitą,</w:t>
      </w:r>
    </w:p>
    <w:p>
      <w:pPr>
        <w:pStyle w:val="NormalHanging"/>
      </w:pPr>
      <w:r>
        <w:t>–</w:t>
      </w:r>
      <w:r>
        <w:tab/>
      </w:r>
      <w:r>
        <w:t>atsižvelgdamas į Darbo tvarkos taisyklių 55 straipsnį,</w:t>
      </w:r>
    </w:p>
    <w:p>
      <w:pPr>
        <w:pStyle w:val="NormalHanging"/>
      </w:pPr>
      <w:r>
        <w:t>–</w:t>
      </w:r>
      <w:r>
        <w:tab/>
      </w:r>
      <w:r>
        <w:t>atsižvelgdamas į Užimtumo ir socialinių reikalų komiteto pranešimą (A10-0000/2025),</w:t>
      </w:r>
    </w:p>
    <w:p>
      <w:pPr>
        <w:pStyle w:val="NormalHanging"/>
      </w:pPr>
      <w:r>
        <w:t>A.</w:t>
      </w:r>
      <w:r>
        <w:tab/>
      </w:r>
      <w:r>
        <w:t>kadangi 2025 m. birželio mėn. nedarbo lygis ES buvo 5,9 proc., o jaunimo nedarbas išlieka aukštas – 14,7 proc.; kadangi didesnis užimtumo lygis nebūtinai atitinka darbo vietų kokybę, darbo užmokesčio augimą ir našumo didėjimą;</w:t>
      </w:r>
    </w:p>
    <w:p>
      <w:pPr>
        <w:pStyle w:val="NormalHanging"/>
      </w:pPr>
      <w:r>
        <w:t>B.</w:t>
      </w:r>
      <w:r>
        <w:tab/>
      </w:r>
      <w:r>
        <w:t>kadangi Europos semestras tebėra pagrindinė ekonominės, fiskalinės, užimtumo ir socialinės politikos koordinavimo visoje ES priemonė, todėl suteikia galimybę į makroekonominį valdymą sistemingiau integruoti socialinį, aplinkosauginį ir kartų tarpusavio teisingumą;</w:t>
      </w:r>
    </w:p>
    <w:p>
      <w:pPr>
        <w:pStyle w:val="NormalHanging"/>
      </w:pPr>
      <w:r>
        <w:t>C.</w:t>
      </w:r>
      <w:r>
        <w:tab/>
      </w:r>
      <w:r>
        <w:t>kadangi 2024 m. 21 proc. ES gyventojų grėsė skurdas ar socialinė atskirtis (AROPE); kadangi daroma nepakankama pažanga siekiant tikslo iki 2030 m. 5 mln. sumažinti vaikų, kuriems gresia skurdas ar socialinė atskirtis, skaičių;</w:t>
      </w:r>
    </w:p>
    <w:p>
      <w:pPr>
        <w:pStyle w:val="NormalHanging"/>
      </w:pPr>
      <w:r>
        <w:t>D.</w:t>
      </w:r>
      <w:r>
        <w:tab/>
      </w:r>
      <w:r>
        <w:t>kadangi klimato kaita ir aplinkos niokojimas padidino nelygybę ir paveikė pažeidžiamiausias grupes; kadangi tikimasi, kad pereinant prie neutralaus poveikio klimatui bus sukurta apie 2,5 mln. papildomų darbo vietų;</w:t>
      </w:r>
    </w:p>
    <w:p>
      <w:pPr>
        <w:pStyle w:val="NormalHanging"/>
      </w:pPr>
      <w:r>
        <w:t>E.</w:t>
      </w:r>
      <w:r>
        <w:tab/>
      </w:r>
      <w:r>
        <w:t>kadangi spaudimas dėl būsto išlaidų ir didelės energijos kainos yra sunki našta namų ūkiams, tačiau konkrečioms šalims skirtose rekomendacijose būsto politikai dažnai skiriama per mažai dėmesio;</w:t>
      </w:r>
    </w:p>
    <w:p>
      <w:pPr>
        <w:pStyle w:val="NormalHanging"/>
      </w:pPr>
      <w:r>
        <w:t>F.</w:t>
      </w:r>
      <w:r>
        <w:tab/>
      </w:r>
      <w:r>
        <w:t>kadangi ES nuolat trūksta darbuotojų ir nepakanka įgūdžių dėl įvairių veiksnių, įskaitant prastą darbo vietų kokybę;</w:t>
      </w:r>
    </w:p>
    <w:p>
      <w:pPr>
        <w:pStyle w:val="NormalHanging"/>
      </w:pPr>
      <w:r>
        <w:t>G.</w:t>
      </w:r>
      <w:r>
        <w:tab/>
      </w:r>
      <w:r>
        <w:t>kadangi duomenys rodo, kad daugumoje valstybių narių reikia dėti daugiau pastangų, kad iki 2030 m. būtų pasiektas tikslas, kad 60 proc. suaugusiųjų dalyvautų švietimo ir mokymo veikloje; kadangi integruotas požiūris į politikos koordinavimą per Europos semestrą suteikia pagrindą būtinoms investicijoms į žmogiškojo kapitalo vystymą, švietimo ir mokymo sistemas;</w:t>
      </w:r>
    </w:p>
    <w:p>
      <w:pPr>
        <w:pStyle w:val="NormalHanging"/>
      </w:pPr>
      <w:r>
        <w:t>H.</w:t>
      </w:r>
      <w:r>
        <w:tab/>
      </w:r>
      <w:r>
        <w:t>kadangi apskaičiuota, kad papildomų investicijų į socialinę infrastruktūrą, įskaitant įperkamą būstą, sveikatos ir ilgalaikę priežiūrą, švietimą ir mokymąsi visą gyvenimą, poreikis siekia 192 mlrd. EUR per metus</w:t>
      </w:r>
      <w:r>
        <w:rPr>
          <w:rStyle w:val="FootnoteReference"/>
        </w:rPr>
        <w:footnoteReference w:customMarkFollows="1" w:id="2"/>
        <w:t xml:space="preserve">1</w:t>
      </w:r>
      <w:r>
        <w:t>; kadangi reikia toliau dirbti siekiant įvertinti socialinių investicijų trūkumą ES, taip pat socialinių investicijų ekonominę grąžą;</w:t>
      </w:r>
    </w:p>
    <w:p>
      <w:pPr>
        <w:pStyle w:val="NormalHanging12a"/>
      </w:pPr>
      <w:r>
        <w:t>1.</w:t>
      </w:r>
      <w:r>
        <w:tab/>
      </w:r>
      <w:r>
        <w:t>pabrėžia investicijų į ES socialinį modelį konkurencinį pranašumą; ragina į Europos semestro procesą įtraukti Aukšto lygio grupės socialinės apsaugos ir gerovės valstybės ateities klausimais rekomendacijas, taip pat E. Lettos ir M. Draghi pranešimuose pateiktas rekomendacijas; palankiai vertina Europos socialinių teisių ramsčio (ESTR) integravimą į ekonomikos valdymo sistemą ir ragina valstybes nares pasinaudoti galimybe pratęsti koregavimo laikotarpį investuojant į ESTR prioritetus; ragina, kad integruota valdymo sistema atsispindėtų ES institucijų vidaus procesuose, į kuriuos vienodai būtų įtraukti institucijų ekonominiai ir socialiniai organai;</w:t>
      </w:r>
    </w:p>
    <w:p>
      <w:pPr>
        <w:pStyle w:val="NormalHanging12a"/>
      </w:pPr>
      <w:r>
        <w:t>2.</w:t>
      </w:r>
      <w:r>
        <w:tab/>
      </w:r>
      <w:r>
        <w:t>mano, kad Komisija ir Taryba turėtų dėti daugiau pastangų įgyvendinant ESTR; ragina į Europos semestro pagrindą įtraukti ESTR veiksmų plano tikslus ir padaryti juos Europos semestro vertinimo kriterijais;</w:t>
      </w:r>
    </w:p>
    <w:p>
      <w:pPr>
        <w:pStyle w:val="NormalHanging12a"/>
      </w:pPr>
      <w:r>
        <w:t>3.</w:t>
      </w:r>
      <w:r>
        <w:tab/>
      </w:r>
      <w:r>
        <w:t>palankiai vertina Komisijos siekį iki 2050 m. panaikinti skurdą ir ketinimą pasiūlyti kokybiškų darbo vietų aktą; pabrėžia, kad Europos semestras, ESTR veiksmų plano stebėsena ir šios būsimos priemonės turi derėti su išmatuojamais tikslais ir atitinkamomis konkrečioms šalims skirtomis rekomendacijomis;</w:t>
      </w:r>
    </w:p>
    <w:p>
      <w:pPr>
        <w:pStyle w:val="NormalHanging12a"/>
      </w:pPr>
      <w:r>
        <w:t>4.</w:t>
      </w:r>
      <w:r>
        <w:tab/>
      </w:r>
      <w:r>
        <w:t>palankiai vertina nuolatinį socialinės konvergencijos sistemos įtraukimą į Europos semestrą; pabrėžia jos ir socialinių rodiklių suvestinės svarbą nustatant riziką ir stebint aukštynkryptės socialinės konvergencijos pažangą;</w:t>
      </w:r>
    </w:p>
    <w:p>
      <w:pPr>
        <w:pStyle w:val="NormalHanging12a"/>
      </w:pPr>
      <w:r>
        <w:t>5.</w:t>
      </w:r>
      <w:r>
        <w:tab/>
      </w:r>
      <w:r>
        <w:t>primena, kad socialinės investicijos gali turėti teigiamą poveikį ekonomikos augimui, našumui ir konkurencingumui ir taip remti fiskalinį tvarumą, kartu prisidedant prie aukštynkryptės socialinės konvergencijos; ragina Komisiją ir Tarybą socialines investicijas laikyti tvaraus augimo pagrindu;</w:t>
      </w:r>
    </w:p>
    <w:p>
      <w:pPr>
        <w:pStyle w:val="NormalHanging12a"/>
      </w:pPr>
      <w:r>
        <w:t>6.</w:t>
      </w:r>
      <w:r>
        <w:tab/>
      </w:r>
      <w:r>
        <w:t>pabrėžia, kad Komisijos įperkamo būsto planas turėtų būti geriau integruotas į Europos semestrą, daugiau dėmesio skiriant įperkamam, tvariam ir deramam būstui konkrečioms šalims skirtose rekomendacijose; primena Lisabonos deklaraciją dėl Europos kovos su benamyste platformos pasirašiusioms šalims apie tikslą iki 2030 m. panaikinti benamystę;</w:t>
      </w:r>
    </w:p>
    <w:p>
      <w:pPr>
        <w:pStyle w:val="NormalHanging12a"/>
      </w:pPr>
      <w:r>
        <w:t>7.</w:t>
      </w:r>
      <w:r>
        <w:tab/>
      </w:r>
      <w:r>
        <w:t>pabrėžia, kad investicijos į švietimą, kvalifikacijos kėlimą ir perkvalifikavimą yra strateginės socialinės investicijos, duodančios ilgalaikę grąžą konkurencingumo ir sanglaudos požiūriu;</w:t>
      </w:r>
    </w:p>
    <w:p>
      <w:pPr>
        <w:pStyle w:val="NormalHanging12a"/>
      </w:pPr>
      <w:r>
        <w:t>8.</w:t>
      </w:r>
      <w:r>
        <w:tab/>
      </w:r>
      <w:r>
        <w:t>pabrėžia, kad kartų tarpusavio teisingumas turi tapti struktūrine Europos semestro dalimi; ragina Komisiją, įgyvendinant kartų tarpusavio teisingumo strategiją, į Europos semestro vertinimo sistemą įtraukti jaunimo gerovės, galimybių gauti kokybišką darbą, būsto įperkamumo, švietimo ir įgūdžių rodiklius ir sistemingai vertinti ilgalaikį fiskalinių ir reformų rekomendacijų poveikį;</w:t>
      </w:r>
    </w:p>
    <w:p>
      <w:pPr>
        <w:pStyle w:val="NormalHanging12a"/>
      </w:pPr>
      <w:r>
        <w:t>9.</w:t>
      </w:r>
      <w:r>
        <w:tab/>
      </w:r>
      <w:r>
        <w:t>pripažįsta, kad valstybės narės įsipareigojo iki 2035 m. kasmet 5 proc. BVP investuoti į pagrindinius gynybos poreikius ir susijusias saugumo išlaidas, be kita ko, aktyvuojant nacionalinę nukrypti leidžiančią išlygą; pabrėžia, kad įgyvendinant Europos semestrą tokios išlaidos turi būti planuojamos koordinuotai;</w:t>
      </w:r>
    </w:p>
    <w:p>
      <w:pPr>
        <w:pStyle w:val="NormalHanging12a"/>
      </w:pPr>
      <w:r>
        <w:t>10.</w:t>
      </w:r>
      <w:r>
        <w:tab/>
      </w:r>
      <w:r>
        <w:t>pažymi, kad 2026 m. Europos semestro rekomendacijos atliks esminį vaidmenį rengiant nacionalinius ir regioninius partnerystės planus; mano, kad reformos ir investicijos turėtų būti pasirenkamos atsižvelgiant į jų veiksmingumą ir efektyvumą įgyvendinant atitinkamas konkrečioms šalims skirtas rekomendacijas;</w:t>
      </w:r>
    </w:p>
    <w:p>
      <w:pPr>
        <w:pStyle w:val="NormalHanging12a"/>
      </w:pPr>
      <w:r>
        <w:t>11.</w:t>
      </w:r>
      <w:r>
        <w:tab/>
      </w:r>
      <w:r>
        <w:t>remia demokratiškesnį Europos semestro procesą, kuriame Parlamentas aktyviai dalyvauja nustatant ekonominės politikos prioritetus ir priimant sprendimus dėl ekonomikos valdymo; primygtinai ragina į Europos semestro procesą sistemingai įtraukti socialinius partnerius, pilietinės visuomenės organizacijas ir regionų bei vietos subjektus;</w:t>
      </w:r>
    </w:p>
    <w:p>
      <w:pPr>
        <w:pStyle w:val="NormalHanging12a"/>
      </w:pPr>
      <w:r>
        <w:t>12.</w:t>
      </w:r>
      <w:r>
        <w:tab/>
      </w:r>
      <w:r>
        <w:t>paveda Pirmininkei perduoti šią rezoliuciją Tarybai ir Komisijai.</w:t>
      </w:r>
    </w:p>
    <w:sectPr>
      <w:footerReference w:type="even" r:id="rId6"/>
      <w:footerReference w:type="default" r:id="rId7"/>
      <w:footerReference w:type="first" r:id="rId8"/>
      <w:pgSz w:w="11909" w:h="16834"/>
      <w:pgMar w:top="1134" w:right="1417" w:bottom="1417" w:left="1417" w:header="1134" w:footer="567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t>PE</w:t>
    </w:r>
    <w:r>
      <w:rPr>
        <w:rStyle w:val="HideTWBExt"/>
      </w:rPr>
      <w:t>&lt;NoPE&gt;</w:t>
    </w:r>
    <w:r>
      <w:t>779.558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  <w:r>
      <w:tab/>
    </w:r>
    <w:r>
      <w:fldChar w:fldCharType="begin"/>
    </w:r>
    <w:r>
      <w:instrText xml:space="preserve"> PAGE </w:instrText>
    </w:r>
    <w:r>
      <w:fldChar w:fldCharType="separate"/>
    </w:r>
    <w:r>
      <w:t>4</w:t>
    </w:r>
    <w:r>
      <w:fldChar w:fldCharType="end"/>
    </w:r>
    <w:r>
      <w:t>/</w:t>
    </w:r>
    <w:r>
      <w:fldChar w:fldCharType="begin"/>
    </w:r>
    <w:r>
      <w:instrText xml:space="preserve"> NUMPAGES </w:instrText>
    </w:r>
    <w:r>
      <w:fldChar w:fldCharType="separate"/>
    </w:r>
    <w:r>
      <w:t>5</w:t>
    </w:r>
    <w:r>
      <w:fldChar w:fldCharType="end"/>
    </w:r>
    <w:r>
      <w:tab/>
    </w:r>
    <w:r>
      <w:rPr>
        <w:rStyle w:val="HideTWBExt"/>
      </w:rPr>
      <w:t>&lt;PathFdR&gt;</w:t>
    </w:r>
    <w:r>
      <w:t>PR\1331649LT.docx</w:t>
    </w:r>
    <w:r>
      <w:rPr>
        <w:rStyle w:val="HideTWBExt"/>
      </w:rPr>
      <w:t>&lt;/PathFdR&gt;</w:t>
    </w:r>
  </w:p>
  <w:p>
    <w:pPr>
      <w:pStyle w:val="EPFooter2"/>
    </w:pPr>
    <w:r>
      <w:t>LT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&lt;PathFdR&gt;</w:t>
    </w:r>
    <w:r>
      <w:t>PR\1331649LT.docx</w:t>
    </w:r>
    <w:r>
      <w:rPr>
        <w:rStyle w:val="HideTWBExt"/>
      </w:rPr>
      <w:t>&lt;/PathFdR&gt;</w:t>
    </w:r>
    <w:r>
      <w:tab/>
    </w:r>
    <w:r>
      <w:fldChar w:fldCharType="begin"/>
    </w:r>
    <w:r>
      <w:instrText xml:space="preserve"> PAGE </w:instrText>
    </w:r>
    <w:r>
      <w:fldChar w:fldCharType="separate"/>
    </w:r>
    <w:r>
      <w:t>5</w:t>
    </w:r>
    <w:r>
      <w:fldChar w:fldCharType="end"/>
    </w:r>
    <w:r>
      <w:t>/</w:t>
    </w:r>
    <w:r>
      <w:fldChar w:fldCharType="begin"/>
    </w:r>
    <w:r>
      <w:instrText xml:space="preserve"> NUMPAGES </w:instrText>
    </w:r>
    <w:r>
      <w:fldChar w:fldCharType="separate"/>
    </w:r>
    <w:r>
      <w:t>5</w:t>
    </w:r>
    <w:r>
      <w:fldChar w:fldCharType="end"/>
    </w:r>
    <w:r>
      <w:tab/>
    </w:r>
    <w:r>
      <w:t>PE</w:t>
    </w:r>
    <w:r>
      <w:rPr>
        <w:rStyle w:val="HideTWBExt"/>
      </w:rPr>
      <w:t>&lt;NoPE&gt;</w:t>
    </w:r>
    <w:r>
      <w:t>779.558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</w:p>
  <w:p>
    <w:pPr>
      <w:pStyle w:val="EPFooter2"/>
    </w:pPr>
    <w:r>
      <w:tab/>
    </w:r>
    <w:r>
      <w:tab/>
    </w:r>
    <w:r>
      <w:t>LT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&lt;PathFdR&gt;</w:t>
    </w:r>
    <w:r>
      <w:t>PR\1331649LT.docx</w:t>
    </w:r>
    <w:r>
      <w:rPr>
        <w:rStyle w:val="HideTWBExt"/>
      </w:rPr>
      <w:t>&lt;/PathFdR&gt;</w:t>
    </w:r>
    <w:r>
      <w:tab/>
    </w:r>
    <w:r>
      <w:tab/>
    </w:r>
    <w:r>
      <w:t>PE</w:t>
    </w:r>
    <w:r>
      <w:rPr>
        <w:rStyle w:val="HideTWBExt"/>
      </w:rPr>
      <w:t>&lt;NoPE&gt;</w:t>
    </w:r>
    <w:r>
      <w:t>779.558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</w:p>
  <w:p>
    <w:pPr>
      <w:pStyle w:val="EPFooter2"/>
    </w:pPr>
    <w:r>
      <w:t>LT</w:t>
    </w:r>
    <w:r>
      <w:tab/>
    </w:r>
    <w:r>
      <w:rPr>
        <w:rStyle w:val="EPFooter2Motto"/>
      </w:rPr>
      <w:t>Suvienijusi įvairovę</w:t>
    </w:r>
    <w:r>
      <w:tab/>
    </w:r>
    <w:r>
      <w:t>LT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pPr>
        <w:spacing w:after="0" w:line="240" w:lineRule="auto"/>
      </w:pPr>
      <w:r>
        <w:separator/>
      </w:r>
    </w:p>
  </w:footnote>
  <w:footnote w:type="continuationSeparator" w:id="1">
    <w:p>
      <w:pPr>
        <w:spacing w:after="0" w:line="240" w:lineRule="auto"/>
      </w:pPr>
      <w:r>
        <w:continuationSeparator/>
      </w:r>
    </w:p>
  </w:footnote>
  <w:footnote w:id="2">
    <w:p>
      <w:pPr>
        <w:pStyle w:val="FootnoteText"/>
      </w:pPr>
      <w:r>
        <w:rPr>
          <w:vertAlign w:val="superscript"/>
        </w:rPr>
        <w:t>1</w:t>
      </w:r>
      <w:r>
        <w:t xml:space="preserve"> </w:t>
      </w:r>
      <w:r>
        <w:t>2020 m. gegužės 27 d. Komisijos tarnybų darbinis dokumentas „Europos ekonomikos gaivinimo poreikių nustatymas“ (SWD(2020)0098), pridedamas prie Komisijos komunikato „Proga Europai atsigauti ir paruošti dirvą naujai kartai“ (COM(2020)0456).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1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evenAndOddHeaders/>
  <w:noPunctuationKerning/>
  <w:characterSpacingControl w:val="doNotCompress"/>
  <w:footnotePr>
    <w:footnote w:id="0"/>
    <w:footnote w:id="1"/>
  </w:foot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TOCPage">
    <w:name w:val="TOC Page"/>
    <w:basedOn w:val="Normal"/>
    <w:pPr>
      <w:keepNext/>
      <w:widowControl/>
      <w:spacing w:after="240"/>
      <w:jc w:val="right"/>
    </w:pPr>
    <w:rPr>
      <w:rFonts w:ascii="Arial" w:hAnsi="Arial"/>
      <w:b/>
    </w:rPr>
  </w:style>
  <w:style w:type="paragraph" w:customStyle="1" w:styleId="PageHeading">
    <w:name w:val="PageHeading"/>
    <w:basedOn w:val="Normal"/>
    <w:pPr>
      <w:keepNext/>
      <w:widowControl/>
      <w:spacing w:after="480"/>
      <w:jc w:val="center"/>
    </w:pPr>
    <w:rPr>
      <w:rFonts w:ascii="Arial" w:eastAsia="Arial" w:hAnsi="Arial" w:cs="Arial"/>
      <w:b/>
    </w:rPr>
  </w:style>
  <w:style w:type="paragraph" w:customStyle="1" w:styleId="EPComma">
    <w:name w:val="EPComma"/>
    <w:basedOn w:val="Normal"/>
    <w:pPr>
      <w:widowControl/>
      <w:spacing w:before="480" w:after="240"/>
    </w:pPr>
  </w:style>
  <w:style w:type="paragraph" w:customStyle="1" w:styleId="NormalBold">
    <w:name w:val="NormalBold"/>
    <w:basedOn w:val="Normal"/>
    <w:pPr>
      <w:widowControl/>
    </w:pPr>
    <w:rPr>
      <w:b/>
    </w:rPr>
  </w:style>
  <w:style w:type="paragraph" w:customStyle="1" w:styleId="EPName">
    <w:name w:val="EPName"/>
    <w:basedOn w:val="Normal"/>
    <w:pPr>
      <w:widowControl/>
      <w:spacing w:before="80" w:after="80"/>
    </w:pPr>
    <w:rPr>
      <w:rFonts w:ascii="Arial Narrow" w:eastAsia="Arial" w:hAnsi="Arial Narrow" w:cs="Arial"/>
      <w:b/>
      <w:sz w:val="32"/>
    </w:rPr>
  </w:style>
  <w:style w:type="paragraph" w:customStyle="1" w:styleId="EPLogo">
    <w:name w:val="EPLogo"/>
    <w:basedOn w:val="Normal"/>
    <w:pPr>
      <w:widowControl/>
      <w:jc w:val="right"/>
    </w:pPr>
  </w:style>
  <w:style w:type="character" w:customStyle="1" w:styleId="HideTWBExt">
    <w:name w:val="HideTWBExt"/>
    <w:rPr>
      <w:rFonts w:ascii="Arial" w:hAnsi="Arial"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4"/>
        <w:tab w:val="right" w:pos="9920"/>
      </w:tabs>
      <w:ind w:left="-840" w:right="-840"/>
    </w:pPr>
    <w:rPr>
      <w:rFonts w:ascii="Arial" w:eastAsia="Arial" w:hAnsi="Arial" w:cs="Arial"/>
      <w:b/>
      <w:sz w:val="48"/>
    </w:rPr>
  </w:style>
  <w:style w:type="paragraph" w:customStyle="1" w:styleId="Normal12a">
    <w:name w:val="Normal12a"/>
    <w:basedOn w:val="Normal"/>
    <w:pPr>
      <w:widowControl/>
      <w:spacing w:after="240"/>
    </w:pPr>
  </w:style>
  <w:style w:type="character" w:customStyle="1" w:styleId="HideTWBInt">
    <w:name w:val="HideTWBInt"/>
    <w:rPr>
      <w:rFonts w:ascii="Arial" w:hAnsi="Arial"/>
      <w:vanish/>
      <w:color w:val="808080"/>
      <w:sz w:val="20"/>
    </w:rPr>
  </w:style>
  <w:style w:type="paragraph" w:customStyle="1" w:styleId="CoverNormal24a">
    <w:name w:val="CoverNormal24a"/>
    <w:basedOn w:val="Normal"/>
    <w:pPr>
      <w:widowControl/>
      <w:spacing w:after="480"/>
      <w:ind w:left="1416"/>
    </w:pPr>
  </w:style>
  <w:style w:type="paragraph" w:customStyle="1" w:styleId="CoverNormal">
    <w:name w:val="CoverNormal"/>
    <w:basedOn w:val="Normal"/>
    <w:pPr>
      <w:widowControl/>
      <w:ind w:left="1418"/>
    </w:pPr>
  </w:style>
  <w:style w:type="paragraph" w:customStyle="1" w:styleId="CoverReference">
    <w:name w:val="CoverReference"/>
    <w:basedOn w:val="Normal"/>
    <w:pPr>
      <w:widowControl/>
      <w:spacing w:before="1080"/>
      <w:jc w:val="right"/>
    </w:pPr>
    <w:rPr>
      <w:rFonts w:ascii="Arial" w:hAnsi="Arial"/>
      <w:b/>
    </w:rPr>
  </w:style>
  <w:style w:type="paragraph" w:customStyle="1" w:styleId="CoverDocType24a">
    <w:name w:val="CoverDocType24a"/>
    <w:basedOn w:val="Normal"/>
    <w:pPr>
      <w:widowControl/>
      <w:spacing w:after="480"/>
      <w:ind w:left="1416"/>
    </w:pPr>
    <w:rPr>
      <w:rFonts w:ascii="Arial" w:eastAsia="Arial" w:hAnsi="Arial" w:cs="Arial"/>
      <w:b/>
      <w:sz w:val="48"/>
    </w:rPr>
  </w:style>
  <w:style w:type="paragraph" w:customStyle="1" w:styleId="CoverDate">
    <w:name w:val="CoverDate"/>
    <w:basedOn w:val="Normal"/>
    <w:pPr>
      <w:widowControl/>
      <w:spacing w:before="240" w:after="1200"/>
    </w:pPr>
  </w:style>
  <w:style w:type="paragraph" w:customStyle="1" w:styleId="NormalHanging12a">
    <w:name w:val="NormalHanging12a"/>
    <w:basedOn w:val="Normal"/>
    <w:pPr>
      <w:widowControl/>
      <w:overflowPunct/>
      <w:spacing w:after="240"/>
      <w:ind w:left="566" w:hanging="566"/>
    </w:pPr>
  </w:style>
  <w:style w:type="paragraph" w:customStyle="1" w:styleId="EPBody">
    <w:name w:val="EPBody"/>
    <w:basedOn w:val="Normal"/>
    <w:pPr>
      <w:widowControl/>
      <w:jc w:val="center"/>
    </w:pPr>
    <w:rPr>
      <w:rFonts w:ascii="Arial" w:eastAsia="Arial" w:hAnsi="Arial" w:cs="Arial"/>
      <w:i/>
      <w:sz w:val="22"/>
    </w:rPr>
  </w:style>
  <w:style w:type="paragraph" w:customStyle="1" w:styleId="LineTop">
    <w:name w:val="LineTop"/>
    <w:basedOn w:val="Normal"/>
    <w:next w:val="Normal"/>
    <w:pPr>
      <w:widowControl/>
      <w:pBdr>
        <w:top w:val="single" w:sz="4" w:space="1" w:color="000000"/>
      </w:pBdr>
      <w:jc w:val="center"/>
    </w:pPr>
    <w:rPr>
      <w:rFonts w:ascii="Arial" w:hAnsi="Arial"/>
      <w:sz w:val="16"/>
    </w:rPr>
  </w:style>
  <w:style w:type="paragraph" w:customStyle="1" w:styleId="LineBottom">
    <w:name w:val="LineBottom"/>
    <w:basedOn w:val="Normal"/>
    <w:next w:val="Normal"/>
    <w:pPr>
      <w:widowControl/>
      <w:pBdr>
        <w:bottom w:val="single" w:sz="4" w:space="1" w:color="000000"/>
      </w:pBdr>
      <w:spacing w:after="240"/>
      <w:jc w:val="center"/>
    </w:pPr>
    <w:rPr>
      <w:rFonts w:ascii="Arial" w:hAnsi="Arial"/>
      <w:sz w:val="16"/>
    </w:rPr>
  </w:style>
  <w:style w:type="paragraph" w:customStyle="1" w:styleId="EPTerm">
    <w:name w:val="EPTerm"/>
    <w:basedOn w:val="Normal"/>
    <w:next w:val="Normal"/>
    <w:pPr>
      <w:widowControl/>
      <w:spacing w:after="80"/>
    </w:pPr>
    <w:rPr>
      <w:rFonts w:ascii="Arial" w:eastAsia="Arial" w:hAnsi="Arial" w:cs="Arial"/>
      <w:sz w:val="20"/>
    </w:rPr>
  </w:style>
  <w:style w:type="paragraph" w:customStyle="1" w:styleId="EPFooter">
    <w:name w:val="EPFooter"/>
    <w:basedOn w:val="Normal"/>
    <w:pPr>
      <w:widowControl/>
      <w:tabs>
        <w:tab w:val="center" w:pos="4534"/>
        <w:tab w:val="right" w:pos="9070"/>
      </w:tabs>
      <w:spacing w:before="240" w:after="240"/>
    </w:pPr>
    <w:rPr>
      <w:sz w:val="22"/>
    </w:rPr>
  </w:style>
  <w:style w:type="paragraph" w:customStyle="1" w:styleId="CoverNormal12a">
    <w:name w:val="CoverNormal12a"/>
    <w:basedOn w:val="Normal"/>
    <w:pPr>
      <w:widowControl/>
      <w:spacing w:after="240"/>
      <w:ind w:left="1418"/>
    </w:pPr>
  </w:style>
  <w:style w:type="paragraph" w:customStyle="1" w:styleId="LegendSign">
    <w:name w:val="LegendSign"/>
    <w:basedOn w:val="Normal"/>
    <w:pPr>
      <w:widowControl/>
      <w:tabs>
        <w:tab w:val="right" w:pos="454"/>
        <w:tab w:val="left" w:pos="736"/>
      </w:tabs>
      <w:overflowPunct/>
      <w:ind w:left="736" w:hanging="736"/>
    </w:pPr>
    <w:rPr>
      <w:sz w:val="18"/>
    </w:rPr>
  </w:style>
  <w:style w:type="paragraph" w:customStyle="1" w:styleId="LegendStandard">
    <w:name w:val="LegendStandard"/>
    <w:basedOn w:val="LegendSign"/>
    <w:pPr>
      <w:widowControl/>
      <w:ind w:left="0" w:firstLine="0"/>
    </w:pPr>
  </w:style>
  <w:style w:type="paragraph" w:customStyle="1" w:styleId="LegendTitle">
    <w:name w:val="LegendTitle"/>
    <w:basedOn w:val="Normal"/>
    <w:pPr>
      <w:widowControl/>
      <w:spacing w:before="240" w:after="240"/>
    </w:pPr>
    <w:rPr>
      <w:b/>
      <w:i/>
    </w:rPr>
  </w:style>
  <w:style w:type="paragraph" w:styleId="TOC1">
    <w:name w:val="toc 1"/>
    <w:basedOn w:val="Normal12b"/>
    <w:next w:val="Normal12b"/>
    <w:autoRedefine/>
    <w:rsid w:val="00805BCE"/>
    <w:pPr>
      <w:widowControl/>
      <w:spacing w:after="240"/>
    </w:pPr>
  </w:style>
  <w:style w:type="character" w:customStyle="1" w:styleId="EPFooter2Motto">
    <w:name w:val="EPFooter2Motto"/>
    <w:rPr>
      <w:rFonts w:ascii="Arial" w:hAnsi="Arial"/>
      <w:b/>
      <w:i/>
      <w:color w:val="C0C0C0"/>
      <w:sz w:val="22"/>
    </w:rPr>
  </w:style>
  <w:style w:type="paragraph" w:customStyle="1" w:styleId="Normal12b">
    <w:name w:val="Normal12b"/>
    <w:basedOn w:val="Normal"/>
    <w:pPr>
      <w:widowControl/>
      <w:spacing w:before="240"/>
    </w:pPr>
  </w:style>
  <w:style w:type="paragraph" w:customStyle="1" w:styleId="PMissingStyle">
    <w:name w:val="P_MissingStyle"/>
    <w:basedOn w:val="Normal"/>
    <w:pPr>
      <w:widowControl/>
      <w:spacing w:after="0" w:line="240" w:lineRule="auto"/>
    </w:pPr>
    <w:rPr>
      <w:rFonts w:ascii="Times New Roman" w:eastAsia="Times New Roman" w:hAnsi="Times New Roman" w:cs="Times New Roman"/>
      <w:color w:val="FFFFFF"/>
      <w:sz w:val="24"/>
    </w:rPr>
  </w:style>
  <w:style w:type="character" w:customStyle="1" w:styleId="CMissingStyle">
    <w:name w:val="C_MissingStyle"/>
    <w:rPr>
      <w:color w:val="FFFFFF"/>
      <w:sz w:val="22"/>
    </w:rPr>
  </w:style>
  <w:style w:type="paragraph" w:styleId="TOCHeading">
    <w:name w:val="TOC Heading"/>
    <w:basedOn w:val="Normal"/>
    <w:next w:val="Normal"/>
    <w:uiPriority w:val="39"/>
    <w:unhideWhenUsed/>
    <w:qFormat/>
    <w:rsid w:val="000200DD"/>
    <w:pPr>
      <w:keepNext/>
      <w:widowControl/>
      <w:spacing w:before="240" w:after="240"/>
      <w:jc w:val="center"/>
      <w:outlineLvl w:val="9"/>
    </w:pPr>
    <w:rPr>
      <w:rFonts w:ascii="Arial" w:hAnsi="Arial"/>
      <w:b/>
    </w:rPr>
  </w:style>
  <w:style w:type="paragraph" w:customStyle="1" w:styleId="Normal12">
    <w:name w:val="Normal12"/>
    <w:basedOn w:val="Normal"/>
    <w:pPr>
      <w:widowControl/>
      <w:spacing w:after="240" w:line="240" w:lineRule="auto"/>
    </w:pPr>
    <w:rPr>
      <w:rFonts w:ascii="Times New Roman" w:eastAsia="Times New Roman" w:hAnsi="Times New Roman" w:cs="Times New Roman"/>
      <w:sz w:val="24"/>
    </w:rPr>
  </w:style>
  <w:style w:type="paragraph" w:customStyle="1" w:styleId="NormalHanging12a4">
    <w:name w:val="NormalHanging12a4"/>
    <w:basedOn w:val="NormalHanging12a3"/>
    <w:pPr>
      <w:widowControl/>
      <w:ind w:left="2268"/>
    </w:pPr>
  </w:style>
  <w:style w:type="paragraph" w:customStyle="1" w:styleId="NormalHanging12a5">
    <w:name w:val="NormalHanging12a5"/>
    <w:basedOn w:val="NormalHanging12a4"/>
    <w:pPr>
      <w:widowControl/>
      <w:ind w:left="2692"/>
    </w:pPr>
  </w:style>
  <w:style w:type="paragraph" w:customStyle="1" w:styleId="NormalHanging12a6">
    <w:name w:val="NormalHanging12a6"/>
    <w:basedOn w:val="NormalHanging12a5"/>
    <w:pPr>
      <w:widowControl/>
      <w:ind w:left="3118"/>
    </w:pPr>
  </w:style>
  <w:style w:type="paragraph" w:customStyle="1" w:styleId="NormalHanging12a7">
    <w:name w:val="NormalHanging12a7"/>
    <w:basedOn w:val="NormalHanging12a6"/>
    <w:pPr>
      <w:widowControl/>
      <w:ind w:left="3544"/>
    </w:pPr>
  </w:style>
  <w:style w:type="paragraph" w:customStyle="1" w:styleId="NormalHanging12a1">
    <w:name w:val="NormalHanging12a1"/>
    <w:basedOn w:val="Normal"/>
    <w:pPr>
      <w:widowControl/>
      <w:overflowPunct/>
      <w:spacing w:after="240" w:line="240" w:lineRule="auto"/>
      <w:ind w:left="992" w:hanging="424"/>
    </w:pPr>
    <w:rPr>
      <w:rFonts w:ascii="Times New Roman" w:eastAsia="Times New Roman" w:hAnsi="Times New Roman" w:cs="Times New Roman"/>
      <w:sz w:val="24"/>
    </w:rPr>
  </w:style>
  <w:style w:type="paragraph" w:customStyle="1" w:styleId="NormalHanging12a2">
    <w:name w:val="NormalHanging12a2"/>
    <w:basedOn w:val="NormalHanging12a1"/>
    <w:pPr>
      <w:widowControl/>
      <w:ind w:left="1416"/>
    </w:pPr>
  </w:style>
  <w:style w:type="paragraph" w:customStyle="1" w:styleId="NormalHanging12a3">
    <w:name w:val="NormalHanging12a3"/>
    <w:basedOn w:val="NormalHanging12a2"/>
    <w:pPr>
      <w:widowControl/>
      <w:ind w:left="1842"/>
    </w:pPr>
  </w:style>
  <w:style w:type="paragraph" w:customStyle="1" w:styleId="NormalHanging">
    <w:name w:val="NormalHanging"/>
    <w:basedOn w:val="Normal"/>
    <w:pPr>
      <w:widowControl/>
      <w:overflowPunct/>
      <w:spacing w:after="240" w:line="240" w:lineRule="auto"/>
      <w:ind w:left="566" w:hanging="566"/>
    </w:pPr>
    <w:rPr>
      <w:rFonts w:ascii="Times New Roman" w:eastAsia="Times New Roman" w:hAnsi="Times New Roman" w:cs="Times New Roman"/>
      <w:sz w:val="24"/>
    </w:rPr>
  </w:style>
  <w:style w:type="character" w:customStyle="1" w:styleId="FooterChar">
    <w:name w:val="Footer Char"/>
    <w:rPr>
      <w:rFonts w:ascii="Times New Roman" w:eastAsia="Times New Roman" w:hAnsi="Times New Roman" w:cs="Times New Roman"/>
      <w:sz w:val="24"/>
    </w:rPr>
  </w:style>
  <w:style w:type="paragraph" w:customStyle="1" w:styleId="NormalBold12a">
    <w:name w:val="NormalBold12a"/>
    <w:basedOn w:val="Normal"/>
    <w:pPr>
      <w:widowControl/>
      <w:spacing w:after="240"/>
    </w:pPr>
    <w:rPr>
      <w:b/>
    </w:rPr>
  </w:style>
  <w:style w:type="paragraph" w:customStyle="1" w:styleId="NormalCenter12a">
    <w:name w:val="NormalCenter12a"/>
    <w:basedOn w:val="Normal"/>
    <w:pPr>
      <w:widowControl/>
      <w:spacing w:after="240"/>
      <w:jc w:val="center"/>
    </w:pPr>
  </w:style>
  <w:style w:type="paragraph" w:customStyle="1" w:styleId="Normal12BoldUnderline">
    <w:name w:val="Normal12BoldUnderline"/>
    <w:basedOn w:val="Normal"/>
    <w:pPr>
      <w:widowControl/>
      <w:spacing w:before="480"/>
    </w:pPr>
    <w:rPr>
      <w:b/>
      <w:u w:val="single"/>
    </w:rPr>
  </w:style>
  <w:style w:type="paragraph" w:customStyle="1" w:styleId="Normal12Bullet2">
    <w:name w:val="Normal12Bullet2"/>
    <w:basedOn w:val="Normal"/>
    <w:pPr>
      <w:widowControl/>
      <w:numPr>
        <w:numId w:val="2"/>
      </w:numPr>
    </w:pPr>
  </w:style>
  <w:style w:type="paragraph" w:customStyle="1" w:styleId="NormalHangingJustified">
    <w:name w:val="NormalHangingJustified"/>
    <w:basedOn w:val="Normal"/>
    <w:pPr>
      <w:widowControl/>
      <w:overflowPunct/>
      <w:spacing w:after="240"/>
      <w:ind w:left="714" w:hanging="356"/>
      <w:jc w:val="both"/>
    </w:pPr>
  </w:style>
  <w:style w:type="paragraph" w:customStyle="1" w:styleId="NormalCenter">
    <w:name w:val="NormalCenter"/>
    <w:basedOn w:val="Normal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4"/>
    </w:rPr>
  </w:style>
  <w:style w:type="character" w:styleId="FootnoteReference">
    <w:name w:val="footnote reference"/>
    <w:basedOn w:val="DefaultParagraphFont"/>
    <w:rsid w:val="00805BCE"/>
    <w:rPr>
      <w:vertAlign w:val="superscript"/>
    </w:rPr>
  </w:style>
  <w:style w:type="paragraph" w:styleId="FootnoteText">
    <w:name w:val="footnote text"/>
    <w:basedOn w:val="Normal"/>
    <w:rsid w:val="00805BCE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image" Target="media/image1.pn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footer" Target="footer3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5</Pages>
  <Words>948</Words>
  <Characters>6602</Characters>
  <Application>Microsoft Office Word</Application>
  <DocSecurity>0</DocSecurity>
  <Lines>1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PR_INI</dc:title>
  <dc:creator>e-Parliament@europarl.europa.eu</dc:creator>
  <cp:lastModifiedBy>e-Parliament@europarl.europa.eu</cp:lastModifiedBy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LT</vt:lpwstr>
  </property>
  <property fmtid="{D5CDD505-2E9C-101B-9397-08002B2CF9AE}" pid="3" name="&lt;FdR&gt;">
    <vt:lpwstr>1331649</vt:lpwstr>
  </property>
  <property fmtid="{D5CDD505-2E9C-101B-9397-08002B2CF9AE}" pid="4" name="&lt;Model&gt;">
    <vt:lpwstr>PR_INI</vt:lpwstr>
  </property>
  <property fmtid="{D5CDD505-2E9C-101B-9397-08002B2CF9AE}" pid="5" name="&lt;Type&gt;">
    <vt:lpwstr>PR</vt:lpwstr>
  </property>
  <property fmtid="{D5CDD505-2E9C-101B-9397-08002B2CF9AE}" pid="6" name="dmxml.render.id">
    <vt:lpwstr>301088</vt:lpwstr>
  </property>
  <property fmtid="{D5CDD505-2E9C-101B-9397-08002B2CF9AE}" pid="7" name="dmxml.render.traceId">
    <vt:lpwstr>69301617805e9b69190cfde8c91cff40</vt:lpwstr>
  </property>
  <property fmtid="{D5CDD505-2E9C-101B-9397-08002B2CF9AE}" pid="8" name="FooterPath">
    <vt:lpwstr>PR\1331649LT.doc</vt:lpwstr>
  </property>
  <property fmtid="{D5CDD505-2E9C-101B-9397-08002B2CF9AE}" pid="9" name="PE Number">
    <vt:lpwstr>779.558</vt:lpwstr>
  </property>
  <property fmtid="{D5CDD505-2E9C-101B-9397-08002B2CF9AE}" pid="10" name="UID">
    <vt:lpwstr>eu.europa.europarl-DIN1-2025-0000214726_01.07-lt-01.00_text-xml</vt:lpwstr>
  </property>
</Properties>
</file>