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Parlament Ewropew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1.46pt">
                  <v:imagedata r:id="rId5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Kumitat għall-Impjiegi u l-Affarijiet Soċjali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2025/2183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{20/11/2025}</w:t>
      </w:r>
      <w:r>
        <w:t>20.11.2025</w:t>
      </w:r>
      <w:r>
        <w:rPr>
          <w:rStyle w:val="HideTWBExt"/>
        </w:rPr>
        <w:t>&lt;/Date&gt;</w:t>
      </w:r>
    </w:p>
    <w:p>
      <w:pPr>
        <w:pStyle w:val="CoverDocType24a"/>
      </w:pPr>
      <w:r>
        <w:rPr>
          <w:rStyle w:val="HideTWBExt"/>
        </w:rPr>
        <w:t>&lt;TitreType&gt;</w:t>
      </w:r>
      <w:r>
        <w:t>ABBOZZ TA’ RAPPORT</w:t>
      </w:r>
      <w:r>
        <w:rPr>
          <w:rStyle w:val="HideTWBExt"/>
        </w:rPr>
        <w:t>&lt;/TitreType&gt;</w:t>
      </w:r>
    </w:p>
    <w:p>
      <w:pPr>
        <w:pStyle w:val="CoverNormal"/>
      </w:pPr>
      <w:r>
        <w:rPr>
          <w:rStyle w:val="HideTWBExt"/>
        </w:rPr>
        <w:t>&lt;Titre&gt;</w:t>
      </w:r>
      <w:r>
        <w:t>dwar is-Semestru Ewropew għall-koordinazzjoni tal-politika ekonomika: prijoritajiet soċjali u rigward l-impjiegi – rapport annwali 2026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(2025/2183(INI))</w:t>
      </w:r>
      <w:r>
        <w:rPr>
          <w:rStyle w:val="HideTWBExt"/>
        </w:rPr>
        <w:t>&lt;/DocRef&gt;</w:t>
      </w:r>
    </w:p>
    <w:p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Kumitat għall-Impjiegi u l-Affarijiet Soċjali</w:t>
      </w:r>
      <w:r>
        <w:rPr>
          <w:rStyle w:val="HideTWBExt"/>
        </w:rPr>
        <w:t>&lt;/Commission&gt;</w:t>
      </w:r>
    </w:p>
    <w:p>
      <w:pPr>
        <w:pStyle w:val="CoverNormal24a"/>
      </w:pPr>
      <w:r>
        <w:t>Rapporteur</w:t>
      </w:r>
      <w:r>
        <w:t xml:space="preserve">: </w:t>
      </w:r>
      <w:r>
        <w:rPr>
          <w:rStyle w:val="HideTWBExt"/>
        </w:rPr>
        <w:t>&lt;Depute&gt;</w:t>
      </w:r>
      <w:r>
        <w:t>Nela Riehl</w:t>
      </w:r>
      <w:r>
        <w:rPr>
          <w:rStyle w:val="HideTWBExt"/>
        </w:rPr>
        <w:t>&lt;/Depute&gt;</w:t>
      </w:r>
    </w:p>
    <w:p>
      <w:r>
        <w:br w:type="page"/>
      </w:r>
      <w:r>
        <w:t>PR_INI</w:t>
      </w:r>
    </w:p>
    <w:p>
      <w:pPr>
        <w:pStyle w:val="TOCHeading"/>
      </w:pPr>
      <w:r>
        <w:t>WERREJ</w:t>
      </w:r>
    </w:p>
    <w:p>
      <w:pPr>
        <w:pStyle w:val="TOCPage"/>
      </w:pPr>
      <w:r>
        <w:t>Paġna</w:t>
      </w:r>
    </w:p>
    <w:p>
      <w:pPr>
        <w:pStyle w:val="TOC1"/>
        <w:tabs>
          <w:tab w:val="right" w:leader="dot" w:pos="9065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 xml:space="preserve"> TOC </w:instrText>
      </w:r>
      <w:r>
        <w:instrText xml:space="preserve"> \t</w:instrText>
      </w:r>
      <w:r>
        <w:instrText xml:space="preserve"> </w:instrText>
      </w:r>
      <w:r>
        <w:instrText>PageHeading</w:instrText>
      </w:r>
      <w:r>
        <w:fldChar w:fldCharType="separate"/>
      </w:r>
      <w:r>
        <w:t>MOZZJONI GĦAL RIŻOLUZZJONI TAL-PARLAMENT EWROPEW</w:t>
      </w:r>
      <w:r>
        <w:tab/>
      </w:r>
      <w:r>
        <w:fldChar w:fldCharType="begin"/>
      </w:r>
      <w:r>
        <w:instrText xml:space="preserve"> PAGEREF _Toc256000000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</w:pPr>
      <w:r>
        <w:fldChar w:fldCharType="end"/>
      </w:r>
    </w:p>
    <w:p>
      <w:r>
        <w:br w:type="page"/>
      </w:r>
    </w:p>
    <w:p>
      <w:pPr>
        <w:pStyle w:val="PageHeading"/>
      </w:pPr>
      <w:bookmarkStart w:id="0" w:name="_Toc256000000"/>
      <w:r>
        <w:t>MOZZJONI GĦAL RIŻOLUZZJONI TAL-PARLAMENT EWROPEW</w:t>
      </w:r>
      <w:bookmarkEnd w:id="0"/>
    </w:p>
    <w:p>
      <w:pPr>
        <w:pStyle w:val="NormalBold"/>
      </w:pPr>
      <w:r>
        <w:t>dwar is-Semestru Ewropew għall-koordinazzjoni tal-politika ekonomika: prijoritajiet soċjali u rigward l-impjiegi – rapport annwali 2026</w:t>
      </w:r>
    </w:p>
    <w:p>
      <w:pPr>
        <w:pStyle w:val="NormalBold"/>
      </w:pPr>
    </w:p>
    <w:p>
      <w:pPr>
        <w:pStyle w:val="NormalBold12a"/>
      </w:pPr>
      <w:r>
        <w:t>(</w:t>
      </w:r>
      <w:r>
        <w:t>2025/2183(INI)</w:t>
      </w:r>
      <w:r>
        <w:t>)</w:t>
      </w:r>
    </w:p>
    <w:p>
      <w:pPr>
        <w:pStyle w:val="Normal12"/>
      </w:pPr>
      <w:r>
        <w:rPr>
          <w:i/>
        </w:rPr>
        <w:t>Il-Parlament Ewropew</w:t>
      </w:r>
      <w:r>
        <w:t>,</w:t>
      </w:r>
    </w:p>
    <w:p>
      <w:pPr>
        <w:pStyle w:val="NormalHanging"/>
      </w:pPr>
      <w:r>
        <w:t>–</w:t>
      </w:r>
      <w:r>
        <w:tab/>
      </w:r>
      <w:r>
        <w:t>wara li kkunsidra l-Artikolu 3 tat-Trattat dwar l-Unjoni Ewropea,</w:t>
      </w:r>
    </w:p>
    <w:p>
      <w:pPr>
        <w:pStyle w:val="NormalHanging"/>
      </w:pPr>
      <w:r>
        <w:t>–</w:t>
      </w:r>
      <w:r>
        <w:tab/>
      </w:r>
      <w:r>
        <w:t>wara li kkunsidra l-Artikoli 9, 121, 148 u 149 tat-Trattat dwar il-Funzjonament tal-Unjoni Ewropea (TFUE),</w:t>
      </w:r>
    </w:p>
    <w:p>
      <w:pPr>
        <w:pStyle w:val="NormalHanging"/>
      </w:pPr>
      <w:r>
        <w:t>–</w:t>
      </w:r>
      <w:r>
        <w:tab/>
      </w:r>
      <w:r>
        <w:t>wara li kkunsidra l-Pilastru Ewropew tad-Drittijiet Soċjali (EPSR), ipproklamat u ffirmat mill-Kunsill, mill-Parlament u mill-Kummissjoni fis-17 ta’ Novembru 2017,</w:t>
      </w:r>
    </w:p>
    <w:p>
      <w:pPr>
        <w:pStyle w:val="NormalHanging"/>
      </w:pPr>
      <w:r>
        <w:t>–</w:t>
      </w:r>
      <w:r>
        <w:tab/>
      </w:r>
      <w:r>
        <w:t>wara li kkunsidra l-komunikazzjoni tal-Kummissjoni tal-XX ta’ Novembru 2026 dwar l-Istħarriġ Annwali dwar it-Tkabbir Sostenibbli 2026,</w:t>
      </w:r>
    </w:p>
    <w:p>
      <w:pPr>
        <w:pStyle w:val="NormalHanging"/>
      </w:pPr>
      <w:r>
        <w:t>–</w:t>
      </w:r>
      <w:r>
        <w:tab/>
      </w:r>
      <w:r>
        <w:t>wara li kkunsidra l-proposta tal-Kummissjoni tal-XXX 2026 għal rapport konġunt dwar l-impjiegi mill-Kummissjoni u l-Kunsill,</w:t>
      </w:r>
    </w:p>
    <w:p>
      <w:pPr>
        <w:pStyle w:val="NormalHanging"/>
      </w:pPr>
      <w:r>
        <w:t>–</w:t>
      </w:r>
      <w:r>
        <w:tab/>
      </w:r>
      <w:r>
        <w:t>wara li kkunsidra r-rakkomandazzjoni tal-Kummissjoni tal-XXX 2026 għal rakkomandazzjoni tal-Kunsill dwar il-politika ekonomika taż-żona tal-euro,</w:t>
      </w:r>
    </w:p>
    <w:p>
      <w:pPr>
        <w:pStyle w:val="NormalHanging"/>
      </w:pPr>
      <w:r>
        <w:t>–</w:t>
      </w:r>
      <w:r>
        <w:tab/>
      </w:r>
      <w:r>
        <w:t>wara li kkunsidra r-rapport tal-Kummissjoni tal-XXX 2026 bit-titolu “Rapport dwar il-Mekkaniżmu ta’ Twissija 2025”,</w:t>
      </w:r>
    </w:p>
    <w:p>
      <w:pPr>
        <w:pStyle w:val="NormalHanging"/>
      </w:pPr>
      <w:r>
        <w:t>–</w:t>
      </w:r>
      <w:r>
        <w:tab/>
      </w:r>
      <w:r>
        <w:t>wara li kkunsidra l-komunikazzjoni tal-Kummissjoni tal-15 ta’ Novembru 2026 bit-titolu “L-Abbozzi ta’ Pjanijiet Baġitarji għall-2025: Valutazzjoni ġenerali”,</w:t>
      </w:r>
    </w:p>
    <w:p>
      <w:pPr>
        <w:pStyle w:val="NormalHanging"/>
      </w:pPr>
      <w:r>
        <w:t>–</w:t>
      </w:r>
      <w:r>
        <w:tab/>
      </w:r>
      <w:r>
        <w:t>wara li kkunsidra r-rapport ta’ Mario Draghi bit-titolu “The future of European competitiveness” (Il-Futur tal-Kompetittività Ewropea), ippubblikat f’Settembru 2024,</w:t>
      </w:r>
    </w:p>
    <w:p>
      <w:pPr>
        <w:pStyle w:val="NormalHanging"/>
      </w:pPr>
      <w:r>
        <w:t>–</w:t>
      </w:r>
      <w:r>
        <w:tab/>
      </w:r>
      <w:r>
        <w:t>wara li kkunsidra r-rapport ta’ Enrico Letta dwar il-futur tas-suq uniku, bit-titolu “More than a Market” (Aktar minn Suq), ippubblikat f’April 2024,</w:t>
      </w:r>
    </w:p>
    <w:p>
      <w:pPr>
        <w:pStyle w:val="NormalHanging"/>
      </w:pPr>
      <w:r>
        <w:t>–</w:t>
      </w:r>
      <w:r>
        <w:tab/>
      </w:r>
      <w:r>
        <w:t>Wara li kkunsidra r-rapport tal-Grupp ta’ Livell Għoli dwar il-Futur tal-Protezzjoni Soċjali u tal-Istat Soċjali fl-UE, ippubblikat f’Jannar 2023,</w:t>
      </w:r>
    </w:p>
    <w:p>
      <w:pPr>
        <w:pStyle w:val="NormalHanging"/>
      </w:pPr>
      <w:r>
        <w:t>–</w:t>
      </w:r>
      <w:r>
        <w:tab/>
      </w:r>
      <w:r>
        <w:t>wara li kkunsidra l-Artikolu 55 tar-Regoli ta’ Proċedura tiegħu,</w:t>
      </w:r>
    </w:p>
    <w:p>
      <w:pPr>
        <w:pStyle w:val="NormalHanging"/>
      </w:pPr>
      <w:r>
        <w:t>–</w:t>
      </w:r>
      <w:r>
        <w:tab/>
      </w:r>
      <w:r>
        <w:t>wara li kkunsidra r-rapport tal-Kumitat għall-Impjiegi u l-Affarijiet Soċjali (A10-0000/2025),</w:t>
      </w:r>
    </w:p>
    <w:p>
      <w:pPr>
        <w:pStyle w:val="NormalHanging"/>
      </w:pPr>
      <w:r>
        <w:t>A.</w:t>
      </w:r>
      <w:r>
        <w:tab/>
      </w:r>
      <w:r>
        <w:t>billi f’Ġunju 2025, ir-rata tal-qgħad fl-UE kienet ta’ 5,9 %, filwaqt li l-qgħad fost iż-żgħażagħ għadu għoli fil-livell ta’ 14,7 %; billi livelli ogħla ta’ impjiegi ma jilħqux kompletament il-kwalità tal-impjiegi, iż-żidiet fil-pagi u ż-żidiet fil-produttività;</w:t>
      </w:r>
    </w:p>
    <w:p>
      <w:pPr>
        <w:pStyle w:val="NormalHanging"/>
      </w:pPr>
      <w:r>
        <w:t>B.</w:t>
      </w:r>
      <w:r>
        <w:tab/>
      </w:r>
      <w:r>
        <w:t>billi s-Semestru Ewropew jibqa’ strument ċentrali għall-koordinazzjoni tal-politika ekonomika, fiskali, tal-impjiegi u soċjali madwar l-UE, u b’hekk joffri opportunità biex il-ġustizzja soċjali, ambjentali u interġenerazzjonali tiġi inkorporata b’mod aktar sistematiku fil-governanza makroekonomika;</w:t>
      </w:r>
    </w:p>
    <w:p>
      <w:pPr>
        <w:pStyle w:val="NormalHanging"/>
      </w:pPr>
      <w:r>
        <w:t>C.</w:t>
      </w:r>
      <w:r>
        <w:tab/>
      </w:r>
      <w:r>
        <w:t>billi 21 % tal-popolazzjoni tal-UE kienet f’riskju ta’ faqar jew esklużjoni soċjali (AROPE) fl-2024; billi mhux qed isir biżżejjed progress lejn l-objettiv li jitnaqqas l-għadd ta’ tfal f’riskju ta’ faqar jew ta’ esklużjoni soċjali b’5 miljun sal-2030;</w:t>
      </w:r>
    </w:p>
    <w:p>
      <w:pPr>
        <w:pStyle w:val="NormalHanging"/>
      </w:pPr>
      <w:r>
        <w:t>D.</w:t>
      </w:r>
      <w:r>
        <w:tab/>
      </w:r>
      <w:r>
        <w:t>billi t-tibdil fil-klima u l-qerda ambjentali iggravaw l-inugwaljanzi u affettwaw l-aktar gruppi vulnerabbli; billi t-tranżizzjoni lejn newtralità klimatika hija mistennija li toħloq madwar 2,5 miljun impjieg addizzjonali;</w:t>
      </w:r>
    </w:p>
    <w:p>
      <w:pPr>
        <w:pStyle w:val="NormalHanging"/>
      </w:pPr>
      <w:r>
        <w:t>E.</w:t>
      </w:r>
      <w:r>
        <w:tab/>
      </w:r>
      <w:r>
        <w:t>billi l-pressjonijiet tal-kostijiet tal-akkomodazzjoni u l-prezzijiet għoljin tal-enerġija jimponu piżijiet sinifikanti fuq l-unitajiet domestiċi, iżda l-politika tal-akkomodazzjoni spiss kienet sottorappreżentata fir-rakkomandazzjonijiet speċifiċi għall-pajjiż;</w:t>
      </w:r>
    </w:p>
    <w:p>
      <w:pPr>
        <w:pStyle w:val="NormalHanging"/>
      </w:pPr>
      <w:r>
        <w:t>F.</w:t>
      </w:r>
      <w:r>
        <w:tab/>
      </w:r>
      <w:r>
        <w:t>billi l-UE qed tiffaċċja nuqqas persistenti ta’ ħaddiema u ta’ ħiliet, minħabba għadd ta’ fatturi, inkluża l-kwalità fqira tal-impjiegi;</w:t>
      </w:r>
    </w:p>
    <w:p>
      <w:pPr>
        <w:pStyle w:val="NormalHanging"/>
      </w:pPr>
      <w:r>
        <w:t>G.</w:t>
      </w:r>
      <w:r>
        <w:tab/>
      </w:r>
      <w:r>
        <w:t>billi d-data tindika li huwa meħtieġ aktar sforz fil-biċċa l-kbira tal-Istati Membri biex tintlaħaq il-mira ta’ 60 % tal-adulti li jipparteċipaw fl-edukazzjoni u fit-taħriġ sal-2030; billi l-approċċ integrat għall-koordinazzjoni tal-politika fi ħdan is-Semestru Ewropew jipprovdi l-qafas biex jiggwida l-investiment meħtieġ fl-iżvilupp tal-kapital uman, l-edukazzjoni u s-sistemi ta’ taħriġ;</w:t>
      </w:r>
    </w:p>
    <w:p>
      <w:pPr>
        <w:pStyle w:val="NormalHanging"/>
      </w:pPr>
      <w:r>
        <w:t>H.</w:t>
      </w:r>
      <w:r>
        <w:tab/>
      </w:r>
      <w:r>
        <w:t>billi l-ħtiġijiet ta’ investiment addizzjonali fl-infrastruttura soċjali ġew stmati għal EUR 192 biljun fis-sena, inkluż l-investiment f’akkomodazzjoni affordabbli, fis-saħħa u fil-kura fit-tul, fl-edukazzjoni u fit-taħriġ tul il-ħajja</w:t>
      </w:r>
      <w:r>
        <w:rPr>
          <w:rStyle w:val="FootnoteReference"/>
        </w:rPr>
        <w:footnoteReference w:customMarkFollows="1" w:id="2"/>
        <w:t xml:space="preserve">1</w:t>
      </w:r>
      <w:r>
        <w:t>; billi hija meħtieġa aktar ħidma biex titkejjel id-diskrepanza fl-investiment soċjali fl-UE kif ukoll biex jitkejlu r-redditi ekonomiċi fuq l-investiment soċjali;</w:t>
      </w:r>
    </w:p>
    <w:p>
      <w:pPr>
        <w:pStyle w:val="NormalHanging12a"/>
      </w:pPr>
      <w:r>
        <w:t>1.</w:t>
      </w:r>
      <w:r>
        <w:tab/>
      </w:r>
      <w:r>
        <w:t>Jisħaq fuq il-vantaġġ kompetittiv tal-investiment fil-mudell soċjali tal-UE; jappella biex ir-rakkomandazzjonijiet tal-Grupp ta’ Livell Għoli dwar il-futur tal-protezzjoni soċjali u tal-istat soċjali, kif ukoll ir-rakkomandazzjonijiet tar-rapporti ta’ Letta u ta’ Draghi, jiġu integrati fil-proċess tas-Semestru Ewropew; jilqa’ l-integrazzjoni tal-EPSR fil-qafas tal-governanza ekonomika u jistieden lill-Istati Membri jieħdu vantaġġ mill-possibbiltà li jestendu l-perjodu ta’ aġġustament għall-investiment fil-prijoritajiet tal-EPSR; jappella biex il-qafas integrat ta’ governanza jiġi rifless fil-proċessi interni tal-istituzzjonijiet tal-UE, bil-korpi ekonomiċi u soċjali tagħhom involuti f’livelli ugwali;</w:t>
      </w:r>
    </w:p>
    <w:p>
      <w:pPr>
        <w:pStyle w:val="NormalHanging12a"/>
      </w:pPr>
      <w:r>
        <w:t>2.</w:t>
      </w:r>
      <w:r>
        <w:tab/>
      </w:r>
      <w:r>
        <w:t>Iqis li l-Kummissjoni u l-Kunsill għandhom isaħħu l-isforzi tagħhom biex jimplimentaw l-EPSR; jappella biex il-miri tal-pjan ta’ azzjoni tal-EPSR jiġu inkorporati fil-qalba tas-Semestru Ewropew billi jsiru punti ta’ riferiment fil-valutazzjonijiet tas-Semestru Ewropew;</w:t>
      </w:r>
    </w:p>
    <w:p>
      <w:pPr>
        <w:pStyle w:val="NormalHanging12a"/>
      </w:pPr>
      <w:r>
        <w:t>3.</w:t>
      </w:r>
      <w:r>
        <w:tab/>
      </w:r>
      <w:r>
        <w:t>Jilqa’ l-ambizzjoni tal-Kummissjoni li teqred il-faqar sal-2050 u l-intenzjoni tagħha li tipproponi att dwar impjiegi ta’ kwalità; jenfasizza l-ħtieġa li jkun hemm koerenza bejn is-Semestru Ewropew, is-segwitu għall-pjan ta’ azzjoni tal-EPSR u dawn l-istrumenti futuri, u li jkollhom miri li jistgħu jitkejlu u rakkomandazzjonijiet korrispondenti speċifiċi għall-pajjiż;</w:t>
      </w:r>
    </w:p>
    <w:p>
      <w:pPr>
        <w:pStyle w:val="NormalHanging12a"/>
      </w:pPr>
      <w:r>
        <w:t>4.</w:t>
      </w:r>
      <w:r>
        <w:tab/>
      </w:r>
      <w:r>
        <w:t>Jilqa’ l-inklużjoni permanenti tal-qafas ta’ konverġenza soċjali fis-Semestru Ewropew; jisħaq fuq l-importanza tagħha, flimkien mat-tabella ta’ valutazzjoni soċjali, biex jiġu identifikati r-riskji u biex jiġi intraċċat il-progress fuq il-konverġenza soċjali li titla’;</w:t>
      </w:r>
    </w:p>
    <w:p>
      <w:pPr>
        <w:pStyle w:val="NormalHanging12a"/>
      </w:pPr>
      <w:r>
        <w:t>5.</w:t>
      </w:r>
      <w:r>
        <w:tab/>
      </w:r>
      <w:r>
        <w:t>Ifakkar li l-investiment soċjali jista’ jkollu impatt pożittiv fuq it-tkabbir ekonomiku, il-produttività u l-kompetittività, u b’hekk jappoġġja wkoll is-sostenibbiltà fiskali filwaqt li jippromwovi l-konverġenza soċjali li titla’; jistieden lill-Kummissjoni u lill-Kunsill jittrattaw l-investiment soċjali bħala fundamentali għat-tkabbir sostenibbli;</w:t>
      </w:r>
    </w:p>
    <w:p>
      <w:pPr>
        <w:pStyle w:val="NormalHanging12a"/>
      </w:pPr>
      <w:r>
        <w:t>6.</w:t>
      </w:r>
      <w:r>
        <w:tab/>
      </w:r>
      <w:r>
        <w:t>Jenfasizza li l-pjan ta’ akkomodazzjoni affordabbli tal-Kummissjoni għandu jiġi integrat aħjar fis-Semestru Ewropew, b’enfasi aktar qawwija fuq akkomodazzjoni affordabbli, sostenibbli u deċenti fir-rakkomandazzjonijiet speċifiċi għall-pajjiż; ifakkar lill-firmatarji tad-Dikjarazzjoni ta’ Liżbona dwar il-Pjattaforma Ewropea għall-ġlieda kontra l-kundizzjoni ta’ persuni mingħajr dar dwar l-għan li tinqered din il-kundizzjoni sal-2030;</w:t>
      </w:r>
    </w:p>
    <w:p>
      <w:pPr>
        <w:pStyle w:val="NormalHanging12a"/>
      </w:pPr>
      <w:r>
        <w:t>7.</w:t>
      </w:r>
      <w:r>
        <w:tab/>
      </w:r>
      <w:r>
        <w:t>Jenfasizza li l-investiment fl-edukazzjoni, fit-titjib tal-ħiliet u fit-taħriġ mill-ġdid huwa investiment soċjali strateġiku b’redditi fit-tul għall-kompetittività u l-koeżjoni;</w:t>
      </w:r>
    </w:p>
    <w:p>
      <w:pPr>
        <w:pStyle w:val="NormalHanging12a"/>
      </w:pPr>
      <w:r>
        <w:t>8.</w:t>
      </w:r>
      <w:r>
        <w:tab/>
      </w:r>
      <w:r>
        <w:t>Jenfasizza li l-ġustizzja interġenerazzjonali trid issir komponent strutturali tas-Semestru Ewropew; jistieden lill-Kummissjoni, bħala parti mill-istrateġija tagħha dwar l-ekwità interġenerazzjonali, tintegra indikaturi dwar il-benesseri taż-żgħażagħ, l-aċċess għal impjiegi ta’ kwalità, l-affordabbiltà tal-akkomodazzjoni, l-edukazzjoni u l-ħiliet fil-qafas ta’ valutazzjoni tas-Semestru Ewropew, u tevalwa b’mod sistematiku l-impatti fit-tul tar-rakkomandazzjonijiet fiskali u ta’ riforma;</w:t>
      </w:r>
    </w:p>
    <w:p>
      <w:pPr>
        <w:pStyle w:val="NormalHanging12a"/>
      </w:pPr>
      <w:r>
        <w:t>9.</w:t>
      </w:r>
      <w:r>
        <w:tab/>
      </w:r>
      <w:r>
        <w:t>Jirrikonoxxi li l-Istati Membri impenjaw ruħhom li jinvestu 5 % tal-PDG kull sena f’rekwiżiti ewlenin tad-difiża u fi nfiq relatat għas-sigurtà sal-2035, inkluż permezz tal-attivazzjoni tal-klawżola liberatorja nazzjonali; jisħaq li, fil-qafas tas-Semestru Ewropew, tali nefqa trid tiġi ppjanata b’mod ikkoordinat;</w:t>
      </w:r>
    </w:p>
    <w:p>
      <w:pPr>
        <w:pStyle w:val="NormalHanging12a"/>
      </w:pPr>
      <w:r>
        <w:t>10.</w:t>
      </w:r>
      <w:r>
        <w:tab/>
      </w:r>
      <w:r>
        <w:t>Jinnota li r-rakkomandazzjonijiet tas-Semestru Ewropew fl-2026 se jkollhom rwol essenzjali fit-tfassil tal-pjanijiet ta’ sħubija nazzjonali u reġjonali; jemmen li r-riformi u l-investimenti għandhom jintgħażlu abbażi tal-effiċjenza u l-effettività li bihom jindirizzaw ir-rakkomandazzjonijiet speċifiċi għall-pajjiż rilevanti;</w:t>
      </w:r>
    </w:p>
    <w:p>
      <w:pPr>
        <w:pStyle w:val="NormalHanging12a"/>
      </w:pPr>
      <w:r>
        <w:t>11.</w:t>
      </w:r>
      <w:r>
        <w:tab/>
      </w:r>
      <w:r>
        <w:t>Jappoġġja proċess ta’ Semestru Ewropew aktar demokratiku, bil-Parlament involut b’mod qawwi biex jiġu stabbiliti l-prijoritajiet tal-politika ekonomika u biex jittieħdu deċiżjonijiet ta’ governanza ekonomika; jinsisti fuq l-involviment sistematiku tas-sħab soċjali, l-organizzazzjonijiet tas-soċjetà ċivili, u l-atturi reġjonali u lokali fil-proċess tas-Semestru Ewropew;</w:t>
      </w:r>
    </w:p>
    <w:p>
      <w:pPr>
        <w:pStyle w:val="NormalHanging12a"/>
      </w:pPr>
      <w:r>
        <w:t>12.</w:t>
      </w:r>
      <w:r>
        <w:tab/>
      </w:r>
      <w:r>
        <w:t>Jagħti istruzzjonijiet lill-President tiegħu biex tgħaddi din ir-riżoluzzjoni lill-Kunsill u lill-Kummissjoni.</w:t>
      </w:r>
    </w:p>
    <w:sectPr>
      <w:footerReference w:type="even" r:id="rId6"/>
      <w:footerReference w:type="default" r:id="rId7"/>
      <w:footerReference w:type="first" r:id="rId8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5</w:t>
    </w:r>
    <w:r>
      <w:fldChar w:fldCharType="end"/>
    </w:r>
    <w:r>
      <w:tab/>
    </w:r>
    <w:r>
      <w:rPr>
        <w:rStyle w:val="HideTWBExt"/>
      </w:rPr>
      <w:t>&lt;PathFdR&gt;</w:t>
    </w:r>
    <w:r>
      <w:t>PR\1331649MT.docx</w:t>
    </w:r>
    <w:r>
      <w:rPr>
        <w:rStyle w:val="HideTWBExt"/>
      </w:rPr>
      <w:t>&lt;/PathFdR&gt;</w:t>
    </w:r>
  </w:p>
  <w:p>
    <w:pPr>
      <w:pStyle w:val="EPFooter2"/>
    </w:pPr>
    <w:r>
      <w:t>MT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PR\1331649MT.docx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5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MT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PR\1331649MT.docx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MT</w:t>
    </w:r>
    <w:r>
      <w:tab/>
    </w:r>
    <w:r>
      <w:rPr>
        <w:rStyle w:val="EPFooter2Motto"/>
      </w:rPr>
      <w:t>Magħquda fid-diversità</w:t>
    </w:r>
    <w:r>
      <w:tab/>
    </w:r>
    <w:r>
      <w:t>MT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vertAlign w:val="superscript"/>
        </w:rPr>
        <w:t>1</w:t>
      </w:r>
      <w:r>
        <w:t xml:space="preserve"> </w:t>
      </w:r>
      <w:r>
        <w:t>Id-dokument ta’ ħidma tal-persunal tal-Kummissjoni tas-27 ta’ Mejju 2020 bit-titolu “Identifying Europe’s recovery needs” (L-identifikazzjoni tal-ħtiġijiet ta’ rkupru tal-Ewropa) (SWD(20200098) li jakkumpanja l-komunikazzjoni tal-Kummissjoni bit-titolu “Il-mument tal-Ewropa: Tiswija u Tħejjija għall-Ġenerazzjoni li Jmiss” (COM(2020) 0456).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footnotePr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mt-MT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TOCPage">
    <w:name w:val="TOC Page"/>
    <w:basedOn w:val="Normal"/>
    <w:pPr>
      <w:keepNext/>
      <w:widowControl/>
      <w:spacing w:after="240"/>
      <w:jc w:val="right"/>
    </w:pPr>
    <w:rPr>
      <w:rFonts w:ascii="Arial" w:hAnsi="Arial"/>
      <w:b/>
    </w:rPr>
  </w:style>
  <w:style w:type="paragraph" w:customStyle="1" w:styleId="PageHeading">
    <w:name w:val="PageHeading"/>
    <w:basedOn w:val="Normal"/>
    <w:pPr>
      <w:keepNext/>
      <w:widowControl/>
      <w:spacing w:after="480"/>
      <w:jc w:val="center"/>
    </w:pPr>
    <w:rPr>
      <w:rFonts w:ascii="Arial" w:eastAsia="Arial" w:hAnsi="Arial" w:cs="Arial"/>
      <w:b/>
    </w:rPr>
  </w:style>
  <w:style w:type="paragraph" w:customStyle="1" w:styleId="EPComma">
    <w:name w:val="EPComma"/>
    <w:basedOn w:val="Normal"/>
    <w:pPr>
      <w:widowControl/>
      <w:spacing w:before="480" w:after="240"/>
    </w:p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Int">
    <w:name w:val="HideTWBInt"/>
    <w:rPr>
      <w:rFonts w:ascii="Arial" w:hAnsi="Arial"/>
      <w:vanish/>
      <w:color w:val="808080"/>
      <w:sz w:val="20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hAnsi="Arial"/>
      <w:b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NormalHanging12a">
    <w:name w:val="NormalHanging12a"/>
    <w:basedOn w:val="Normal"/>
    <w:pPr>
      <w:widowControl/>
      <w:overflowPunct/>
      <w:spacing w:after="240"/>
      <w:ind w:left="566" w:hanging="566"/>
    </w:p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hAnsi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hAnsi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CoverNormal12a">
    <w:name w:val="CoverNormal12a"/>
    <w:basedOn w:val="Normal"/>
    <w:pPr>
      <w:widowControl/>
      <w:spacing w:after="240"/>
      <w:ind w:left="1418"/>
    </w:pPr>
  </w:style>
  <w:style w:type="paragraph" w:customStyle="1" w:styleId="LegendSign">
    <w:name w:val="LegendSign"/>
    <w:basedOn w:val="Normal"/>
    <w:pPr>
      <w:widowControl/>
      <w:tabs>
        <w:tab w:val="right" w:pos="454"/>
        <w:tab w:val="left" w:pos="736"/>
      </w:tabs>
      <w:overflowPunct/>
      <w:ind w:left="736" w:hanging="736"/>
    </w:pPr>
    <w:rPr>
      <w:sz w:val="18"/>
    </w:rPr>
  </w:style>
  <w:style w:type="paragraph" w:customStyle="1" w:styleId="LegendStandard">
    <w:name w:val="LegendStandard"/>
    <w:basedOn w:val="LegendSign"/>
    <w:pPr>
      <w:widowControl/>
      <w:ind w:left="0" w:firstLine="0"/>
    </w:pPr>
  </w:style>
  <w:style w:type="paragraph" w:customStyle="1" w:styleId="LegendTitle">
    <w:name w:val="LegendTitle"/>
    <w:basedOn w:val="Normal"/>
    <w:pPr>
      <w:widowControl/>
      <w:spacing w:before="240" w:after="240"/>
    </w:pPr>
    <w:rPr>
      <w:b/>
      <w:i/>
    </w:rPr>
  </w:style>
  <w:style w:type="paragraph" w:styleId="TOC1">
    <w:name w:val="toc 1"/>
    <w:basedOn w:val="Normal12b"/>
    <w:next w:val="Normal12b"/>
    <w:autoRedefine/>
    <w:rsid w:val="00805BCE"/>
    <w:pPr>
      <w:widowControl/>
      <w:spacing w:after="240"/>
    </w:p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Normal12b">
    <w:name w:val="Normal12b"/>
    <w:basedOn w:val="Normal"/>
    <w:pPr>
      <w:widowControl/>
      <w:spacing w:before="240"/>
    </w:pPr>
  </w:style>
  <w:style w:type="paragraph" w:customStyle="1" w:styleId="PMissingStyle">
    <w:name w:val="P_MissingStyle"/>
    <w:basedOn w:val="Normal"/>
    <w:pPr>
      <w:widowControl/>
      <w:spacing w:after="0" w:line="240" w:lineRule="auto"/>
    </w:pPr>
    <w:rPr>
      <w:rFonts w:ascii="Times New Roman" w:eastAsia="Times New Roman" w:hAnsi="Times New Roman" w:cs="Times New Roman"/>
      <w:color w:val="FFFFFF"/>
      <w:sz w:val="24"/>
    </w:rPr>
  </w:style>
  <w:style w:type="character" w:customStyle="1" w:styleId="CMissingStyle">
    <w:name w:val="C_MissingStyle"/>
    <w:rPr>
      <w:color w:val="FFFFFF"/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Next/>
      <w:widowControl/>
      <w:spacing w:before="240" w:after="240"/>
      <w:jc w:val="center"/>
      <w:outlineLvl w:val="9"/>
    </w:pPr>
    <w:rPr>
      <w:rFonts w:ascii="Arial" w:hAnsi="Arial"/>
      <w:b/>
    </w:rPr>
  </w:style>
  <w:style w:type="paragraph" w:customStyle="1" w:styleId="Normal12">
    <w:name w:val="Normal12"/>
    <w:basedOn w:val="Normal"/>
    <w:pPr>
      <w:widowControl/>
      <w:spacing w:after="24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NormalHanging12a4">
    <w:name w:val="NormalHanging12a4"/>
    <w:basedOn w:val="NormalHanging12a3"/>
    <w:pPr>
      <w:widowControl/>
      <w:ind w:left="2268"/>
    </w:pPr>
  </w:style>
  <w:style w:type="paragraph" w:customStyle="1" w:styleId="NormalHanging12a5">
    <w:name w:val="NormalHanging12a5"/>
    <w:basedOn w:val="NormalHanging12a4"/>
    <w:pPr>
      <w:widowControl/>
      <w:ind w:left="2692"/>
    </w:pPr>
  </w:style>
  <w:style w:type="paragraph" w:customStyle="1" w:styleId="NormalHanging12a6">
    <w:name w:val="NormalHanging12a6"/>
    <w:basedOn w:val="NormalHanging12a5"/>
    <w:pPr>
      <w:widowControl/>
      <w:ind w:left="3118"/>
    </w:pPr>
  </w:style>
  <w:style w:type="paragraph" w:customStyle="1" w:styleId="NormalHanging12a7">
    <w:name w:val="NormalHanging12a7"/>
    <w:basedOn w:val="NormalHanging12a6"/>
    <w:pPr>
      <w:widowControl/>
      <w:ind w:left="3544"/>
    </w:pPr>
  </w:style>
  <w:style w:type="paragraph" w:customStyle="1" w:styleId="NormalHanging12a1">
    <w:name w:val="NormalHanging12a1"/>
    <w:basedOn w:val="Normal"/>
    <w:pPr>
      <w:widowControl/>
      <w:overflowPunct/>
      <w:spacing w:after="240" w:line="240" w:lineRule="auto"/>
      <w:ind w:left="992" w:hanging="424"/>
    </w:pPr>
    <w:rPr>
      <w:rFonts w:ascii="Times New Roman" w:eastAsia="Times New Roman" w:hAnsi="Times New Roman" w:cs="Times New Roman"/>
      <w:sz w:val="24"/>
    </w:rPr>
  </w:style>
  <w:style w:type="paragraph" w:customStyle="1" w:styleId="NormalHanging12a2">
    <w:name w:val="NormalHanging12a2"/>
    <w:basedOn w:val="NormalHanging12a1"/>
    <w:pPr>
      <w:widowControl/>
      <w:ind w:left="1416"/>
    </w:pPr>
  </w:style>
  <w:style w:type="paragraph" w:customStyle="1" w:styleId="NormalHanging12a3">
    <w:name w:val="NormalHanging12a3"/>
    <w:basedOn w:val="NormalHanging12a2"/>
    <w:pPr>
      <w:widowControl/>
      <w:ind w:left="1842"/>
    </w:pPr>
  </w:style>
  <w:style w:type="paragraph" w:customStyle="1" w:styleId="NormalHanging">
    <w:name w:val="NormalHanging"/>
    <w:basedOn w:val="Normal"/>
    <w:pPr>
      <w:widowControl/>
      <w:overflowPunct/>
      <w:spacing w:after="240" w:line="240" w:lineRule="auto"/>
      <w:ind w:left="566" w:hanging="566"/>
    </w:pPr>
    <w:rPr>
      <w:rFonts w:ascii="Times New Roman" w:eastAsia="Times New Roman" w:hAnsi="Times New Roman" w:cs="Times New Roman"/>
      <w:sz w:val="24"/>
    </w:rPr>
  </w:style>
  <w:style w:type="character" w:customStyle="1" w:styleId="FooterChar">
    <w:name w:val="Footer Char"/>
    <w:rPr>
      <w:rFonts w:ascii="Times New Roman" w:eastAsia="Times New Roman" w:hAnsi="Times New Roman" w:cs="Times New Roman"/>
      <w:sz w:val="24"/>
    </w:rPr>
  </w:style>
  <w:style w:type="paragraph" w:customStyle="1" w:styleId="NormalBold12a">
    <w:name w:val="NormalBold12a"/>
    <w:basedOn w:val="Normal"/>
    <w:pPr>
      <w:widowControl/>
      <w:spacing w:after="240"/>
    </w:pPr>
    <w:rPr>
      <w:b/>
    </w:rPr>
  </w:style>
  <w:style w:type="paragraph" w:customStyle="1" w:styleId="NormalCenter12a">
    <w:name w:val="NormalCenter12a"/>
    <w:basedOn w:val="Normal"/>
    <w:pPr>
      <w:widowControl/>
      <w:spacing w:after="240"/>
      <w:jc w:val="center"/>
    </w:pPr>
  </w:style>
  <w:style w:type="paragraph" w:customStyle="1" w:styleId="Normal12BoldUnderline">
    <w:name w:val="Normal12BoldUnderline"/>
    <w:basedOn w:val="Normal"/>
    <w:pPr>
      <w:widowControl/>
      <w:spacing w:before="480"/>
    </w:pPr>
    <w:rPr>
      <w:b/>
      <w:u w:val="single"/>
    </w:rPr>
  </w:style>
  <w:style w:type="paragraph" w:customStyle="1" w:styleId="Normal12Bullet2">
    <w:name w:val="Normal12Bullet2"/>
    <w:basedOn w:val="Normal"/>
    <w:pPr>
      <w:widowControl/>
      <w:numPr>
        <w:numId w:val="2"/>
      </w:numPr>
    </w:pPr>
  </w:style>
  <w:style w:type="paragraph" w:customStyle="1" w:styleId="NormalHangingJustified">
    <w:name w:val="NormalHangingJustified"/>
    <w:basedOn w:val="Normal"/>
    <w:pPr>
      <w:widowControl/>
      <w:overflowPunct/>
      <w:spacing w:after="240"/>
      <w:ind w:left="714" w:hanging="356"/>
      <w:jc w:val="both"/>
    </w:pPr>
  </w:style>
  <w:style w:type="paragraph" w:customStyle="1" w:styleId="NormalCenter">
    <w:name w:val="NormalCenter"/>
    <w:basedOn w:val="Normal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</w:style>
  <w:style w:type="character" w:styleId="FootnoteReference">
    <w:name w:val="footnote reference"/>
    <w:basedOn w:val="DefaultParagraphFont"/>
    <w:rsid w:val="00805BCE"/>
    <w:rPr>
      <w:vertAlign w:val="superscript"/>
    </w:rPr>
  </w:style>
  <w:style w:type="paragraph" w:styleId="FootnoteText">
    <w:name w:val="footnote text"/>
    <w:basedOn w:val="Normal"/>
    <w:rsid w:val="00805BC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5</Pages>
  <Words>1017</Words>
  <Characters>7716</Characters>
  <Application>Microsoft Office Word</Application>
  <DocSecurity>0</DocSecurity>
  <Lines>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1331649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.render.id">
    <vt:lpwstr>296819</vt:lpwstr>
  </property>
  <property fmtid="{D5CDD505-2E9C-101B-9397-08002B2CF9AE}" pid="7" name="dmxml.render.traceId">
    <vt:lpwstr>6928602e999e4104f1fce0c19f6fbfbd</vt:lpwstr>
  </property>
  <property fmtid="{D5CDD505-2E9C-101B-9397-08002B2CF9AE}" pid="8" name="FooterPath">
    <vt:lpwstr>PR\1331649MT.doc</vt:lpwstr>
  </property>
  <property fmtid="{D5CDD505-2E9C-101B-9397-08002B2CF9AE}" pid="9" name="PE Number">
    <vt:lpwstr>779.558</vt:lpwstr>
  </property>
  <property fmtid="{D5CDD505-2E9C-101B-9397-08002B2CF9AE}" pid="10" name="UID">
    <vt:lpwstr>eu.europa.europarl-DIN1-2025-0000214726_01.07-mt-01.00_text-xml</vt:lpwstr>
  </property>
</Properties>
</file>