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Parlament Europejski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1.46pt">
                  <v:imagedata r:id="rId5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Komisja Zatrudnienia i Spraw Socjalnych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2025/2183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{20/11/2025}</w:t>
      </w:r>
      <w:r>
        <w:t>20.11.2025</w:t>
      </w:r>
      <w:r>
        <w:rPr>
          <w:rStyle w:val="HideTWBExt"/>
        </w:rPr>
        <w:t>&lt;/Date&gt;</w:t>
      </w:r>
    </w:p>
    <w:p>
      <w:pPr>
        <w:pStyle w:val="CoverDocType24a"/>
      </w:pPr>
      <w:r>
        <w:rPr>
          <w:rStyle w:val="HideTWBExt"/>
        </w:rPr>
        <w:t>&lt;TitreType&gt;</w:t>
      </w:r>
      <w:r>
        <w:t>PROJEKT SPRAWOZDANIA</w:t>
      </w:r>
      <w:r>
        <w:rPr>
          <w:rStyle w:val="HideTWBExt"/>
        </w:rPr>
        <w:t>&lt;/TitreType&gt;</w:t>
      </w:r>
    </w:p>
    <w:p>
      <w:pPr>
        <w:pStyle w:val="CoverNormal"/>
      </w:pPr>
      <w:r>
        <w:rPr>
          <w:rStyle w:val="HideTWBExt"/>
        </w:rPr>
        <w:t>&lt;Titre&gt;</w:t>
      </w:r>
      <w:r>
        <w:t>w sprawie europejskiego semestru na rzecz koordynacji polityki gospodarczej: priorytety w zakresie zatrudnienia i priorytety społeczne – sprawozdanie roczne 2026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(2025/2183(INI))</w:t>
      </w:r>
      <w:r>
        <w:rPr>
          <w:rStyle w:val="HideTWBExt"/>
        </w:rPr>
        <w:t>&lt;/DocRef&gt;</w:t>
      </w:r>
    </w:p>
    <w:p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Komisja Zatrudnienia i Spraw Socjalnych</w:t>
      </w:r>
      <w:r>
        <w:rPr>
          <w:rStyle w:val="HideTWBExt"/>
        </w:rPr>
        <w:t>&lt;/Commission&gt;</w:t>
      </w:r>
    </w:p>
    <w:p>
      <w:pPr>
        <w:pStyle w:val="CoverNormal24a"/>
      </w:pPr>
      <w:r>
        <w:t>Sprawozdawczyni</w:t>
      </w:r>
      <w:r>
        <w:t xml:space="preserve">: </w:t>
      </w:r>
      <w:r>
        <w:rPr>
          <w:rStyle w:val="HideTWBExt"/>
        </w:rPr>
        <w:t>&lt;Depute&gt;</w:t>
      </w:r>
      <w:r>
        <w:t>Nela Riehl</w:t>
      </w:r>
      <w:r>
        <w:rPr>
          <w:rStyle w:val="HideTWBExt"/>
        </w:rPr>
        <w:t>&lt;/Depute&gt;</w:t>
      </w:r>
    </w:p>
    <w:p>
      <w:r>
        <w:br w:type="page"/>
      </w:r>
      <w:r>
        <w:t>PR_INI</w:t>
      </w:r>
    </w:p>
    <w:p>
      <w:pPr>
        <w:pStyle w:val="TOCHeading"/>
      </w:pPr>
      <w:r>
        <w:t>SPIS STREŚCI</w:t>
      </w:r>
    </w:p>
    <w:p>
      <w:pPr>
        <w:pStyle w:val="TOCPage"/>
      </w:pPr>
      <w:r>
        <w:t>Strona</w:t>
      </w:r>
    </w:p>
    <w:p>
      <w:pPr>
        <w:pStyle w:val="TOC1"/>
        <w:tabs>
          <w:tab w:val="right" w:leader="dot" w:pos="9065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</w:instrText>
      </w:r>
      <w:r>
        <w:instrText xml:space="preserve"> \t</w:instrText>
      </w:r>
      <w:r>
        <w:instrText xml:space="preserve"> </w:instrText>
      </w:r>
      <w:r>
        <w:instrText>PageHeading</w:instrText>
      </w:r>
      <w:r>
        <w:fldChar w:fldCharType="separate"/>
      </w:r>
      <w:r>
        <w:t>PROJEKT REZOLUCJI PARLAMENTU EUROPEJSKIEGO</w:t>
      </w:r>
      <w:r>
        <w:tab/>
      </w:r>
      <w:r>
        <w:fldChar w:fldCharType="begin"/>
      </w:r>
      <w:r>
        <w:instrText xml:space="preserve"> PAGEREF _Toc256000000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</w:pPr>
      <w:r>
        <w:fldChar w:fldCharType="end"/>
      </w:r>
    </w:p>
    <w:p>
      <w:r>
        <w:br w:type="page"/>
      </w:r>
    </w:p>
    <w:p>
      <w:pPr>
        <w:pStyle w:val="PageHeading"/>
      </w:pPr>
      <w:bookmarkStart w:id="0" w:name="_Toc256000000"/>
      <w:r>
        <w:t>PROJEKT REZOLUCJI PARLAMENTU EUROPEJSKIEGO</w:t>
      </w:r>
      <w:bookmarkEnd w:id="0"/>
    </w:p>
    <w:p>
      <w:pPr>
        <w:pStyle w:val="NormalBold"/>
      </w:pPr>
      <w:r>
        <w:t>w sprawie europejskiego semestru na rzecz koordynacji polityki gospodarczej: priorytety w zakresie zatrudnienia i priorytety społeczne – sprawozdanie roczne 2026</w:t>
      </w:r>
    </w:p>
    <w:p>
      <w:pPr>
        <w:pStyle w:val="NormalBold"/>
      </w:pPr>
    </w:p>
    <w:p>
      <w:pPr>
        <w:pStyle w:val="NormalBold12a"/>
      </w:pPr>
      <w:r>
        <w:t>(</w:t>
      </w:r>
      <w:r>
        <w:t>2025/2183(INI)</w:t>
      </w:r>
      <w:r>
        <w:t>)</w:t>
      </w:r>
    </w:p>
    <w:p>
      <w:pPr>
        <w:pStyle w:val="Normal12"/>
      </w:pPr>
      <w:r>
        <w:rPr>
          <w:i/>
        </w:rPr>
        <w:t>Parlament Europejski</w:t>
      </w:r>
      <w:r>
        <w:t>,</w:t>
      </w:r>
    </w:p>
    <w:p>
      <w:pPr>
        <w:pStyle w:val="NormalHanging"/>
      </w:pPr>
      <w:r>
        <w:t>–</w:t>
      </w:r>
      <w:r>
        <w:tab/>
      </w:r>
      <w:r>
        <w:t>uwzględniając art. 3 Traktatu o Unii Europejskiej,</w:t>
      </w:r>
    </w:p>
    <w:p>
      <w:pPr>
        <w:pStyle w:val="NormalHanging"/>
      </w:pPr>
      <w:r>
        <w:t>–</w:t>
      </w:r>
      <w:r>
        <w:tab/>
      </w:r>
      <w:r>
        <w:t>uwzględniając art. 9, 121, 148 i 149 Traktatu o funkcjonowaniu Unii Europejskiej (TFUE),</w:t>
      </w:r>
    </w:p>
    <w:p>
      <w:pPr>
        <w:pStyle w:val="NormalHanging"/>
      </w:pPr>
      <w:r>
        <w:t>–</w:t>
      </w:r>
      <w:r>
        <w:tab/>
      </w:r>
      <w:r>
        <w:t>uwzględniając Europejski filar praw socjalnych proklamowany i podpisany przez Radę, Parlament i Komisję 17 listopada 2017 r.,</w:t>
      </w:r>
    </w:p>
    <w:p>
      <w:pPr>
        <w:pStyle w:val="NormalHanging"/>
      </w:pPr>
      <w:r>
        <w:t>–</w:t>
      </w:r>
      <w:r>
        <w:tab/>
      </w:r>
      <w:r>
        <w:t>uwzględniając komunikat Komisji z XX listopada 2026 r. w sprawie rocznej analizy zrównoważonego wzrostu gospodarczego na rok 2026,</w:t>
      </w:r>
    </w:p>
    <w:p>
      <w:pPr>
        <w:pStyle w:val="NormalHanging"/>
      </w:pPr>
      <w:r>
        <w:t>–</w:t>
      </w:r>
      <w:r>
        <w:tab/>
      </w:r>
      <w:r>
        <w:t>uwzględniając wniosek Komisji z XXX 2026 r. w sprawie wspólnego sprawozdania Komisji i Rady o zatrudnieniu,</w:t>
      </w:r>
    </w:p>
    <w:p>
      <w:pPr>
        <w:pStyle w:val="NormalHanging"/>
      </w:pPr>
      <w:r>
        <w:t>–</w:t>
      </w:r>
      <w:r>
        <w:tab/>
      </w:r>
      <w:r>
        <w:t>uwzględniając zalecenie Komisji z XXX 2026 r. dotyczące zalecenia Rady w sprawie polityki gospodarczej w strefie euro,</w:t>
      </w:r>
    </w:p>
    <w:p>
      <w:pPr>
        <w:pStyle w:val="NormalHanging"/>
      </w:pPr>
      <w:r>
        <w:t>–</w:t>
      </w:r>
      <w:r>
        <w:tab/>
      </w:r>
      <w:r>
        <w:t>uwzględniając sprawozdanie Komisji z XXX 2026 r. pt. „Sprawozdanie przedkładane w ramach mechanizmu ostrzegania za 2025 r.”,</w:t>
      </w:r>
    </w:p>
    <w:p>
      <w:pPr>
        <w:pStyle w:val="NormalHanging"/>
      </w:pPr>
      <w:r>
        <w:t>–</w:t>
      </w:r>
      <w:r>
        <w:tab/>
      </w:r>
      <w:r>
        <w:t>uwzględniając komunikat Komisji z XX listopada 2026 r. pt. „Projekty planów budżetowych na 2025 r.: ocena ogólna”,</w:t>
      </w:r>
    </w:p>
    <w:p>
      <w:pPr>
        <w:pStyle w:val="NormalHanging"/>
      </w:pPr>
      <w:r>
        <w:t>–</w:t>
      </w:r>
      <w:r>
        <w:tab/>
      </w:r>
      <w:r>
        <w:t>uwzględniając sprawozdanie Maria Draghiego pt. „Przyszłość europejskiej konkurencyjności” opublikowane we wrześniu 2024 r.,</w:t>
      </w:r>
    </w:p>
    <w:p>
      <w:pPr>
        <w:pStyle w:val="NormalHanging"/>
      </w:pPr>
      <w:r>
        <w:t>–</w:t>
      </w:r>
      <w:r>
        <w:tab/>
      </w:r>
      <w:r>
        <w:t>uwzględniając sprawozdanie Enrica Letty w sprawie przyszłości jednolitego rynku pt. „Much more than a market” [Znacznie więcej niż rynek] opublikowane w kwietniu 2024 r.,</w:t>
      </w:r>
    </w:p>
    <w:p>
      <w:pPr>
        <w:pStyle w:val="NormalHanging"/>
      </w:pPr>
      <w:r>
        <w:t>–</w:t>
      </w:r>
      <w:r>
        <w:tab/>
      </w:r>
      <w:r>
        <w:t>uwzględniając sprawozdanie grupy wysokiego szczebla ds. przyszłości ochrony socjalnej i państwa opiekuńczego w UE opublikowane w styczniu 2023 r.,</w:t>
      </w:r>
    </w:p>
    <w:p>
      <w:pPr>
        <w:pStyle w:val="NormalHanging"/>
      </w:pPr>
      <w:r>
        <w:t>–</w:t>
      </w:r>
      <w:r>
        <w:tab/>
      </w:r>
      <w:r>
        <w:t>uwzględniając art. 55 Regulaminu,</w:t>
      </w:r>
    </w:p>
    <w:p>
      <w:pPr>
        <w:pStyle w:val="NormalHanging"/>
      </w:pPr>
      <w:r>
        <w:t>–</w:t>
      </w:r>
      <w:r>
        <w:tab/>
      </w:r>
      <w:r>
        <w:t>uwzględniając sprawozdanie Komisji Zatrudnienia i Spraw Socjalnych (A10-0000/2025),</w:t>
      </w:r>
    </w:p>
    <w:p>
      <w:pPr>
        <w:pStyle w:val="NormalHanging"/>
      </w:pPr>
      <w:r>
        <w:t>A.</w:t>
      </w:r>
      <w:r>
        <w:tab/>
      </w:r>
      <w:r>
        <w:t>mając na uwadze, że w czerwcu 2025 r. stopa bezrobocia w UE wyniosła 5,9 %, a bezrobocie osób młodych utrzymuje się na wysokim poziomie 14,7 %; mając na uwadze, że wyższemu poziomowi zatrudnienia nie towarzyszą w pełni jakość miejsc pracy, wzrost płac i wzrost wydajności;</w:t>
      </w:r>
    </w:p>
    <w:p>
      <w:pPr>
        <w:pStyle w:val="NormalHanging"/>
      </w:pPr>
      <w:r>
        <w:t>B.</w:t>
      </w:r>
      <w:r>
        <w:tab/>
      </w:r>
      <w:r>
        <w:t>mając na uwadze, że europejski semestr pozostaje głównym instrumentem koordynacji polityki gospodarczej, fiskalnej, polityki zatrudnienia i polityki społecznej w całej UE, a tym samym stanowi okazję do bardziej systematycznego włączania kwestii sprawiedliwości społecznej, środowiskowej i międzypokoleniowej do zarządzania makroekonomicznego;</w:t>
      </w:r>
    </w:p>
    <w:p>
      <w:pPr>
        <w:pStyle w:val="NormalHanging"/>
      </w:pPr>
      <w:r>
        <w:t>C.</w:t>
      </w:r>
      <w:r>
        <w:tab/>
      </w:r>
      <w:r>
        <w:t>mając na uwadze, że w 2024 r. ponad 21 % ludności UE było zagrożone ubóstwem lub wykluczeniem społecznym; mając na uwadze niewystarczające postępy w realizacji celu, jakim jest zmniejszenie liczby dzieci zagrożonych ubóstwem lub wykluczeniem społecznym o 5 mln do 2030 r.;</w:t>
      </w:r>
    </w:p>
    <w:p>
      <w:pPr>
        <w:pStyle w:val="NormalHanging"/>
      </w:pPr>
      <w:r>
        <w:t>D.</w:t>
      </w:r>
      <w:r>
        <w:tab/>
      </w:r>
      <w:r>
        <w:t>mając na uwadze, że zmiana klimatu i niszczenie środowiska pogłębiły nierówności i dotknęły najsłabsze grupy społeczne; mając na uwadze, że oczekuje się, iż transformacja w kierunku neutralności klimatycznej stworzy około 2,5 mln dodatkowych miejsc pracy;</w:t>
      </w:r>
    </w:p>
    <w:p>
      <w:pPr>
        <w:pStyle w:val="NormalHanging"/>
      </w:pPr>
      <w:r>
        <w:t>E.</w:t>
      </w:r>
      <w:r>
        <w:tab/>
      </w:r>
      <w:r>
        <w:t>mając na uwadze, że presja związana z kosztami mieszkaniowymi i wysokie ceny energii nakładają znaczne obciążenia na gospodarstwa domowe, jednak polityka mieszkaniowa jest często niedostatecznie reprezentowana w zaleceniach dla poszczególnych krajów;</w:t>
      </w:r>
    </w:p>
    <w:p>
      <w:pPr>
        <w:pStyle w:val="NormalHanging"/>
      </w:pPr>
      <w:r>
        <w:t>F.</w:t>
      </w:r>
      <w:r>
        <w:tab/>
      </w:r>
      <w:r>
        <w:t>mając na uwadze, że w UE utrzymuje się niedobór pracowników i umiejętności ze względu na szereg czynników, w tym niską jakość miejsc pracy;</w:t>
      </w:r>
    </w:p>
    <w:p>
      <w:pPr>
        <w:pStyle w:val="NormalHanging"/>
      </w:pPr>
      <w:r>
        <w:t>G.</w:t>
      </w:r>
      <w:r>
        <w:tab/>
      </w:r>
      <w:r>
        <w:t>mając na uwadze, że dane wskazują, iż w większości państw członkowskich należy dołożyć większych starań, aby do 2030 r. zrealizować cel udziału 60 % dorosłych w kształceniu i szkoleniu; mając na uwadze, że zintegrowane podejście do koordynacji polityki w ramach europejskiego semestru zapewnia ramy umożliwiające skierowanie niezbędnych inwestycji na rozwój kapitału ludzkiego, systemy kształcenia i szkolenia;</w:t>
      </w:r>
    </w:p>
    <w:p>
      <w:pPr>
        <w:pStyle w:val="NormalHanging"/>
      </w:pPr>
      <w:r>
        <w:t>H.</w:t>
      </w:r>
      <w:r>
        <w:tab/>
      </w:r>
      <w:r>
        <w:t>mając na uwadze, że dodatkowe potrzeby inwestycyjne w infrastrukturę społeczną oszacowano na 192 mld EUR rocznie, w tym z przeznaczeniem na przystępne cenowo mieszkania, opiekę zdrowotną i długoterminową, kształcenie i szkolenia przez całe życie</w:t>
      </w:r>
      <w:r>
        <w:rPr>
          <w:rStyle w:val="FootnoteReference"/>
        </w:rPr>
        <w:footnoteReference w:customMarkFollows="1" w:id="2"/>
        <w:t xml:space="preserve">1</w:t>
      </w:r>
      <w:r>
        <w:t>; mając na uwadze, że konieczne są dalsze prace w celu zmierzenia luki w inwestycjach społecznych w UE, a także zwrotu gospodarczego z inwestycji społecznych;</w:t>
      </w:r>
    </w:p>
    <w:p>
      <w:pPr>
        <w:pStyle w:val="NormalHanging12a"/>
      </w:pPr>
      <w:r>
        <w:t>1.</w:t>
      </w:r>
      <w:r>
        <w:tab/>
      </w:r>
      <w:r>
        <w:t>podkreśla przewagę konkurencyjną inwestowania w model społeczny UE; wzywa do włączenia do procesu europejskiego semestru zaleceń grupy wysokiego szczebla ds. przyszłości ochrony socjalnej i państwa opiekuńczego, a także zaleceń zawartych w sprawozdaniach Letty i Draghiego; z zadowoleniem przyjmuje włączenie Europejskiego filaru praw socjalnych do ram zarządzania gospodarczego i apeluje do państw członkowskich o skorzystanie z możliwości przedłużenia okresu dostosowawczego na inwestycje w priorytety Europejskiego filaru praw socjalnych; apeluje o odzwierciedlenie zintegrowanych ram zarządzania w wewnętrznych procesach instytucji UE, przy zaangażowaniu na równi ich organów gospodarczych i społecznych;</w:t>
      </w:r>
    </w:p>
    <w:p>
      <w:pPr>
        <w:pStyle w:val="NormalHanging12a"/>
      </w:pPr>
      <w:r>
        <w:t>2.</w:t>
      </w:r>
      <w:r>
        <w:tab/>
      </w:r>
      <w:r>
        <w:t>uważa, że Komisja i Rada powinny zwiększyć wysiłki na rzecz wdrożenia Europejskiego filaru praw socjalnych; wzywa do włączenia celów zawartych w planie działania na rzecz Europejskiego filaru praw socjalnych do głównego nurtu europejskiego semestru poprzez uczynienie ich punktami odniesienia w ocenach sporządzanych w ramach europejskiego semestru;</w:t>
      </w:r>
    </w:p>
    <w:p>
      <w:pPr>
        <w:pStyle w:val="NormalHanging12a"/>
      </w:pPr>
      <w:r>
        <w:t>3.</w:t>
      </w:r>
      <w:r>
        <w:tab/>
      </w:r>
      <w:r>
        <w:t>z zadowoleniem przyjmuje dążenie Komisji do wyeliminowania ubóstwa do 2050 r. oraz zamiar przedstawienia propozycji aktu w sprawie wysokiej jakości miejsc pracy; podkreśla, że należy zachować spójność między europejskim semestrem, działaniami następczymi w związku z planem działania na rzecz Europejskiego filaru praw socjalnych a tymi przyszłymi instrumentami, z wymiernymi celami i odpowiednimi zaleceniami dla poszczególnych krajów;</w:t>
      </w:r>
    </w:p>
    <w:p>
      <w:pPr>
        <w:pStyle w:val="NormalHanging12a"/>
      </w:pPr>
      <w:r>
        <w:t>4.</w:t>
      </w:r>
      <w:r>
        <w:tab/>
      </w:r>
      <w:r>
        <w:t>z zadowoleniem przyjmuje stałe włączenie ram konwergencji społecznej do europejskiego semestru; podkreśla, że wraz z tablicą wskaźników społecznych mają one duże znaczenie dla identyfikacji zagrożeń i śledzenia postępów w pozytywnej konwergencji społecznej;</w:t>
      </w:r>
    </w:p>
    <w:p>
      <w:pPr>
        <w:pStyle w:val="NormalHanging12a"/>
      </w:pPr>
      <w:r>
        <w:t>5.</w:t>
      </w:r>
      <w:r>
        <w:tab/>
      </w:r>
      <w:r>
        <w:t>przypomina, że inwestycje społeczne mogą mieć pozytywny wpływ na wzrost gospodarczy, wydajność i konkurencyjność, a tym samym wspierać stabilność fiskalną przy jednoczesnym promowaniu pozytywnej konwergencji społecznej; wzywa Komisję i Radę do traktowania inwestycji społecznych jako podstawy zrównoważonego wzrostu;</w:t>
      </w:r>
    </w:p>
    <w:p>
      <w:pPr>
        <w:pStyle w:val="NormalHanging12a"/>
      </w:pPr>
      <w:r>
        <w:t>6.</w:t>
      </w:r>
      <w:r>
        <w:tab/>
      </w:r>
      <w:r>
        <w:t>podkreśla, że plan Komisji dotyczący przystępnych cenowo mieszkań powinien być lepiej zintegrowany z europejskim semestrem, przy czym w zaleceniach dla poszczególnych krajów należy położyć większy nacisk na przystępne cenowo mieszkania oraz zrównoważone i godne warunki mieszkaniowe; przypomina sygnatariuszom Deklaracji lizbońskiej w sprawie europejskiej platformy zwalczania bezdomności o celu, jakim jest wyeliminowanie bezdomności do 2030 r.;</w:t>
      </w:r>
    </w:p>
    <w:p>
      <w:pPr>
        <w:pStyle w:val="NormalHanging12a"/>
      </w:pPr>
      <w:r>
        <w:t>7.</w:t>
      </w:r>
      <w:r>
        <w:tab/>
      </w:r>
      <w:r>
        <w:t>podkreśla, że inwestycje w edukację oraz podnoszenie i zmianę kwalifikacji są strategiczną inwestycją społeczną przynoszącą długoterminowe zyski z punktu widzenia konkurencyjności i spójności;</w:t>
      </w:r>
    </w:p>
    <w:p>
      <w:pPr>
        <w:pStyle w:val="NormalHanging12a"/>
      </w:pPr>
      <w:r>
        <w:t>8.</w:t>
      </w:r>
      <w:r>
        <w:tab/>
      </w:r>
      <w:r>
        <w:t>podkreśla, że sprawiedliwość międzypokoleniowa musi stać się strukturalnym elementem europejskiego semestru; wzywa Komisję, aby w ramach strategii na rzecz sprawiedliwości międzypokoleniowej włączyła do ram oceny europejskiego semestru wskaźniki dotyczące dobrostanu młodzieży, dostępu do wysokiej jakości miejsc pracy, przystępności cenowej mieszkań, edukacji i umiejętności oraz aby systematycznie oceniała długoterminowe skutki zaleceń fiskalnych i dotyczących reform;</w:t>
      </w:r>
    </w:p>
    <w:p>
      <w:pPr>
        <w:pStyle w:val="NormalHanging12a"/>
      </w:pPr>
      <w:r>
        <w:t>9.</w:t>
      </w:r>
      <w:r>
        <w:tab/>
      </w:r>
      <w:r>
        <w:t>stwierdza, że państwa członkowskie zobowiązały się do inwestowania 5 % PKB rocznie w podstawowe wymogi obronne i związane z nimi wydatki na bezpieczeństwo do 2035 r., w tym poprzez uruchomienie krajowej klauzuli wyjścia; podkreśla, że w ramach europejskiego semestru takie wydatki muszą być planowane w sposób skoordynowany;</w:t>
      </w:r>
    </w:p>
    <w:p>
      <w:pPr>
        <w:pStyle w:val="NormalHanging12a"/>
      </w:pPr>
      <w:r>
        <w:t>10.</w:t>
      </w:r>
      <w:r>
        <w:tab/>
      </w:r>
      <w:r>
        <w:t>zwraca uwagę, że zalecenia dotyczące europejskiego semestru w 2026 r. odegrają zasadniczą rolę w opracowywaniu krajowych i regionalnych planów partnerstwa; uważa, że reformy i inwestycje powinny być wybierane na podstawie wydajności i skuteczności, z jaką uwzględniają odpowiednie zalecenia dla poszczególnych krajów;</w:t>
      </w:r>
    </w:p>
    <w:p>
      <w:pPr>
        <w:pStyle w:val="NormalHanging12a"/>
      </w:pPr>
      <w:r>
        <w:t>11.</w:t>
      </w:r>
      <w:r>
        <w:tab/>
      </w:r>
      <w:r>
        <w:t>popiera bardziej demokratyczny proces europejskiego semestru, w którym Parlament byłby mocno zaangażowany w określanie priorytetów polityki gospodarczej oraz podejmowanie decyzji dotyczących zarządzania gospodarczego; nalega, by w proces europejskiego semestru systematyczne angażować partnerów społecznych, organizacje społeczeństwa obywatelskiego oraz podmioty regionalne i lokalne;</w:t>
      </w:r>
    </w:p>
    <w:p>
      <w:pPr>
        <w:pStyle w:val="NormalHanging12a"/>
      </w:pPr>
      <w:r>
        <w:t>12.</w:t>
      </w:r>
      <w:r>
        <w:tab/>
      </w:r>
      <w:r>
        <w:t>zobowiązuje swoją przewodniczącą do przekazania niniejszej rezolucji Radzie i Komisji.</w:t>
      </w:r>
    </w:p>
    <w:sectPr>
      <w:footerReference w:type="even" r:id="rId6"/>
      <w:footerReference w:type="default" r:id="rId7"/>
      <w:footerReference w:type="first" r:id="rId8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  <w:r>
      <w:tab/>
    </w:r>
    <w:r>
      <w:rPr>
        <w:rStyle w:val="HideTWBExt"/>
      </w:rPr>
      <w:t>&lt;PathFdR&gt;</w:t>
    </w:r>
    <w:r>
      <w:t>PR\1331649PL.docx</w:t>
    </w:r>
    <w:r>
      <w:rPr>
        <w:rStyle w:val="HideTWBExt"/>
      </w:rPr>
      <w:t>&lt;/PathFdR&gt;</w:t>
    </w:r>
  </w:p>
  <w:p>
    <w:pPr>
      <w:pStyle w:val="EPFooter2"/>
    </w:pPr>
    <w:r>
      <w:t>PL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PR\1331649PL.docx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PL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PR\1331649PL.docx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PL</w:t>
    </w:r>
    <w:r>
      <w:tab/>
    </w:r>
    <w:r>
      <w:rPr>
        <w:rStyle w:val="EPFooter2Motto"/>
      </w:rPr>
      <w:t>Zjednoczona w różnorodności</w:t>
    </w:r>
    <w:r>
      <w:tab/>
    </w:r>
    <w:r>
      <w:t>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vertAlign w:val="superscript"/>
        </w:rPr>
        <w:t>1</w:t>
      </w:r>
      <w:r>
        <w:t xml:space="preserve"> </w:t>
      </w:r>
      <w:r>
        <w:t>Dokument roboczy służb Komisji z dnia 27 maja 2020 r. pt. „Identifying Europe’s recovery needs” [Określenie potrzeb Europy w zakresie odbudowy] (SWD(20200098) towarzyszący komunikatowi Komisji pt. „Decydujący moment dla Europy: naprawa i przygotowanie na następną generację” (COM(2020)0456).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footnotePr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OCPage">
    <w:name w:val="TOC Page"/>
    <w:basedOn w:val="Normal"/>
    <w:pPr>
      <w:keepNext/>
      <w:widowControl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widowControl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widowControl/>
      <w:spacing w:before="480" w:after="240"/>
    </w:p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EPLogo">
    <w:name w:val="EPLogo"/>
    <w:basedOn w:val="Normal"/>
    <w:pPr>
      <w:widowControl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Int">
    <w:name w:val="HideTWBInt"/>
    <w:rPr>
      <w:rFonts w:ascii="Arial" w:hAnsi="Arial"/>
      <w:vanish/>
      <w:color w:val="808080"/>
      <w:sz w:val="20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NormalHanging12a">
    <w:name w:val="NormalHanging12a"/>
    <w:basedOn w:val="Normal"/>
    <w:pPr>
      <w:widowControl/>
      <w:overflowPunct/>
      <w:spacing w:after="240"/>
      <w:ind w:left="566" w:hanging="566"/>
    </w:p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CoverNormal12a">
    <w:name w:val="CoverNormal12a"/>
    <w:basedOn w:val="Normal"/>
    <w:pPr>
      <w:widowControl/>
      <w:spacing w:after="240"/>
      <w:ind w:left="1418"/>
    </w:pPr>
  </w:style>
  <w:style w:type="paragraph" w:customStyle="1" w:styleId="LegendSign">
    <w:name w:val="LegendSign"/>
    <w:basedOn w:val="Normal"/>
    <w:pPr>
      <w:widowControl/>
      <w:tabs>
        <w:tab w:val="right" w:pos="454"/>
        <w:tab w:val="left" w:pos="736"/>
      </w:tabs>
      <w:overflowPunct/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widowControl/>
      <w:ind w:left="0" w:firstLine="0"/>
    </w:pPr>
  </w:style>
  <w:style w:type="paragraph" w:customStyle="1" w:styleId="LegendTitle">
    <w:name w:val="LegendTitle"/>
    <w:basedOn w:val="Normal"/>
    <w:pPr>
      <w:widowControl/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rsid w:val="00805BCE"/>
    <w:pPr>
      <w:widowControl/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widowControl/>
      <w:spacing w:before="240"/>
    </w:pPr>
  </w:style>
  <w:style w:type="paragraph" w:customStyle="1" w:styleId="PMissingStyle">
    <w:name w:val="P_MissingStyle"/>
    <w:basedOn w:val="Normal"/>
    <w:pPr>
      <w:widowControl/>
      <w:spacing w:after="0" w:line="240" w:lineRule="auto"/>
    </w:pPr>
    <w:rPr>
      <w:rFonts w:ascii="Times New Roman" w:eastAsia="Times New Roman" w:hAnsi="Times New Roman" w:cs="Times New Roman"/>
      <w:color w:val="FFFFFF"/>
      <w:sz w:val="24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widowControl/>
      <w:spacing w:before="240" w:after="240"/>
      <w:jc w:val="center"/>
      <w:outlineLvl w:val="9"/>
    </w:pPr>
    <w:rPr>
      <w:rFonts w:ascii="Arial" w:hAnsi="Arial"/>
      <w:b/>
    </w:rPr>
  </w:style>
  <w:style w:type="paragraph" w:customStyle="1" w:styleId="Normal12">
    <w:name w:val="Normal12"/>
    <w:basedOn w:val="Normal"/>
    <w:pPr>
      <w:widowControl/>
      <w:spacing w:after="24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NormalHanging12a4">
    <w:name w:val="NormalHanging12a4"/>
    <w:basedOn w:val="NormalHanging12a3"/>
    <w:pPr>
      <w:widowControl/>
      <w:ind w:left="2268"/>
    </w:pPr>
  </w:style>
  <w:style w:type="paragraph" w:customStyle="1" w:styleId="NormalHanging12a5">
    <w:name w:val="NormalHanging12a5"/>
    <w:basedOn w:val="NormalHanging12a4"/>
    <w:pPr>
      <w:widowControl/>
      <w:ind w:left="2692"/>
    </w:pPr>
  </w:style>
  <w:style w:type="paragraph" w:customStyle="1" w:styleId="NormalHanging12a6">
    <w:name w:val="NormalHanging12a6"/>
    <w:basedOn w:val="NormalHanging12a5"/>
    <w:pPr>
      <w:widowControl/>
      <w:ind w:left="3118"/>
    </w:pPr>
  </w:style>
  <w:style w:type="paragraph" w:customStyle="1" w:styleId="NormalHanging12a7">
    <w:name w:val="NormalHanging12a7"/>
    <w:basedOn w:val="NormalHanging12a6"/>
    <w:pPr>
      <w:widowControl/>
      <w:ind w:left="3544"/>
    </w:pPr>
  </w:style>
  <w:style w:type="paragraph" w:customStyle="1" w:styleId="NormalHanging12a1">
    <w:name w:val="NormalHanging12a1"/>
    <w:basedOn w:val="Normal"/>
    <w:pPr>
      <w:widowControl/>
      <w:overflowPunct/>
      <w:spacing w:after="240" w:line="240" w:lineRule="auto"/>
      <w:ind w:left="992" w:hanging="424"/>
    </w:pPr>
    <w:rPr>
      <w:rFonts w:ascii="Times New Roman" w:eastAsia="Times New Roman" w:hAnsi="Times New Roman" w:cs="Times New Roman"/>
      <w:sz w:val="24"/>
    </w:rPr>
  </w:style>
  <w:style w:type="paragraph" w:customStyle="1" w:styleId="NormalHanging12a2">
    <w:name w:val="NormalHanging12a2"/>
    <w:basedOn w:val="NormalHanging12a1"/>
    <w:pPr>
      <w:widowControl/>
      <w:ind w:left="1416"/>
    </w:pPr>
  </w:style>
  <w:style w:type="paragraph" w:customStyle="1" w:styleId="NormalHanging12a3">
    <w:name w:val="NormalHanging12a3"/>
    <w:basedOn w:val="NormalHanging12a2"/>
    <w:pPr>
      <w:widowControl/>
      <w:ind w:left="1842"/>
    </w:pPr>
  </w:style>
  <w:style w:type="paragraph" w:customStyle="1" w:styleId="NormalHanging">
    <w:name w:val="NormalHanging"/>
    <w:basedOn w:val="Normal"/>
    <w:pPr>
      <w:widowControl/>
      <w:overflowPunct/>
      <w:spacing w:after="240" w:line="240" w:lineRule="auto"/>
      <w:ind w:left="566" w:hanging="566"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widowControl/>
      <w:spacing w:after="240"/>
    </w:pPr>
    <w:rPr>
      <w:b/>
    </w:rPr>
  </w:style>
  <w:style w:type="paragraph" w:customStyle="1" w:styleId="NormalCenter12a">
    <w:name w:val="NormalCenter12a"/>
    <w:basedOn w:val="Normal"/>
    <w:pPr>
      <w:widowControl/>
      <w:spacing w:after="240"/>
      <w:jc w:val="center"/>
    </w:pPr>
  </w:style>
  <w:style w:type="paragraph" w:customStyle="1" w:styleId="Normal12BoldUnderline">
    <w:name w:val="Normal12BoldUnderline"/>
    <w:basedOn w:val="Normal"/>
    <w:pPr>
      <w:widowControl/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widowControl/>
      <w:numPr>
        <w:numId w:val="2"/>
      </w:numPr>
    </w:pPr>
  </w:style>
  <w:style w:type="paragraph" w:customStyle="1" w:styleId="NormalHangingJustified">
    <w:name w:val="NormalHangingJustified"/>
    <w:basedOn w:val="Normal"/>
    <w:pPr>
      <w:widowControl/>
      <w:overflowPunct/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6</Pages>
  <Words>1139</Words>
  <Characters>7644</Characters>
  <Application>Microsoft Office Word</Application>
  <DocSecurity>0</DocSecurity>
  <Lines>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1331649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.render.id">
    <vt:lpwstr>301529</vt:lpwstr>
  </property>
  <property fmtid="{D5CDD505-2E9C-101B-9397-08002B2CF9AE}" pid="7" name="dmxml.render.traceId">
    <vt:lpwstr>69304a97fcd0a277b39b14fb1fa1ae99</vt:lpwstr>
  </property>
  <property fmtid="{D5CDD505-2E9C-101B-9397-08002B2CF9AE}" pid="8" name="FooterPath">
    <vt:lpwstr>PR\1331649PL.doc</vt:lpwstr>
  </property>
  <property fmtid="{D5CDD505-2E9C-101B-9397-08002B2CF9AE}" pid="9" name="PE Number">
    <vt:lpwstr>779.558</vt:lpwstr>
  </property>
  <property fmtid="{D5CDD505-2E9C-101B-9397-08002B2CF9AE}" pid="10" name="UID">
    <vt:lpwstr>eu.europa.europarl-DIN1-2025-0000214726_01.07-pl-01.00_text-xml</vt:lpwstr>
  </property>
</Properties>
</file>