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2.0 --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268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hRule="exact" w:val="1417"/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EPName"/>
            </w:pPr>
            <w:r>
              <w:t>Parlamento Europeu</w:t>
            </w:r>
          </w:p>
          <w:p>
            <w:pPr>
              <w:pStyle w:val="EPTerm"/>
              <w:jc w:val="left"/>
            </w:pPr>
            <w:r>
              <w:t>2024-2029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pStyle w:val="EPLogo"/>
              <w:jc w:val="right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56pt;height:51.46pt">
                  <v:imagedata r:id="rId5" o:title=""/>
                </v:shape>
              </w:pict>
            </w:r>
          </w:p>
        </w:tc>
      </w:tr>
    </w:tbl>
    <w:p>
      <w:pPr>
        <w:pStyle w:val="LineTop"/>
      </w:pPr>
      <w:r>
        <w:t xml:space="preserve"> </w:t>
      </w:r>
    </w:p>
    <w:p>
      <w:pPr>
        <w:pStyle w:val="EPBody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Comissão do Emprego e dos Assuntos Sociais</w:t>
      </w:r>
      <w:r>
        <w:rPr>
          <w:rStyle w:val="HideTWBExt"/>
        </w:rPr>
        <w:t>&lt;/Commission&gt;</w:t>
      </w:r>
    </w:p>
    <w:p>
      <w:pPr>
        <w:pStyle w:val="LineBottom"/>
      </w:pPr>
      <w:r>
        <w:t xml:space="preserve"> </w:t>
      </w:r>
    </w:p>
    <w:p>
      <w:pPr>
        <w:pStyle w:val="CoverReference"/>
      </w:pPr>
      <w:r>
        <w:rPr>
          <w:rStyle w:val="HideTWBExt"/>
        </w:rPr>
        <w:t>&lt;RefProc&gt;</w:t>
      </w:r>
      <w:r>
        <w:t>2025/2183</w:t>
      </w:r>
      <w:r>
        <w:rPr>
          <w:rStyle w:val="HideTWBExt"/>
        </w:rPr>
        <w:t>&lt;/RefProc&gt;</w:t>
      </w:r>
      <w:r>
        <w:rPr>
          <w:rStyle w:val="HideTWBExt"/>
        </w:rPr>
        <w:t>&lt;RefTypeProc&gt;</w:t>
      </w:r>
      <w:r>
        <w:t>(INI)</w:t>
      </w:r>
      <w:r>
        <w:rPr>
          <w:rStyle w:val="HideTWBExt"/>
        </w:rPr>
        <w:t>&lt;/RefTypeProc&gt;</w:t>
      </w:r>
    </w:p>
    <w:p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{20/11/2025}</w:t>
      </w:r>
      <w:r>
        <w:t>20.11.2025</w:t>
      </w:r>
      <w:r>
        <w:rPr>
          <w:rStyle w:val="HideTWBExt"/>
        </w:rPr>
        <w:t>&lt;/Date&gt;</w:t>
      </w:r>
    </w:p>
    <w:p>
      <w:pPr>
        <w:pStyle w:val="CoverDocType24a"/>
      </w:pPr>
      <w:r>
        <w:rPr>
          <w:rStyle w:val="HideTWBExt"/>
        </w:rPr>
        <w:t>&lt;TitreType&gt;</w:t>
      </w:r>
      <w:r>
        <w:t>PROJETO DE RELATÓRIO</w:t>
      </w:r>
      <w:r>
        <w:rPr>
          <w:rStyle w:val="HideTWBExt"/>
        </w:rPr>
        <w:t>&lt;/TitreType&gt;</w:t>
      </w:r>
    </w:p>
    <w:p>
      <w:pPr>
        <w:pStyle w:val="CoverNormal"/>
      </w:pPr>
      <w:r>
        <w:rPr>
          <w:rStyle w:val="HideTWBExt"/>
        </w:rPr>
        <w:t>&lt;Titre&gt;</w:t>
      </w:r>
      <w:r>
        <w:t>sobre o Semestre Europeu para a coordenação das políticas económicas: emprego e prioridades sociais — Relatório anual de 2026</w:t>
      </w:r>
      <w:r>
        <w:rPr>
          <w:rStyle w:val="HideTWBExt"/>
        </w:rPr>
        <w:t>&lt;/Titre&gt;</w:t>
      </w:r>
    </w:p>
    <w:p>
      <w:pPr>
        <w:pStyle w:val="CoverNormal24a"/>
      </w:pPr>
      <w:r>
        <w:rPr>
          <w:rStyle w:val="HideTWBExt"/>
        </w:rPr>
        <w:t>&lt;DocRef&gt;</w:t>
      </w:r>
      <w:r>
        <w:t>(2025/2183(INI))</w:t>
      </w:r>
      <w:r>
        <w:rPr>
          <w:rStyle w:val="HideTWBExt"/>
        </w:rPr>
        <w:t>&lt;/DocRef&gt;</w:t>
      </w:r>
    </w:p>
    <w:p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Comissão do Emprego e dos Assuntos Sociais</w:t>
      </w:r>
      <w:r>
        <w:rPr>
          <w:rStyle w:val="HideTWBExt"/>
        </w:rPr>
        <w:t>&lt;/Commission&gt;</w:t>
      </w:r>
    </w:p>
    <w:p>
      <w:pPr>
        <w:pStyle w:val="CoverNormal24a"/>
      </w:pPr>
      <w:r>
        <w:t>Relatora</w:t>
      </w:r>
      <w:r>
        <w:t xml:space="preserve">: </w:t>
      </w:r>
      <w:r>
        <w:rPr>
          <w:rStyle w:val="HideTWBExt"/>
        </w:rPr>
        <w:t>&lt;Depute&gt;</w:t>
      </w:r>
      <w:r>
        <w:t>Nela Riehl</w:t>
      </w:r>
      <w:r>
        <w:rPr>
          <w:rStyle w:val="HideTWBExt"/>
        </w:rPr>
        <w:t>&lt;/Depute&gt;</w:t>
      </w:r>
    </w:p>
    <w:p>
      <w:r>
        <w:br w:type="page"/>
      </w:r>
      <w:r>
        <w:t>PR_INI</w:t>
      </w:r>
    </w:p>
    <w:p>
      <w:pPr>
        <w:pStyle w:val="TOCHeading"/>
      </w:pPr>
      <w:r>
        <w:t>ÍNDICE</w:t>
      </w:r>
    </w:p>
    <w:p>
      <w:pPr>
        <w:pStyle w:val="TOCPage"/>
      </w:pPr>
      <w:r>
        <w:t>Índice</w:t>
      </w:r>
    </w:p>
    <w:p>
      <w:pPr>
        <w:pStyle w:val="TOC1"/>
        <w:tabs>
          <w:tab w:val="right" w:leader="dot" w:pos="9065"/>
        </w:tabs>
        <w:rPr>
          <w:rFonts w:ascii="Calibri" w:hAnsi="Calibri"/>
          <w:noProof/>
          <w:sz w:val="22"/>
        </w:rPr>
      </w:pPr>
      <w:r>
        <w:fldChar w:fldCharType="begin"/>
      </w:r>
      <w:r>
        <w:instrText xml:space="preserve"> TOC </w:instrText>
      </w:r>
      <w:r>
        <w:instrText xml:space="preserve"> \t</w:instrText>
      </w:r>
      <w:r>
        <w:instrText xml:space="preserve"> </w:instrText>
      </w:r>
      <w:r>
        <w:instrText>PageHeading</w:instrText>
      </w:r>
      <w:r>
        <w:fldChar w:fldCharType="separate"/>
      </w:r>
      <w:r>
        <w:t>PROPOSTA DE RESOLUÇÃO DO PARLAMENTO EUROPEU</w:t>
      </w:r>
      <w:r>
        <w:tab/>
      </w:r>
      <w:r>
        <w:fldChar w:fldCharType="begin"/>
      </w:r>
      <w:r>
        <w:instrText xml:space="preserve"> PAGEREF _Toc256000000 \h </w:instrText>
      </w:r>
      <w:r>
        <w:fldChar w:fldCharType="separate"/>
      </w:r>
      <w:r>
        <w:t>3</w:t>
      </w:r>
      <w:r>
        <w:fldChar w:fldCharType="end"/>
      </w:r>
    </w:p>
    <w:p>
      <w:pPr>
        <w:pStyle w:val="TOC1"/>
      </w:pPr>
      <w:r>
        <w:fldChar w:fldCharType="end"/>
      </w:r>
    </w:p>
    <w:p>
      <w:r>
        <w:br w:type="page"/>
      </w:r>
    </w:p>
    <w:p>
      <w:pPr>
        <w:pStyle w:val="PageHeading"/>
      </w:pPr>
      <w:bookmarkStart w:id="0" w:name="_Toc256000000"/>
      <w:r>
        <w:t>PROPOSTA DE RESOLUÇÃO DO PARLAMENTO EUROPEU</w:t>
      </w:r>
      <w:bookmarkEnd w:id="0"/>
    </w:p>
    <w:p>
      <w:pPr>
        <w:pStyle w:val="NormalBold"/>
      </w:pPr>
      <w:r>
        <w:t>sobre o Semestre Europeu para a coordenação das políticas económicas: emprego e prioridades sociais — Relatório anual de 2026</w:t>
      </w:r>
    </w:p>
    <w:p>
      <w:pPr>
        <w:pStyle w:val="NormalBold"/>
      </w:pPr>
    </w:p>
    <w:p>
      <w:pPr>
        <w:pStyle w:val="NormalBold12a"/>
      </w:pPr>
      <w:r>
        <w:t>(</w:t>
      </w:r>
      <w:r>
        <w:t>2025/2183(INI)</w:t>
      </w:r>
      <w:r>
        <w:t>)</w:t>
      </w:r>
    </w:p>
    <w:p>
      <w:pPr>
        <w:pStyle w:val="Normal12"/>
      </w:pPr>
      <w:r>
        <w:rPr>
          <w:i/>
        </w:rPr>
        <w:t>O Parlamento Europeu</w:t>
      </w:r>
      <w:r>
        <w:t>,</w:t>
      </w:r>
    </w:p>
    <w:p>
      <w:pPr>
        <w:pStyle w:val="NormalHanging"/>
      </w:pPr>
      <w:r>
        <w:t>–</w:t>
      </w:r>
      <w:r>
        <w:tab/>
      </w:r>
      <w:r>
        <w:t>Tendo em conta o artigo 3.º do Tratado da União Europeia,</w:t>
      </w:r>
    </w:p>
    <w:p>
      <w:pPr>
        <w:pStyle w:val="NormalHanging"/>
      </w:pPr>
      <w:r>
        <w:t>–</w:t>
      </w:r>
      <w:r>
        <w:tab/>
      </w:r>
      <w:r>
        <w:t>Tendo em conta os artigos 9.º, 121.º, 148.º e 149.º do Tratado sobre o Funcionamento da União Europeia (TFUE),</w:t>
      </w:r>
    </w:p>
    <w:p>
      <w:pPr>
        <w:pStyle w:val="NormalHanging"/>
      </w:pPr>
      <w:r>
        <w:t>–</w:t>
      </w:r>
      <w:r>
        <w:tab/>
      </w:r>
      <w:r>
        <w:t>Tendo em conta o Pilar Europeu dos Direitos Sociais, proclamado e assinado pelo Conselho, pelo Parlamento e pela Comissão em 17 de novembro de 2017,</w:t>
      </w:r>
    </w:p>
    <w:p>
      <w:pPr>
        <w:pStyle w:val="NormalHanging"/>
      </w:pPr>
      <w:r>
        <w:t>–</w:t>
      </w:r>
      <w:r>
        <w:tab/>
      </w:r>
      <w:r>
        <w:t>Tendo em conta a Comunicação da Comissão, de XX de novembro de 2026, sobre a Análise Anual do Crescimento Sustentável 2026,</w:t>
      </w:r>
    </w:p>
    <w:p>
      <w:pPr>
        <w:pStyle w:val="NormalHanging"/>
      </w:pPr>
      <w:r>
        <w:t>–</w:t>
      </w:r>
      <w:r>
        <w:tab/>
      </w:r>
      <w:r>
        <w:t>Tendo em conta a proposta da Comissão, de XXX de 2026, de um Relatório Conjunto sobre o Emprego da Comissão e do Conselho,</w:t>
      </w:r>
    </w:p>
    <w:p>
      <w:pPr>
        <w:pStyle w:val="NormalHanging"/>
      </w:pPr>
      <w:r>
        <w:t>–</w:t>
      </w:r>
      <w:r>
        <w:tab/>
      </w:r>
      <w:r>
        <w:t>Tendo em conta a Recomendação da Comissão, de XXX de 2026, relativa à Recomendação do Conselho sobre a política económica da área do euro,</w:t>
      </w:r>
    </w:p>
    <w:p>
      <w:pPr>
        <w:pStyle w:val="NormalHanging"/>
      </w:pPr>
      <w:r>
        <w:t>–</w:t>
      </w:r>
      <w:r>
        <w:tab/>
      </w:r>
      <w:r>
        <w:t>Tendo em conta o Relatório da Comissão, de XXX de 2026, intitulado «Relatório sobre o Mecanismo de Alerta de 2025»,</w:t>
      </w:r>
    </w:p>
    <w:p>
      <w:pPr>
        <w:pStyle w:val="NormalHanging"/>
      </w:pPr>
      <w:r>
        <w:t>–</w:t>
      </w:r>
      <w:r>
        <w:tab/>
      </w:r>
      <w:r>
        <w:t>Tendo em conta a Comunicação da Comissão, de XX de novembro de 2026, intitulada «Projetos de planos orçamentais para 2025: avaliação global»,</w:t>
      </w:r>
    </w:p>
    <w:p>
      <w:pPr>
        <w:pStyle w:val="NormalHanging"/>
      </w:pPr>
      <w:r>
        <w:t>–</w:t>
      </w:r>
      <w:r>
        <w:tab/>
      </w:r>
      <w:r>
        <w:t>Tendo em conta o Relatório de Mario Draghi intitulado «The future of European competitiveness» [O futuro da competitividade europeia], publicado em setembro de 2024,</w:t>
      </w:r>
    </w:p>
    <w:p>
      <w:pPr>
        <w:pStyle w:val="NormalHanging"/>
      </w:pPr>
      <w:r>
        <w:t>–</w:t>
      </w:r>
      <w:r>
        <w:tab/>
      </w:r>
      <w:r>
        <w:t>Tendo em conta o Relatório de Enrico Letta intitulado «Much more than a market» [Muito mais do que um mercado], publicado em abril de 2024,</w:t>
      </w:r>
    </w:p>
    <w:p>
      <w:pPr>
        <w:pStyle w:val="NormalHanging"/>
      </w:pPr>
      <w:r>
        <w:t>–</w:t>
      </w:r>
      <w:r>
        <w:tab/>
      </w:r>
      <w:r>
        <w:t>Tendo em conta o Relatório do Grupo de Alto Nível sobre o futuro da proteção social e do Estado-providência na UE, publicado em janeiro de 2023,</w:t>
      </w:r>
    </w:p>
    <w:p>
      <w:pPr>
        <w:pStyle w:val="NormalHanging"/>
      </w:pPr>
      <w:r>
        <w:t>–</w:t>
      </w:r>
      <w:r>
        <w:tab/>
      </w:r>
      <w:r>
        <w:t>Tendo em conta o artigo 55.º do seu Regimento,</w:t>
      </w:r>
    </w:p>
    <w:p>
      <w:pPr>
        <w:pStyle w:val="NormalHanging"/>
      </w:pPr>
      <w:r>
        <w:t>–</w:t>
      </w:r>
      <w:r>
        <w:tab/>
      </w:r>
      <w:r>
        <w:t>Tendo em conta o relatório da Comissão do Emprego e dos Assuntos Sociais (A10-0000/2025),</w:t>
      </w:r>
    </w:p>
    <w:p>
      <w:pPr>
        <w:pStyle w:val="NormalHanging"/>
      </w:pPr>
      <w:r>
        <w:t>A.</w:t>
      </w:r>
      <w:r>
        <w:tab/>
      </w:r>
      <w:r>
        <w:t>Considerando que, em junho de 2025, a taxa de desemprego na UE se situava nos 5,9 %, ao passo que a taxa de desemprego jovem continua elevada, ascendendo a 14,7 %; que as elevadas taxas de emprego não são totalmente correspondidas com empregos de qualidade, aumentos salariais e ganhos de produtividade;</w:t>
      </w:r>
    </w:p>
    <w:p>
      <w:pPr>
        <w:pStyle w:val="NormalHanging"/>
      </w:pPr>
      <w:r>
        <w:t>B.</w:t>
      </w:r>
      <w:r>
        <w:tab/>
      </w:r>
      <w:r>
        <w:t>Considerando que o Semestre Europeu continua a ser um instrumento central de coordenação das políticas económicas, orçamentais, sociais e de emprego no conjunto da UE, pelo que oferecem uma oportunidade para integrar de forma mais sistemática a equidade social, ambiental e intergeracional na governação macroeconómica;</w:t>
      </w:r>
    </w:p>
    <w:p>
      <w:pPr>
        <w:pStyle w:val="NormalHanging"/>
      </w:pPr>
      <w:r>
        <w:t>C.</w:t>
      </w:r>
      <w:r>
        <w:tab/>
      </w:r>
      <w:r>
        <w:t>Considerando que 21 % da população da UE se encontrava em risco de pobreza ou exclusão social em 2024; que não estão a ser feitos progressos suficientes no sentido de alcançar o objetivo de reduzir em cinco milhões o número de crianças em risco de pobreza ou exclusão social até 2030;</w:t>
      </w:r>
    </w:p>
    <w:p>
      <w:pPr>
        <w:pStyle w:val="NormalHanging"/>
      </w:pPr>
      <w:r>
        <w:t>D.</w:t>
      </w:r>
      <w:r>
        <w:tab/>
      </w:r>
      <w:r>
        <w:t>Considerando que as alterações climáticas e a destruição ambiental aprofundaram as desigualdades e afetaram os grupos mais vulneráveis; que a transição para a neutralidade climática deverá criar cerca de 2,5 milhões de empregos suplementares;</w:t>
      </w:r>
    </w:p>
    <w:p>
      <w:pPr>
        <w:pStyle w:val="NormalHanging"/>
      </w:pPr>
      <w:r>
        <w:t>E.</w:t>
      </w:r>
      <w:r>
        <w:tab/>
      </w:r>
      <w:r>
        <w:t>Considerando que a pressão sobre os custos da habitação e os elevados preços da energia impõem encargos pesados às famílias, mas que a política de habitação tem sido amiúde deficientemente representada nas recomendações específicas por país;</w:t>
      </w:r>
    </w:p>
    <w:p>
      <w:pPr>
        <w:pStyle w:val="NormalHanging"/>
      </w:pPr>
      <w:r>
        <w:t>F.</w:t>
      </w:r>
      <w:r>
        <w:tab/>
      </w:r>
      <w:r>
        <w:t>Considerando que a UE se debate com uma escassez persistente de mão de obra e de competências, que se deve a uma série de fatores, nomeadamente a baixa qualidade de emprego;</w:t>
      </w:r>
    </w:p>
    <w:p>
      <w:pPr>
        <w:pStyle w:val="NormalHanging"/>
      </w:pPr>
      <w:r>
        <w:t>G.</w:t>
      </w:r>
      <w:r>
        <w:tab/>
      </w:r>
      <w:r>
        <w:t>Considerando que os dados indicam que são necessários esforços adicionais na maioria dos Estados-Membros para alcançar o objetivo de 60 % de adultos a participar anualmente em ações de educação e formação até 2023; que a abordagem integrada da coordenação das políticas no contexto do Semestre Europeu fornece o quadro destinado a orientar o investimento necessário no desenvolvimento do capital humano e nos sistemas de educação e formação;</w:t>
      </w:r>
    </w:p>
    <w:p>
      <w:pPr>
        <w:pStyle w:val="NormalHanging"/>
      </w:pPr>
      <w:r>
        <w:t>H.</w:t>
      </w:r>
      <w:r>
        <w:tab/>
      </w:r>
      <w:r>
        <w:t>Considerando que as necessidades de investimento suplementares nas infraestruturas sociais foram estimadas em 192 mil milhões de EUR por ano, designadamente o investimento na habitação a preços acessíveis, na saúde e nos cuidados continuados, na educação e na formação ao longo da vida</w:t>
      </w:r>
      <w:r>
        <w:rPr>
          <w:rStyle w:val="FootnoteReference"/>
        </w:rPr>
        <w:footnoteReference w:customMarkFollows="1" w:id="2"/>
        <w:t xml:space="preserve">1</w:t>
      </w:r>
      <w:r>
        <w:t>; que é necessário levar a cabo trabalhos adicionais para medir o défice de investimento social na UE, bem como o retorno económico do investimento social;</w:t>
      </w:r>
    </w:p>
    <w:p>
      <w:pPr>
        <w:pStyle w:val="NormalHanging12a"/>
      </w:pPr>
      <w:r>
        <w:t>1.</w:t>
      </w:r>
      <w:r>
        <w:tab/>
      </w:r>
      <w:r>
        <w:t>Enfatiza a vantagem competitiva de investir no modelo social da UE; solicita que as recomendações do Grupo de Alto Nível sobre o futuro da proteção social e do Estado-providência na UE, assim como as recomendações dos relatórios Letta e Draghi sejam integradas no processo do Semestre Europeu; congratula-se com a integração do Pilar Europeu dos Direitos Sociais no quadro de governação económica, e insta os Estados-Membros a tirarem partido da possibilidade de prorrogar o período de ajustamento para investir nas prioridades do Pilar Europeu dos Direitos Sociais; solicita que o quadro de governação integrado se reflita nos processos internos das instituições da UE, e que os seus órgãos económicos e sociais sejam associados em igual medida;</w:t>
      </w:r>
    </w:p>
    <w:p>
      <w:pPr>
        <w:pStyle w:val="NormalHanging12a"/>
      </w:pPr>
      <w:r>
        <w:t>2.</w:t>
      </w:r>
      <w:r>
        <w:tab/>
      </w:r>
      <w:r>
        <w:t>Considera que a Comissão e o Conselho devem intensificar os seus esforços para aplicar o Pilar Europeu dos Direitos Sociais; solicita que os objetivos do Plano de Ação sobre o Pilar Europeu dos Direitos Sociais sejam integrados no cerne do Semestre Europeu e passem a ser parâmetros de referência nas avaliações do Semestre Europeu;</w:t>
      </w:r>
    </w:p>
    <w:p>
      <w:pPr>
        <w:pStyle w:val="NormalHanging12a"/>
      </w:pPr>
      <w:r>
        <w:t>3.</w:t>
      </w:r>
      <w:r>
        <w:tab/>
      </w:r>
      <w:r>
        <w:t>Congratula-se com a ambição da Comissão de erradicar a pobreza até 2050 e com a sua intenção de propor um ato legislativo sobre empregos de qualidade; salienta a necessidade de coerência entre o Semestre Europeu, o seguimento do Plano de Ação sobre o Pilar Europeu dos Direitos Sociais e estes futuros instrumentos, e de formular objetivos mensuráveis e recomendações específicas por país correspondentes;</w:t>
      </w:r>
    </w:p>
    <w:p>
      <w:pPr>
        <w:pStyle w:val="NormalHanging12a"/>
      </w:pPr>
      <w:r>
        <w:t>4.</w:t>
      </w:r>
      <w:r>
        <w:tab/>
      </w:r>
      <w:r>
        <w:t>Congratula-se com a inclusão permanente do quadro de convergência social no Semestre Europeu; insiste na sua importância, juntamente com o painel de indicadores sociais, para identificar os riscos e acompanhar os progressos em matéria de convergência social ascendente;</w:t>
      </w:r>
    </w:p>
    <w:p>
      <w:pPr>
        <w:pStyle w:val="NormalHanging12a"/>
      </w:pPr>
      <w:r>
        <w:t>5.</w:t>
      </w:r>
      <w:r>
        <w:tab/>
      </w:r>
      <w:r>
        <w:t>Recorda que o investimento social pode ter um impacto positivo no crescimento económico, na produtividade e na competitividade, apoiando assim também a sustentabilidade orçamental e promovendo simultaneamente a convergência social ascendente; insta a Comissão e o Conselho a considerarem o investimento social como um fundamento do crescimento sustentável;</w:t>
      </w:r>
    </w:p>
    <w:p>
      <w:pPr>
        <w:pStyle w:val="NormalHanging12a"/>
      </w:pPr>
      <w:r>
        <w:t>6.</w:t>
      </w:r>
      <w:r>
        <w:tab/>
      </w:r>
      <w:r>
        <w:t>Sublinha que o plano de habitação a preços acessíveis da Comissão deve ser mais bem integrado no Semestre Europeu, e que deve ser posta uma maior ênfase na habitação a preços acessíveis, sustentável e digna nas recomendações específicas por país; recorda aos signatários da Declaração de Lisboa sobre a Plataforma Europeia de Combate à Situação de Sem-Abrigo o objetivo de erradicar a condição de sem-abrigo até 2030;</w:t>
      </w:r>
    </w:p>
    <w:p>
      <w:pPr>
        <w:pStyle w:val="NormalHanging12a"/>
      </w:pPr>
      <w:r>
        <w:t>7.</w:t>
      </w:r>
      <w:r>
        <w:tab/>
      </w:r>
      <w:r>
        <w:t>Realça que o investimento na educação, na melhoria de competências e na requalificação é um investimento social estratégico com retornos a longo prazo para a competitividade e a coesão;</w:t>
      </w:r>
    </w:p>
    <w:p>
      <w:pPr>
        <w:pStyle w:val="NormalHanging12a"/>
      </w:pPr>
      <w:r>
        <w:t>8.</w:t>
      </w:r>
      <w:r>
        <w:tab/>
      </w:r>
      <w:r>
        <w:t>Releva que a equidade intergeracional deve tornar-se uma componente estrutural do Semestre Europeu; insta a Comissão, no âmbito da sua estratégia para a equidade intergeracional, a integrar indicadores sobre o bem-estar dos jovens, o acesso a empregos de qualidade, a acessibilidade dos preços da habitação, a educação e as competências no quadro de avaliação do Semestre Europeu e a avaliar sistematicamente os efeitos a longo prazo das recomendações orçamentais e de reforma;</w:t>
      </w:r>
    </w:p>
    <w:p>
      <w:pPr>
        <w:pStyle w:val="NormalHanging12a"/>
      </w:pPr>
      <w:r>
        <w:t>9.</w:t>
      </w:r>
      <w:r>
        <w:tab/>
      </w:r>
      <w:r>
        <w:t>Reconhece que os Estados-Membros se comprometeram a investir anualmente 5 % do PIB em requisitos essenciais de defesa e despesas relacionadas com a segurança até 2035, nomeadamente através da ativação da cláusula de derrogação nacional; salienta que, no quadro do Semestre Europeu, estas despesas devem ser planeadas de forma coordenada;</w:t>
      </w:r>
    </w:p>
    <w:p>
      <w:pPr>
        <w:pStyle w:val="NormalHanging12a"/>
      </w:pPr>
      <w:r>
        <w:t>10.</w:t>
      </w:r>
      <w:r>
        <w:tab/>
      </w:r>
      <w:r>
        <w:t>Observa que, em 2026, as recomendações do Semestre Europeu desempenharão um papel fulcral na elaboração dos planos de parceria nacionais e regionais; considera que as reformas e os investimentos devem ser selecionados com base na eficiência e na eficácia com que respondem às recomendações específicas por país pertinentes;</w:t>
      </w:r>
    </w:p>
    <w:p>
      <w:pPr>
        <w:pStyle w:val="NormalHanging12a"/>
      </w:pPr>
      <w:r>
        <w:t>11.</w:t>
      </w:r>
      <w:r>
        <w:tab/>
      </w:r>
      <w:r>
        <w:t>É a favor de um processo do Semestre Europeu mais democrático, com uma forte participação do Parlamento na definição de prioridades de política económica e na tomada de decisões de governação económica; insiste na participação sistemática dos parceiros sociais, das organizações da sociedade civil e dos intervenientes regionais e locais no processo do Semestre Europeu;</w:t>
      </w:r>
    </w:p>
    <w:p>
      <w:pPr>
        <w:pStyle w:val="NormalHanging12a"/>
      </w:pPr>
      <w:r>
        <w:t>12.</w:t>
      </w:r>
      <w:r>
        <w:tab/>
      </w:r>
      <w:r>
        <w:t>Encarrega a sua Presidente de transmitir a presente resolução ao Conselho e à Comissão.</w:t>
      </w:r>
    </w:p>
    <w:sectPr>
      <w:footerReference w:type="even" r:id="rId6"/>
      <w:footerReference w:type="default" r:id="rId7"/>
      <w:footerReference w:type="first" r:id="rId8"/>
      <w:pgSz w:w="11909" w:h="16834"/>
      <w:pgMar w:top="1134" w:right="1417" w:bottom="1417" w:left="1417" w:header="1134" w:footer="567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6</w:t>
    </w:r>
    <w:r>
      <w:fldChar w:fldCharType="end"/>
    </w:r>
    <w:r>
      <w:tab/>
    </w:r>
    <w:r>
      <w:rPr>
        <w:rStyle w:val="HideTWBExt"/>
      </w:rPr>
      <w:t>&lt;PathFdR&gt;</w:t>
    </w:r>
    <w:r>
      <w:t>PR\1331649PT.docx</w:t>
    </w:r>
    <w:r>
      <w:rPr>
        <w:rStyle w:val="HideTWBExt"/>
      </w:rPr>
      <w:t>&lt;/PathFdR&gt;</w:t>
    </w:r>
  </w:p>
  <w:p>
    <w:pPr>
      <w:pStyle w:val="EPFooter2"/>
    </w:pPr>
    <w:r>
      <w:t>PT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PR\1331649PT.docx</w:t>
    </w:r>
    <w:r>
      <w:rPr>
        <w:rStyle w:val="HideTWBExt"/>
      </w:rPr>
      <w:t>&lt;/PathFdR&gt;</w:t>
    </w:r>
    <w:r>
      <w:tab/>
    </w: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  <w:r>
      <w:t>/</w:t>
    </w:r>
    <w:r>
      <w:fldChar w:fldCharType="begin"/>
    </w:r>
    <w:r>
      <w:instrText xml:space="preserve"> NUMPAGES </w:instrText>
    </w:r>
    <w:r>
      <w:fldChar w:fldCharType="separate"/>
    </w:r>
    <w:r>
      <w:t>6</w:t>
    </w:r>
    <w:r>
      <w:fldChar w:fldCharType="end"/>
    </w:r>
    <w:r>
      <w:tab/>
    </w: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ab/>
    </w:r>
    <w:r>
      <w:tab/>
    </w:r>
    <w:r>
      <w:t>PT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&lt;PathFdR&gt;</w:t>
    </w:r>
    <w:r>
      <w:t>PR\1331649PT.docx</w:t>
    </w:r>
    <w:r>
      <w:rPr>
        <w:rStyle w:val="HideTWBExt"/>
      </w:rPr>
      <w:t>&lt;/PathFdR&gt;</w:t>
    </w:r>
    <w:r>
      <w:tab/>
    </w:r>
    <w:r>
      <w:tab/>
    </w:r>
    <w:r>
      <w:t>PE</w:t>
    </w:r>
    <w:r>
      <w:rPr>
        <w:rStyle w:val="HideTWBExt"/>
      </w:rPr>
      <w:t>&lt;NoPE&gt;</w:t>
    </w:r>
    <w:r>
      <w:t>779.558</w:t>
    </w:r>
    <w:r>
      <w:rPr>
        <w:rStyle w:val="HideTWBExt"/>
      </w:rPr>
      <w:t>&lt;/NoPE&gt;</w:t>
    </w:r>
    <w:r>
      <w:rPr>
        <w:rStyle w:val="HideTWBExt"/>
      </w:rPr>
      <w:t>&lt;Version&gt;</w:t>
    </w:r>
    <w:r>
      <w:t>v01-00</w:t>
    </w:r>
    <w:r>
      <w:rPr>
        <w:rStyle w:val="HideTWBExt"/>
      </w:rPr>
      <w:t>&lt;/Version&gt;</w:t>
    </w:r>
  </w:p>
  <w:p>
    <w:pPr>
      <w:pStyle w:val="EPFooter2"/>
    </w:pPr>
    <w:r>
      <w:t>PT</w:t>
    </w:r>
    <w:r>
      <w:tab/>
    </w:r>
    <w:r>
      <w:rPr>
        <w:rStyle w:val="EPFooter2Motto"/>
      </w:rPr>
      <w:t>Unida na diversidade</w:t>
    </w:r>
    <w:r>
      <w:tab/>
    </w:r>
    <w:r>
      <w:t>PT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  <w:footnote w:id="2">
    <w:p>
      <w:pPr>
        <w:pStyle w:val="FootnoteText"/>
      </w:pPr>
      <w:r>
        <w:rPr>
          <w:vertAlign w:val="superscript"/>
        </w:rPr>
        <w:t>1</w:t>
      </w:r>
      <w:r>
        <w:t xml:space="preserve"> </w:t>
      </w:r>
      <w:r>
        <w:t>Documento de trabalho dos serviços da Comissão, de 27 de maio de 2020, intitulado «Identifying Europe’s recovery needs» (SWD(20200098)[Identificação das necessidades de recuperação da Europa] que acompanha a Comunicação da Comissão intitulada «A Hora da Europa: Reparar os Danos e Preparar o Futuro para a Próxima Geração» (COM(2020)0456).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1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evenAndOddHeaders/>
  <w:noPunctuationKerning/>
  <w:characterSpacingControl w:val="doNotCompress"/>
  <w:footnotePr>
    <w:footnote w:id="0"/>
    <w:footnote w:id="1"/>
  </w:foot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OCPage">
    <w:name w:val="TOC Page"/>
    <w:basedOn w:val="Normal"/>
    <w:pPr>
      <w:keepNext/>
      <w:widowControl/>
      <w:spacing w:after="240"/>
      <w:jc w:val="right"/>
    </w:pPr>
    <w:rPr>
      <w:rFonts w:ascii="Arial" w:hAnsi="Arial"/>
      <w:b/>
    </w:rPr>
  </w:style>
  <w:style w:type="paragraph" w:customStyle="1" w:styleId="PageHeading">
    <w:name w:val="PageHeading"/>
    <w:basedOn w:val="Normal"/>
    <w:pPr>
      <w:keepNext/>
      <w:widowControl/>
      <w:spacing w:after="480"/>
      <w:jc w:val="center"/>
    </w:pPr>
    <w:rPr>
      <w:rFonts w:ascii="Arial" w:eastAsia="Arial" w:hAnsi="Arial" w:cs="Arial"/>
      <w:b/>
    </w:rPr>
  </w:style>
  <w:style w:type="paragraph" w:customStyle="1" w:styleId="EPComma">
    <w:name w:val="EPComma"/>
    <w:basedOn w:val="Normal"/>
    <w:pPr>
      <w:widowControl/>
      <w:spacing w:before="480" w:after="240"/>
    </w:p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EPName">
    <w:name w:val="EPName"/>
    <w:basedOn w:val="Normal"/>
    <w:pPr>
      <w:widowControl/>
      <w:spacing w:before="80" w:after="80"/>
    </w:pPr>
    <w:rPr>
      <w:rFonts w:ascii="Arial Narrow" w:eastAsia="Arial" w:hAnsi="Arial Narrow" w:cs="Arial"/>
      <w:b/>
      <w:sz w:val="32"/>
    </w:rPr>
  </w:style>
  <w:style w:type="character" w:customStyle="1" w:styleId="HideTWBExt">
    <w:name w:val="HideTWBExt"/>
    <w:rPr>
      <w:rFonts w:ascii="Arial" w:hAnsi="Arial"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4"/>
        <w:tab w:val="right" w:pos="9920"/>
      </w:tabs>
      <w:ind w:left="-840" w:right="-840"/>
    </w:pPr>
    <w:rPr>
      <w:rFonts w:ascii="Arial" w:eastAsia="Arial" w:hAnsi="Arial" w:cs="Arial"/>
      <w:b/>
      <w:sz w:val="48"/>
    </w:rPr>
  </w:style>
  <w:style w:type="paragraph" w:customStyle="1" w:styleId="Normal12a">
    <w:name w:val="Normal12a"/>
    <w:basedOn w:val="Normal"/>
    <w:pPr>
      <w:widowControl/>
      <w:spacing w:after="240"/>
    </w:pPr>
  </w:style>
  <w:style w:type="character" w:customStyle="1" w:styleId="HideTWBInt">
    <w:name w:val="HideTWBInt"/>
    <w:rPr>
      <w:rFonts w:ascii="Arial" w:hAnsi="Arial"/>
      <w:vanish/>
      <w:color w:val="808080"/>
      <w:sz w:val="20"/>
    </w:rPr>
  </w:style>
  <w:style w:type="paragraph" w:customStyle="1" w:styleId="CoverNormal24a">
    <w:name w:val="CoverNormal24a"/>
    <w:basedOn w:val="Normal"/>
    <w:pPr>
      <w:widowControl/>
      <w:spacing w:after="480"/>
      <w:ind w:left="1416"/>
    </w:pPr>
  </w:style>
  <w:style w:type="paragraph" w:customStyle="1" w:styleId="CoverNormal">
    <w:name w:val="CoverNormal"/>
    <w:basedOn w:val="Normal"/>
    <w:pPr>
      <w:widowControl/>
      <w:ind w:left="1418"/>
    </w:pPr>
  </w:style>
  <w:style w:type="paragraph" w:customStyle="1" w:styleId="CoverReference">
    <w:name w:val="CoverReference"/>
    <w:basedOn w:val="Normal"/>
    <w:pPr>
      <w:widowControl/>
      <w:spacing w:before="108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pPr>
      <w:widowControl/>
      <w:spacing w:after="480"/>
      <w:ind w:left="1416"/>
    </w:pPr>
    <w:rPr>
      <w:rFonts w:ascii="Arial" w:eastAsia="Arial" w:hAnsi="Arial" w:cs="Arial"/>
      <w:b/>
      <w:sz w:val="48"/>
    </w:rPr>
  </w:style>
  <w:style w:type="paragraph" w:customStyle="1" w:styleId="CoverDate">
    <w:name w:val="CoverDate"/>
    <w:basedOn w:val="Normal"/>
    <w:pPr>
      <w:widowControl/>
      <w:spacing w:before="240" w:after="1200"/>
    </w:pPr>
  </w:style>
  <w:style w:type="paragraph" w:customStyle="1" w:styleId="NormalHanging12a">
    <w:name w:val="NormalHanging12a"/>
    <w:basedOn w:val="Normal"/>
    <w:pPr>
      <w:widowControl/>
      <w:overflowPunct/>
      <w:spacing w:after="240"/>
      <w:ind w:left="566" w:hanging="566"/>
    </w:pPr>
  </w:style>
  <w:style w:type="paragraph" w:customStyle="1" w:styleId="EPBody">
    <w:name w:val="EPBody"/>
    <w:basedOn w:val="Normal"/>
    <w:pPr>
      <w:widowControl/>
      <w:jc w:val="center"/>
    </w:pPr>
    <w:rPr>
      <w:rFonts w:ascii="Arial" w:eastAsia="Arial" w:hAnsi="Arial" w:cs="Arial"/>
      <w:i/>
      <w:sz w:val="22"/>
    </w:rPr>
  </w:style>
  <w:style w:type="paragraph" w:customStyle="1" w:styleId="LineTop">
    <w:name w:val="LineTop"/>
    <w:basedOn w:val="Normal"/>
    <w:next w:val="Normal"/>
    <w:pPr>
      <w:widowControl/>
      <w:pBdr>
        <w:top w:val="single" w:sz="4" w:space="1" w:color="000000"/>
      </w:pBdr>
      <w:jc w:val="center"/>
    </w:pPr>
    <w:rPr>
      <w:rFonts w:ascii="Arial" w:hAnsi="Arial"/>
      <w:sz w:val="16"/>
    </w:rPr>
  </w:style>
  <w:style w:type="paragraph" w:customStyle="1" w:styleId="LineBottom">
    <w:name w:val="LineBottom"/>
    <w:basedOn w:val="Normal"/>
    <w:next w:val="Normal"/>
    <w:pPr>
      <w:widowControl/>
      <w:pBdr>
        <w:bottom w:val="single" w:sz="4" w:space="1" w:color="000000"/>
      </w:pBdr>
      <w:spacing w:after="240"/>
      <w:jc w:val="center"/>
    </w:pPr>
    <w:rPr>
      <w:rFonts w:ascii="Arial" w:hAnsi="Arial"/>
      <w:sz w:val="16"/>
    </w:rPr>
  </w:style>
  <w:style w:type="paragraph" w:customStyle="1" w:styleId="EPTerm">
    <w:name w:val="EPTerm"/>
    <w:basedOn w:val="Normal"/>
    <w:next w:val="Normal"/>
    <w:pPr>
      <w:widowControl/>
      <w:spacing w:after="80"/>
    </w:pPr>
    <w:rPr>
      <w:rFonts w:ascii="Arial" w:eastAsia="Arial" w:hAnsi="Arial" w:cs="Arial"/>
      <w:sz w:val="20"/>
    </w:rPr>
  </w:style>
  <w:style w:type="paragraph" w:customStyle="1" w:styleId="EPLogo">
    <w:name w:val="EPLogo"/>
    <w:basedOn w:val="Normal"/>
    <w:pPr>
      <w:widowControl/>
      <w:jc w:val="right"/>
    </w:pPr>
  </w:style>
  <w:style w:type="paragraph" w:customStyle="1" w:styleId="EPFooter">
    <w:name w:val="EPFooter"/>
    <w:basedOn w:val="Normal"/>
    <w:pPr>
      <w:widowControl/>
      <w:tabs>
        <w:tab w:val="center" w:pos="4534"/>
        <w:tab w:val="right" w:pos="9070"/>
      </w:tabs>
      <w:spacing w:before="240" w:after="240"/>
    </w:pPr>
    <w:rPr>
      <w:sz w:val="22"/>
    </w:rPr>
  </w:style>
  <w:style w:type="paragraph" w:customStyle="1" w:styleId="CoverNormal12a">
    <w:name w:val="CoverNormal12a"/>
    <w:basedOn w:val="Normal"/>
    <w:pPr>
      <w:widowControl/>
      <w:spacing w:after="240"/>
      <w:ind w:left="1418"/>
    </w:pPr>
  </w:style>
  <w:style w:type="paragraph" w:customStyle="1" w:styleId="LegendSign">
    <w:name w:val="LegendSign"/>
    <w:basedOn w:val="Normal"/>
    <w:pPr>
      <w:widowControl/>
      <w:tabs>
        <w:tab w:val="right" w:pos="454"/>
        <w:tab w:val="left" w:pos="736"/>
      </w:tabs>
      <w:overflowPunct/>
      <w:ind w:left="736" w:hanging="736"/>
    </w:pPr>
    <w:rPr>
      <w:sz w:val="18"/>
    </w:rPr>
  </w:style>
  <w:style w:type="paragraph" w:customStyle="1" w:styleId="LegendStandard">
    <w:name w:val="LegendStandard"/>
    <w:basedOn w:val="LegendSign"/>
    <w:pPr>
      <w:widowControl/>
      <w:ind w:left="0" w:firstLine="0"/>
    </w:pPr>
  </w:style>
  <w:style w:type="paragraph" w:customStyle="1" w:styleId="LegendTitle">
    <w:name w:val="LegendTitle"/>
    <w:basedOn w:val="Normal"/>
    <w:pPr>
      <w:widowControl/>
      <w:spacing w:before="240" w:after="240"/>
    </w:pPr>
    <w:rPr>
      <w:b/>
      <w:i/>
    </w:rPr>
  </w:style>
  <w:style w:type="paragraph" w:styleId="TOC1">
    <w:name w:val="toc 1"/>
    <w:basedOn w:val="Normal12b"/>
    <w:next w:val="Normal12b"/>
    <w:autoRedefine/>
    <w:rsid w:val="00805BCE"/>
    <w:pPr>
      <w:widowControl/>
      <w:spacing w:after="240"/>
    </w:p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Normal12b">
    <w:name w:val="Normal12b"/>
    <w:basedOn w:val="Normal"/>
    <w:pPr>
      <w:widowControl/>
      <w:spacing w:before="240"/>
    </w:pPr>
  </w:style>
  <w:style w:type="paragraph" w:customStyle="1" w:styleId="PMissingStyle">
    <w:name w:val="P_MissingStyle"/>
    <w:basedOn w:val="Normal"/>
    <w:pPr>
      <w:widowControl/>
      <w:spacing w:after="0" w:line="240" w:lineRule="auto"/>
    </w:pPr>
    <w:rPr>
      <w:rFonts w:ascii="Times New Roman" w:eastAsia="Times New Roman" w:hAnsi="Times New Roman" w:cs="Times New Roman"/>
      <w:color w:val="FFFFFF"/>
      <w:sz w:val="24"/>
    </w:rPr>
  </w:style>
  <w:style w:type="character" w:customStyle="1" w:styleId="CMissingStyle">
    <w:name w:val="C_MissingStyle"/>
    <w:rPr>
      <w:color w:val="FFFFFF"/>
      <w:sz w:val="22"/>
    </w:rPr>
  </w:style>
  <w:style w:type="paragraph" w:styleId="TOCHeading">
    <w:name w:val="TOC Heading"/>
    <w:basedOn w:val="Normal"/>
    <w:next w:val="Normal"/>
    <w:uiPriority w:val="39"/>
    <w:unhideWhenUsed/>
    <w:qFormat/>
    <w:rsid w:val="000200DD"/>
    <w:pPr>
      <w:keepNext/>
      <w:widowControl/>
      <w:spacing w:before="240" w:after="240"/>
      <w:jc w:val="center"/>
      <w:outlineLvl w:val="9"/>
    </w:pPr>
    <w:rPr>
      <w:rFonts w:ascii="Arial" w:hAnsi="Arial"/>
      <w:b/>
    </w:rPr>
  </w:style>
  <w:style w:type="paragraph" w:customStyle="1" w:styleId="Normal12">
    <w:name w:val="Normal12"/>
    <w:basedOn w:val="Normal"/>
    <w:pPr>
      <w:widowControl/>
      <w:spacing w:after="24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NormalHanging12a4">
    <w:name w:val="NormalHanging12a4"/>
    <w:basedOn w:val="NormalHanging12a3"/>
    <w:pPr>
      <w:widowControl/>
      <w:ind w:left="2268"/>
    </w:pPr>
  </w:style>
  <w:style w:type="paragraph" w:customStyle="1" w:styleId="NormalHanging12a5">
    <w:name w:val="NormalHanging12a5"/>
    <w:basedOn w:val="NormalHanging12a4"/>
    <w:pPr>
      <w:widowControl/>
      <w:ind w:left="2692"/>
    </w:pPr>
  </w:style>
  <w:style w:type="paragraph" w:customStyle="1" w:styleId="NormalHanging12a6">
    <w:name w:val="NormalHanging12a6"/>
    <w:basedOn w:val="NormalHanging12a5"/>
    <w:pPr>
      <w:widowControl/>
      <w:ind w:left="3118"/>
    </w:pPr>
  </w:style>
  <w:style w:type="paragraph" w:customStyle="1" w:styleId="NormalHanging12a7">
    <w:name w:val="NormalHanging12a7"/>
    <w:basedOn w:val="NormalHanging12a6"/>
    <w:pPr>
      <w:widowControl/>
      <w:ind w:left="3544"/>
    </w:pPr>
  </w:style>
  <w:style w:type="paragraph" w:customStyle="1" w:styleId="NormalHanging12a1">
    <w:name w:val="NormalHanging12a1"/>
    <w:basedOn w:val="Normal"/>
    <w:pPr>
      <w:widowControl/>
      <w:overflowPunct/>
      <w:spacing w:after="240" w:line="240" w:lineRule="auto"/>
      <w:ind w:left="992" w:hanging="424"/>
    </w:pPr>
    <w:rPr>
      <w:rFonts w:ascii="Times New Roman" w:eastAsia="Times New Roman" w:hAnsi="Times New Roman" w:cs="Times New Roman"/>
      <w:sz w:val="24"/>
    </w:rPr>
  </w:style>
  <w:style w:type="paragraph" w:customStyle="1" w:styleId="NormalHanging12a2">
    <w:name w:val="NormalHanging12a2"/>
    <w:basedOn w:val="NormalHanging12a1"/>
    <w:pPr>
      <w:widowControl/>
      <w:ind w:left="1416"/>
    </w:pPr>
  </w:style>
  <w:style w:type="paragraph" w:customStyle="1" w:styleId="NormalHanging12a3">
    <w:name w:val="NormalHanging12a3"/>
    <w:basedOn w:val="NormalHanging12a2"/>
    <w:pPr>
      <w:widowControl/>
      <w:ind w:left="1842"/>
    </w:pPr>
  </w:style>
  <w:style w:type="paragraph" w:customStyle="1" w:styleId="NormalHanging">
    <w:name w:val="NormalHanging"/>
    <w:basedOn w:val="Normal"/>
    <w:pPr>
      <w:widowControl/>
      <w:overflowPunct/>
      <w:spacing w:after="240" w:line="240" w:lineRule="auto"/>
      <w:ind w:left="566" w:hanging="566"/>
    </w:pPr>
    <w:rPr>
      <w:rFonts w:ascii="Times New Roman" w:eastAsia="Times New Roman" w:hAnsi="Times New Roman" w:cs="Times New Roman"/>
      <w:sz w:val="24"/>
    </w:rPr>
  </w:style>
  <w:style w:type="character" w:customStyle="1" w:styleId="FooterChar">
    <w:name w:val="Footer Char"/>
    <w:rPr>
      <w:rFonts w:ascii="Times New Roman" w:eastAsia="Times New Roman" w:hAnsi="Times New Roman" w:cs="Times New Roman"/>
      <w:sz w:val="24"/>
    </w:rPr>
  </w:style>
  <w:style w:type="paragraph" w:customStyle="1" w:styleId="NormalBold12a">
    <w:name w:val="NormalBold12a"/>
    <w:basedOn w:val="Normal"/>
    <w:pPr>
      <w:widowControl/>
      <w:spacing w:after="240"/>
    </w:pPr>
    <w:rPr>
      <w:b/>
    </w:rPr>
  </w:style>
  <w:style w:type="paragraph" w:customStyle="1" w:styleId="NormalCenter12a">
    <w:name w:val="NormalCenter12a"/>
    <w:basedOn w:val="Normal"/>
    <w:pPr>
      <w:widowControl/>
      <w:spacing w:after="240"/>
      <w:jc w:val="center"/>
    </w:pPr>
  </w:style>
  <w:style w:type="paragraph" w:customStyle="1" w:styleId="Normal12BoldUnderline">
    <w:name w:val="Normal12BoldUnderline"/>
    <w:basedOn w:val="Normal"/>
    <w:pPr>
      <w:widowControl/>
      <w:spacing w:before="480"/>
    </w:pPr>
    <w:rPr>
      <w:b/>
      <w:u w:val="single"/>
    </w:rPr>
  </w:style>
  <w:style w:type="paragraph" w:customStyle="1" w:styleId="Normal12Bullet2">
    <w:name w:val="Normal12Bullet2"/>
    <w:basedOn w:val="Normal"/>
    <w:pPr>
      <w:widowControl/>
      <w:numPr>
        <w:numId w:val="2"/>
      </w:numPr>
    </w:pPr>
  </w:style>
  <w:style w:type="paragraph" w:customStyle="1" w:styleId="NormalHangingJustified">
    <w:name w:val="NormalHangingJustified"/>
    <w:basedOn w:val="Normal"/>
    <w:pPr>
      <w:widowControl/>
      <w:overflowPunct/>
      <w:spacing w:after="240"/>
      <w:ind w:left="714" w:hanging="356"/>
      <w:jc w:val="both"/>
    </w:pPr>
  </w:style>
  <w:style w:type="paragraph" w:customStyle="1" w:styleId="NormalCenter">
    <w:name w:val="NormalCenter"/>
    <w:basedOn w:val="Normal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sz w:val="24"/>
    </w:rPr>
  </w:style>
  <w:style w:type="character" w:styleId="FootnoteReference">
    <w:name w:val="footnote reference"/>
    <w:basedOn w:val="DefaultParagraphFont"/>
    <w:rsid w:val="00805BCE"/>
    <w:rPr>
      <w:vertAlign w:val="superscript"/>
    </w:rPr>
  </w:style>
  <w:style w:type="paragraph" w:styleId="FootnoteText">
    <w:name w:val="footnote text"/>
    <w:basedOn w:val="Normal"/>
    <w:rsid w:val="00805BC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1.pn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6</Pages>
  <Words>1396</Words>
  <Characters>7551</Characters>
  <Application>Microsoft Office Word</Application>
  <DocSecurity>0</DocSecurity>
  <Lines>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e-Parliament@europarl.europa.eu</dc:creator>
  <cp:lastModifiedBy>e-Parliament@europarl.europa.eu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PT</vt:lpwstr>
  </property>
  <property fmtid="{D5CDD505-2E9C-101B-9397-08002B2CF9AE}" pid="3" name="&lt;FdR&gt;">
    <vt:lpwstr>1331649</vt:lpwstr>
  </property>
  <property fmtid="{D5CDD505-2E9C-101B-9397-08002B2CF9AE}" pid="4" name="&lt;Model&gt;">
    <vt:lpwstr>PR_INI</vt:lpwstr>
  </property>
  <property fmtid="{D5CDD505-2E9C-101B-9397-08002B2CF9AE}" pid="5" name="&lt;Type&gt;">
    <vt:lpwstr>PR</vt:lpwstr>
  </property>
  <property fmtid="{D5CDD505-2E9C-101B-9397-08002B2CF9AE}" pid="6" name="dmxml.render.id">
    <vt:lpwstr>299215</vt:lpwstr>
  </property>
  <property fmtid="{D5CDD505-2E9C-101B-9397-08002B2CF9AE}" pid="7" name="dmxml.render.traceId">
    <vt:lpwstr>692eaa93555261db378ecd3971a0ff1c</vt:lpwstr>
  </property>
  <property fmtid="{D5CDD505-2E9C-101B-9397-08002B2CF9AE}" pid="8" name="FooterPath">
    <vt:lpwstr>PR\1331649PT.doc</vt:lpwstr>
  </property>
  <property fmtid="{D5CDD505-2E9C-101B-9397-08002B2CF9AE}" pid="9" name="PE Number">
    <vt:lpwstr>779.558</vt:lpwstr>
  </property>
  <property fmtid="{D5CDD505-2E9C-101B-9397-08002B2CF9AE}" pid="10" name="UID">
    <vt:lpwstr>eu.europa.europarl-DIN1-2025-0000214726_01.07-pt-01.00_text-xml</vt:lpwstr>
  </property>
</Properties>
</file>