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Parlamentul European</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{EMPL}</w:t>
      </w:r>
      <w:r>
        <w:t>Comisia pentru ocuparea forței de muncă și afaceri sociale</w:t>
      </w:r>
      <w:r>
        <w:rPr>
          <w:rStyle w:val="HideTWBExt"/>
        </w:rPr>
        <w:t>&lt;/Commission&gt;</w:t>
      </w:r>
    </w:p>
    <w:p>
      <w:pPr>
        <w:pStyle w:val="LineBottom"/>
      </w:pPr>
      <w:r>
        <w:t xml:space="preserve"> </w:t>
      </w:r>
    </w:p>
    <w:p>
      <w:pPr>
        <w:pStyle w:val="CoverReference"/>
      </w:pPr>
      <w:r>
        <w:rPr>
          <w:rStyle w:val="HideTWBExt"/>
        </w:rPr>
        <w:t>&lt;RefProc&gt;</w:t>
      </w:r>
      <w:r>
        <w:t>2025/2183</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{20/11/2025}</w:t>
      </w:r>
      <w:r>
        <w:t>20.11.2025</w:t>
      </w:r>
      <w:r>
        <w:rPr>
          <w:rStyle w:val="HideTWBExt"/>
        </w:rPr>
        <w:t>&lt;/Date&gt;</w:t>
      </w:r>
    </w:p>
    <w:p>
      <w:pPr>
        <w:pStyle w:val="CoverDocType24a"/>
      </w:pPr>
      <w:r>
        <w:rPr>
          <w:rStyle w:val="HideTWBExt"/>
        </w:rPr>
        <w:t>&lt;TitreType&gt;</w:t>
      </w:r>
      <w:r>
        <w:t>PROIECT DE RAPORT</w:t>
      </w:r>
      <w:r>
        <w:rPr>
          <w:rStyle w:val="HideTWBExt"/>
        </w:rPr>
        <w:t>&lt;/TitreType&gt;</w:t>
      </w:r>
    </w:p>
    <w:p>
      <w:pPr>
        <w:pStyle w:val="CoverNormal"/>
      </w:pPr>
      <w:r>
        <w:rPr>
          <w:rStyle w:val="HideTWBExt"/>
        </w:rPr>
        <w:t>&lt;Titre&gt;</w:t>
      </w:r>
      <w:r>
        <w:t>referitor la semestrul european pentru coordonarea politicilor economice: prioritățile sociale și în materie de ocupare a forței de muncă – raportul anual pe 2026</w:t>
      </w:r>
      <w:r>
        <w:rPr>
          <w:rStyle w:val="HideTWBExt"/>
        </w:rPr>
        <w:t>&lt;/Titre&gt;</w:t>
      </w:r>
    </w:p>
    <w:p>
      <w:pPr>
        <w:pStyle w:val="CoverNormal24a"/>
      </w:pPr>
      <w:r>
        <w:rPr>
          <w:rStyle w:val="HideTWBExt"/>
        </w:rPr>
        <w:t>&lt;DocRef&gt;</w:t>
      </w:r>
      <w:r>
        <w:t>(2025/2183(INI))</w:t>
      </w:r>
      <w:r>
        <w:rPr>
          <w:rStyle w:val="HideTWBExt"/>
        </w:rPr>
        <w:t>&lt;/DocRef&gt;</w:t>
      </w:r>
    </w:p>
    <w:p>
      <w:pPr>
        <w:pStyle w:val="CoverNormal24a"/>
      </w:pPr>
      <w:r>
        <w:rPr>
          <w:rStyle w:val="HideTWBExt"/>
        </w:rPr>
        <w:t>&lt;Commission&gt;</w:t>
      </w:r>
      <w:r>
        <w:rPr>
          <w:rStyle w:val="HideTWBInt"/>
        </w:rPr>
        <w:t>{EMPL}</w:t>
      </w:r>
      <w:r>
        <w:t>Comisia pentru ocuparea forței de muncă și afaceri sociale</w:t>
      </w:r>
      <w:r>
        <w:rPr>
          <w:rStyle w:val="HideTWBExt"/>
        </w:rPr>
        <w:t>&lt;/Commission&gt;</w:t>
      </w:r>
    </w:p>
    <w:p>
      <w:pPr>
        <w:pStyle w:val="CoverNormal24a"/>
      </w:pPr>
      <w:r>
        <w:t>Raportoare</w:t>
      </w:r>
      <w:r>
        <w:t xml:space="preserve">: </w:t>
      </w:r>
      <w:r>
        <w:rPr>
          <w:rStyle w:val="HideTWBExt"/>
        </w:rPr>
        <w:t>&lt;Depute&gt;</w:t>
      </w:r>
      <w:r>
        <w:t>Nela Riehl</w:t>
      </w:r>
      <w:r>
        <w:rPr>
          <w:rStyle w:val="HideTWBExt"/>
        </w:rPr>
        <w:t>&lt;/Depute&gt;</w:t>
      </w:r>
    </w:p>
    <w:p>
      <w:r>
        <w:br w:type="page"/>
      </w:r>
      <w:r>
        <w:t>PR_INI</w:t>
      </w:r>
    </w:p>
    <w:p>
      <w:pPr>
        <w:pStyle w:val="TOCHeading"/>
      </w:pPr>
      <w:r>
        <w:t>CUPRINS</w:t>
      </w:r>
    </w:p>
    <w:p>
      <w:pPr>
        <w:pStyle w:val="TOCPage"/>
      </w:pPr>
      <w:r>
        <w:t>Pagina</w:t>
      </w:r>
    </w:p>
    <w:p>
      <w:pPr>
        <w:pStyle w:val="TOC1"/>
        <w:tabs>
          <w:tab w:val="right" w:leader="dot" w:pos="9065"/>
        </w:tabs>
        <w:rPr>
          <w:rFonts w:ascii="Calibri" w:hAnsi="Calibri"/>
          <w:noProof/>
          <w:sz w:val="22"/>
        </w:rPr>
      </w:pPr>
      <w:r>
        <w:fldChar w:fldCharType="begin"/>
      </w:r>
      <w:r>
        <w:instrText xml:space="preserve"> TOC </w:instrText>
      </w:r>
      <w:r>
        <w:instrText xml:space="preserve"> \t</w:instrText>
      </w:r>
      <w:r>
        <w:instrText xml:space="preserve"> </w:instrText>
      </w:r>
      <w:r>
        <w:instrText>PageHeading</w:instrText>
      </w:r>
      <w:r>
        <w:fldChar w:fldCharType="separate"/>
      </w:r>
      <w:r>
        <w:t>PROPUNERE DE REZOLUȚIE A PARLAMENTULUI EUROPEAN</w:t>
      </w:r>
      <w:r>
        <w:tab/>
      </w:r>
      <w:r>
        <w:fldChar w:fldCharType="begin"/>
      </w:r>
      <w:r>
        <w:instrText xml:space="preserve"> PAGEREF _Toc256000000 \h </w:instrText>
      </w:r>
      <w:r>
        <w:fldChar w:fldCharType="separate"/>
      </w:r>
      <w:r>
        <w:t>3</w:t>
      </w:r>
      <w:r>
        <w:fldChar w:fldCharType="end"/>
      </w:r>
    </w:p>
    <w:p>
      <w:pPr>
        <w:pStyle w:val="TOC1"/>
      </w:pPr>
      <w:r>
        <w:fldChar w:fldCharType="end"/>
      </w:r>
    </w:p>
    <w:p>
      <w:r>
        <w:br w:type="page"/>
      </w:r>
    </w:p>
    <w:p>
      <w:pPr>
        <w:pStyle w:val="PageHeading"/>
      </w:pPr>
      <w:bookmarkStart w:id="0" w:name="_Toc256000000"/>
      <w:r>
        <w:t>PROPUNERE DE REZOLUȚIE A PARLAMENTULUI EUROPEAN</w:t>
      </w:r>
      <w:bookmarkEnd w:id="0"/>
    </w:p>
    <w:p>
      <w:pPr>
        <w:pStyle w:val="NormalBold"/>
      </w:pPr>
      <w:r>
        <w:t>referitoare la semestrul european pentru coordonarea politicilor economice: prioritățile sociale și în materie de ocupare a forței de muncă – raportul anual pe 2026</w:t>
      </w:r>
    </w:p>
    <w:p>
      <w:pPr>
        <w:pStyle w:val="NormalBold"/>
      </w:pPr>
    </w:p>
    <w:p>
      <w:pPr>
        <w:pStyle w:val="NormalBold12a"/>
      </w:pPr>
      <w:r>
        <w:t>(</w:t>
      </w:r>
      <w:r>
        <w:t>2025/2183(INI)</w:t>
      </w:r>
      <w:r>
        <w:t>)</w:t>
      </w:r>
    </w:p>
    <w:p>
      <w:pPr>
        <w:pStyle w:val="Normal12"/>
      </w:pPr>
      <w:r>
        <w:rPr>
          <w:i/>
        </w:rPr>
        <w:t>Parlamentul European</w:t>
      </w:r>
      <w:r>
        <w:t>,</w:t>
      </w:r>
    </w:p>
    <w:p>
      <w:pPr>
        <w:pStyle w:val="NormalHanging"/>
      </w:pPr>
      <w:r>
        <w:t>–</w:t>
      </w:r>
      <w:r>
        <w:tab/>
      </w:r>
      <w:r>
        <w:t>având în vedere articolul 3 din Tratatul privind Uniunea Europeană,</w:t>
      </w:r>
    </w:p>
    <w:p>
      <w:pPr>
        <w:pStyle w:val="NormalHanging"/>
      </w:pPr>
      <w:r>
        <w:t>–</w:t>
      </w:r>
      <w:r>
        <w:tab/>
      </w:r>
      <w:r>
        <w:t>având în vedere articolele 9, 121, 148 și 149 din Tratatul privind funcționarea Uniunii Europene (TFUE),</w:t>
      </w:r>
    </w:p>
    <w:p>
      <w:pPr>
        <w:pStyle w:val="NormalHanging"/>
      </w:pPr>
      <w:r>
        <w:t>–</w:t>
      </w:r>
      <w:r>
        <w:tab/>
      </w:r>
      <w:r>
        <w:t>având în vedere Pilonul european al drepturilor sociale, proclamat și semnat de Consiliu, Parlament și Comisie la 17 noiembrie 2017,</w:t>
      </w:r>
    </w:p>
    <w:p>
      <w:pPr>
        <w:pStyle w:val="NormalHanging"/>
      </w:pPr>
      <w:r>
        <w:t>–</w:t>
      </w:r>
      <w:r>
        <w:tab/>
      </w:r>
      <w:r>
        <w:t>având în vedere comunicarea Comisiei din XX noiembrie 2026 privind analiză anuală a creșterii durabile 2026,</w:t>
      </w:r>
    </w:p>
    <w:p>
      <w:pPr>
        <w:pStyle w:val="NormalHanging"/>
      </w:pPr>
      <w:r>
        <w:t>–</w:t>
      </w:r>
      <w:r>
        <w:tab/>
      </w:r>
      <w:r>
        <w:t>având în vedere propunerea Comisiei din XXX 2026 de raport comun al Comisiei și al Consiliului privind ocuparea forței de muncă,</w:t>
      </w:r>
    </w:p>
    <w:p>
      <w:pPr>
        <w:pStyle w:val="NormalHanging"/>
      </w:pPr>
      <w:r>
        <w:t>–</w:t>
      </w:r>
      <w:r>
        <w:tab/>
      </w:r>
      <w:r>
        <w:t>având în vedere recomandarea Comisiei din XXX 2026 de recomandare a Consiliului privind politica economică a zonei euro,</w:t>
      </w:r>
    </w:p>
    <w:p>
      <w:pPr>
        <w:pStyle w:val="NormalHanging"/>
      </w:pPr>
      <w:r>
        <w:t>–</w:t>
      </w:r>
      <w:r>
        <w:tab/>
      </w:r>
      <w:r>
        <w:t>având în vedere raportul Comisiei din XXX 2026 intitulat „Raport privind mecanismul de alertă 2025”,</w:t>
      </w:r>
    </w:p>
    <w:p>
      <w:pPr>
        <w:pStyle w:val="NormalHanging"/>
      </w:pPr>
      <w:r>
        <w:t>–</w:t>
      </w:r>
      <w:r>
        <w:tab/>
      </w:r>
      <w:r>
        <w:t>având în vedere comunicarea Comisiei din XX noiembrie 2026 intitulată „Proiectele de planuri bugetare pentru 2025: evaluare generală”,</w:t>
      </w:r>
    </w:p>
    <w:p>
      <w:pPr>
        <w:pStyle w:val="NormalHanging"/>
      </w:pPr>
      <w:r>
        <w:t>–</w:t>
      </w:r>
      <w:r>
        <w:tab/>
      </w:r>
      <w:r>
        <w:t>având în vedere raportul lui Mario Draghi intitulat „Viitorul competitivității europene”, publicat în septembrie 2024,</w:t>
      </w:r>
    </w:p>
    <w:p>
      <w:pPr>
        <w:pStyle w:val="NormalHanging"/>
      </w:pPr>
      <w:r>
        <w:t>–</w:t>
      </w:r>
      <w:r>
        <w:tab/>
      </w:r>
      <w:r>
        <w:t>având în vedere raportul lui Enrico Letta privind viitorul pieței unice, intitulat „More than a Market” (Mult mai mult decât o piață), publicat în aprilie 2024,</w:t>
      </w:r>
    </w:p>
    <w:p>
      <w:pPr>
        <w:pStyle w:val="NormalHanging"/>
      </w:pPr>
      <w:r>
        <w:t>–</w:t>
      </w:r>
      <w:r>
        <w:tab/>
      </w:r>
      <w:r>
        <w:t>având în vedere Raportul Grupului la nivel înalt privind viitorul protecției sociale și al statului social în UE, publicat în ianuarie 2023,</w:t>
      </w:r>
    </w:p>
    <w:p>
      <w:pPr>
        <w:pStyle w:val="NormalHanging"/>
      </w:pPr>
      <w:r>
        <w:t>–</w:t>
      </w:r>
      <w:r>
        <w:tab/>
      </w:r>
      <w:r>
        <w:t>având în vedere articolul 55 din Regulamentul său de procedură,</w:t>
      </w:r>
    </w:p>
    <w:p>
      <w:pPr>
        <w:pStyle w:val="NormalHanging"/>
      </w:pPr>
      <w:r>
        <w:t>–</w:t>
      </w:r>
      <w:r>
        <w:tab/>
      </w:r>
      <w:r>
        <w:t>având în vedere raportul Comisiei pentru ocuparea forței de muncă și afaceri sociale (A10-0000/2025),</w:t>
      </w:r>
    </w:p>
    <w:p>
      <w:pPr>
        <w:pStyle w:val="NormalHanging"/>
      </w:pPr>
      <w:r>
        <w:t>A.</w:t>
      </w:r>
      <w:r>
        <w:tab/>
      </w:r>
      <w:r>
        <w:t>întrucât, în iunie 2025, rata șomajului în UE era de 5,9 %, în timp ce șomajul în rândul tinerilor rămâne ridicat, situându-se la 14,7 %; întrucât nivelurile mai ridicate de ocupare a forței de muncă nu înseamnă neapărat locuri de muncă de calitate, creșteri salariale și niveluri mai mari de productivitate;</w:t>
      </w:r>
    </w:p>
    <w:p>
      <w:pPr>
        <w:pStyle w:val="NormalHanging"/>
      </w:pPr>
      <w:r>
        <w:t>B.</w:t>
      </w:r>
      <w:r>
        <w:tab/>
      </w:r>
      <w:r>
        <w:t>întrucât semestrul european rămâne un instrument central pentru coordonarea politicilor economice, fiscale, de ocupare a forței de muncă și sociale în întreaga UE și, prin urmare, oferă posibilitatea de a integra mai sistematic echitatea socială, de mediu și între generații în guvernanța macroeconomică;</w:t>
      </w:r>
    </w:p>
    <w:p>
      <w:pPr>
        <w:pStyle w:val="NormalHanging"/>
      </w:pPr>
      <w:r>
        <w:t>C.</w:t>
      </w:r>
      <w:r>
        <w:tab/>
      </w:r>
      <w:r>
        <w:t>întrucât 21 % din populația UE era expusă riscului de sărăcie sau de excluziune socială în 2024; întrucât nu se înregistrează progrese suficiente în vederea atingerii obiectivului de a reduce cu 5 milioane până în 2030 numărul de copii expuși riscului de sărăcie sau de excluziune socială;</w:t>
      </w:r>
    </w:p>
    <w:p>
      <w:pPr>
        <w:pStyle w:val="NormalHanging"/>
      </w:pPr>
      <w:r>
        <w:t>D.</w:t>
      </w:r>
      <w:r>
        <w:tab/>
      </w:r>
      <w:r>
        <w:t>întrucât schimbările climatice și distrugerea mediului au exacerbat inegalitățile și au afectat grupurile cele mai vulnerabile; întrucât se preconizează că tranziția către neutralitatea climatică va crea aproximativ 2,5 milioane de locuri de muncă suplimentare;</w:t>
      </w:r>
    </w:p>
    <w:p>
      <w:pPr>
        <w:pStyle w:val="NormalHanging"/>
      </w:pPr>
      <w:r>
        <w:t>E.</w:t>
      </w:r>
      <w:r>
        <w:tab/>
      </w:r>
      <w:r>
        <w:t>întrucât presiunile asupra costurilor locuințelor și prețurile ridicate la energie impun poveri importante gospodăriilor, însă politica în domeniul locuințelor a avut adesea un loc marginal în recomandările specifice fiecărei țări;</w:t>
      </w:r>
    </w:p>
    <w:p>
      <w:pPr>
        <w:pStyle w:val="NormalHanging"/>
      </w:pPr>
      <w:r>
        <w:t>F.</w:t>
      </w:r>
      <w:r>
        <w:tab/>
      </w:r>
      <w:r>
        <w:t>întrucât UE se confruntă cu un deficit persistent de forță de muncă și de competențe, din cauza unei serii de factori, printre care calitatea slabă a locurilor de muncă;</w:t>
      </w:r>
    </w:p>
    <w:p>
      <w:pPr>
        <w:pStyle w:val="NormalHanging"/>
      </w:pPr>
      <w:r>
        <w:t>G.</w:t>
      </w:r>
      <w:r>
        <w:tab/>
      </w:r>
      <w:r>
        <w:t>întrucât datele arată că în majoritatea statelor membre sunt necesare mai multe eforturi pentru a atinge obiectivul ca 60 % dintre adulți să participe la educație și formare până în 2030; întrucât abordarea integrată a coordonării politicilor în contextul semestrului european oferă cadrul pentru orientarea investițiilor necesare în dezvoltarea capitalului uman și în sistemele de educație și formare profesională;</w:t>
      </w:r>
    </w:p>
    <w:p>
      <w:pPr>
        <w:pStyle w:val="NormalHanging"/>
      </w:pPr>
      <w:r>
        <w:t>H.</w:t>
      </w:r>
      <w:r>
        <w:tab/>
      </w:r>
      <w:r>
        <w:t>întrucât nevoile suplimentare de investiții în infrastructura socială au fost estimate la 192 de miliarde EUR pe an, incluzând locuințe la prețuri accesibile, asistență medicală și îngrijire pe termen lung, educație și formare pe tot parcursul vieții</w:t>
      </w:r>
      <w:r>
        <w:rPr>
          <w:rStyle w:val="FootnoteReference"/>
        </w:rPr>
        <w:footnoteReference w:customMarkFollows="1" w:id="2"/>
        <w:t xml:space="preserve">1</w:t>
      </w:r>
      <w:r>
        <w:t>; întrucât este nevoie de eforturi suplimentare pentru a măsura deficitul de investiții sociale din UE, precum și rentabilitatea economică a investițiilor sociale,</w:t>
      </w:r>
    </w:p>
    <w:p>
      <w:pPr>
        <w:pStyle w:val="NormalHanging12a"/>
      </w:pPr>
      <w:r>
        <w:t>1.</w:t>
      </w:r>
      <w:r>
        <w:tab/>
      </w:r>
      <w:r>
        <w:t>subliniază avantajul competitiv al investițiilor în modelul social al UE; solicită ca recomandările Grupului la nivel înalt privind viitorul protecției sociale și al statului social, precum și recomandările din rapoartele Letta și Draghi să fie integrate în procesul semestrului european; salută integrarea Pilonului european al drepturilor sociale în cadrul de guvernanță economică și invită statele membre să profite de posibilitatea de a prelungi perioada de ajustare pentru a investi în prioritățile Pilonului european al drepturilor sociale; solicită ca cadrul de guvernanță integrat să se reflecte în procesele interne ale instituțiilor UE, cu implicarea în egală măsură a organismelor lor economice și sociale;</w:t>
      </w:r>
    </w:p>
    <w:p>
      <w:pPr>
        <w:pStyle w:val="NormalHanging12a"/>
      </w:pPr>
      <w:r>
        <w:t>2.</w:t>
      </w:r>
      <w:r>
        <w:tab/>
      </w:r>
      <w:r>
        <w:t>consideră că Comisia și Consiliul ar trebui să își intensifice eforturile de punere în aplicare a Pilonului european al drepturilor sociale; solicită ca obiectivele planului de acțiune privind Pilonul european al drepturilor sociale să fie înglobate în nucleul semestrului european, transformându-le în criterii de referință pentru evaluările semestrului european;</w:t>
      </w:r>
    </w:p>
    <w:p>
      <w:pPr>
        <w:pStyle w:val="NormalHanging12a"/>
      </w:pPr>
      <w:r>
        <w:t>3.</w:t>
      </w:r>
      <w:r>
        <w:tab/>
      </w:r>
      <w:r>
        <w:t>întâmpină cu bucurie ambiția Comisiei de a eradica sărăcia până în 2050 și intenția sa de a propune un act legislativ privind locurile de muncă de calitate; evidențiază necesitatea coerenței între semestrul european, acțiunile întreprinse ca urmare a planului de acțiune privind Pilonul european al drepturilor sociale și aceste instrumente viitoare, formulând obiective măsurabile și recomandări corespunzătoare specifice fiecărei țări;</w:t>
      </w:r>
    </w:p>
    <w:p>
      <w:pPr>
        <w:pStyle w:val="NormalHanging12a"/>
      </w:pPr>
      <w:r>
        <w:t>4.</w:t>
      </w:r>
      <w:r>
        <w:tab/>
      </w:r>
      <w:r>
        <w:t>salută includerea permanentă a cadrului de convergență socială în semestrul european; accentuează importanța acestuia, împreună cu tabloul de bord social, în identificarea riscurilor și urmărirea progreselor înregistrate privind convergența socială ascendentă;</w:t>
      </w:r>
    </w:p>
    <w:p>
      <w:pPr>
        <w:pStyle w:val="NormalHanging12a"/>
      </w:pPr>
      <w:r>
        <w:t>5.</w:t>
      </w:r>
      <w:r>
        <w:tab/>
      </w:r>
      <w:r>
        <w:t>reamintește că investițiile sociale pot avea un impact pozitiv asupra creșterii economice, productivității și competitivității, sprijinind astfel și sustenabilitatea fiscală, promovând în același timp convergența socială ascendentă; invită Comisia și Consiliul să trateze investițiile sociale ca fiind fundamentale pentru creșterea durabilă;</w:t>
      </w:r>
    </w:p>
    <w:p>
      <w:pPr>
        <w:pStyle w:val="NormalHanging12a"/>
      </w:pPr>
      <w:r>
        <w:t>6.</w:t>
      </w:r>
      <w:r>
        <w:tab/>
      </w:r>
      <w:r>
        <w:t>evidențiază că planul Comisiei privind locuințele la prețuri accesibile ar trebui să fie mai bine integrat în semestrul european, punându-se un accent mai puternic pe locuințele la prețuri accesibile, sustenabile și decente în recomandările specifice fiecărei țări; reamintește semnatarilor Declarația de la Lisabona privind Platforma europeană pentru combaterea fenomenului lipsei de adăpost obiectivul de a eradica lipsa de adăpost până în 2030;</w:t>
      </w:r>
    </w:p>
    <w:p>
      <w:pPr>
        <w:pStyle w:val="NormalHanging12a"/>
      </w:pPr>
      <w:r>
        <w:t>7.</w:t>
      </w:r>
      <w:r>
        <w:tab/>
      </w:r>
      <w:r>
        <w:t>subliniază că investițiile în educație, perfecționare și recalificare reprezintă o investiție socială strategică, cu beneficii pe termen lung pentru competitivitate și coeziune;</w:t>
      </w:r>
    </w:p>
    <w:p>
      <w:pPr>
        <w:pStyle w:val="NormalHanging12a"/>
      </w:pPr>
      <w:r>
        <w:t>8.</w:t>
      </w:r>
      <w:r>
        <w:tab/>
      </w:r>
      <w:r>
        <w:t>evidențiază că echitatea între generații trebuie să devină o componentă structurală a semestrului european; invită Comisia, ca parte a strategiei sale privind echitatea între generații, să integreze indicatori privind bunăstarea tinerilor, accesul la locuri de muncă de calitate, accesibilitatea locuințelor, educația și competențele în cadrul de evaluare al semestrului european și să evalueze sistematic impactul pe termen lung al recomandărilor fiscale și de reformă;</w:t>
      </w:r>
    </w:p>
    <w:p>
      <w:pPr>
        <w:pStyle w:val="NormalHanging12a"/>
      </w:pPr>
      <w:r>
        <w:t>9.</w:t>
      </w:r>
      <w:r>
        <w:tab/>
      </w:r>
      <w:r>
        <w:t>recunoaște că statele membre s-au angajat să investească anual 5 % din PIB în nevoile de bază în domeniul apărării și în cheltuielile de securitate aferente până în 2035, inclusiv prin activarea clauzei derogatorii naționale; subliniază că, în cadrul semestrului european, aceste cheltuieli trebuie planificate în mod coordonat;</w:t>
      </w:r>
    </w:p>
    <w:p>
      <w:pPr>
        <w:pStyle w:val="NormalHanging12a"/>
      </w:pPr>
      <w:r>
        <w:t>10.</w:t>
      </w:r>
      <w:r>
        <w:tab/>
      </w:r>
      <w:r>
        <w:t>constată că recomandările semestrului european din 2026 vor avea un rol esențial în elaborarea planurilor de parteneriat naționale și regionale; consideră că reformele și investițiile ar trebui selectate pe baza eficienței și eficacității cu care răspund recomandărilor relevante specifice fiecărei țări;</w:t>
      </w:r>
    </w:p>
    <w:p>
      <w:pPr>
        <w:pStyle w:val="NormalHanging12a"/>
      </w:pPr>
      <w:r>
        <w:t>11.</w:t>
      </w:r>
      <w:r>
        <w:tab/>
      </w:r>
      <w:r>
        <w:t>susține un proces mai democratic al semestrului european, în care Parlamentul să se implice profund în stabilirea priorităților de politică economică și în adoptarea deciziilor de guvernanță economică; insistă ca partenerii sociali, organizațiile societății civile și actorii regionali și locali să fie implicați sistematic în procesul semestrului european;</w:t>
      </w:r>
    </w:p>
    <w:p>
      <w:pPr>
        <w:pStyle w:val="NormalHanging12a"/>
      </w:pPr>
      <w:r>
        <w:t>12.</w:t>
      </w:r>
      <w:r>
        <w:tab/>
      </w:r>
      <w:r>
        <w:t>încredințează Președintei sarcina de a transmite prezenta rezoluție Consiliului și Comisiei.</w:t>
      </w:r>
    </w:p>
    <w:sectPr>
      <w:footerReference w:type="even" r:id="rId6"/>
      <w:footerReference w:type="default" r:id="rId7"/>
      <w:footerReference w:type="first" r:id="rId8"/>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779.558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6</w:t>
    </w:r>
    <w:r>
      <w:fldChar w:fldCharType="end"/>
    </w:r>
    <w:r>
      <w:t>/</w:t>
    </w:r>
    <w:r>
      <w:fldChar w:fldCharType="begin"/>
    </w:r>
    <w:r>
      <w:instrText xml:space="preserve"> NUMPAGES </w:instrText>
    </w:r>
    <w:r>
      <w:fldChar w:fldCharType="separate"/>
    </w:r>
    <w:r>
      <w:t>6</w:t>
    </w:r>
    <w:r>
      <w:fldChar w:fldCharType="end"/>
    </w:r>
    <w:r>
      <w:tab/>
    </w:r>
    <w:r>
      <w:rPr>
        <w:rStyle w:val="HideTWBExt"/>
      </w:rPr>
      <w:t>&lt;PathFdR&gt;</w:t>
    </w:r>
    <w:r>
      <w:t>PR\1331649RO.docx</w:t>
    </w:r>
    <w:r>
      <w:rPr>
        <w:rStyle w:val="HideTWBExt"/>
      </w:rPr>
      <w:t>&lt;/PathFdR&gt;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PR\1331649RO.docx</w:t>
    </w:r>
    <w:r>
      <w:rPr>
        <w:rStyle w:val="HideTWBExt"/>
      </w:rPr>
      <w:t>&lt;/PathFdR&gt;</w:t>
    </w:r>
    <w:r>
      <w:tab/>
    </w:r>
    <w:r>
      <w:fldChar w:fldCharType="begin"/>
    </w:r>
    <w:r>
      <w:instrText xml:space="preserve"> PAGE </w:instrText>
    </w:r>
    <w:r>
      <w:fldChar w:fldCharType="separate"/>
    </w:r>
    <w:r>
      <w:t>5</w:t>
    </w:r>
    <w:r>
      <w:fldChar w:fldCharType="end"/>
    </w:r>
    <w:r>
      <w:t>/</w:t>
    </w:r>
    <w:r>
      <w:fldChar w:fldCharType="begin"/>
    </w:r>
    <w:r>
      <w:instrText xml:space="preserve"> NUMPAGES </w:instrText>
    </w:r>
    <w:r>
      <w:fldChar w:fldCharType="separate"/>
    </w:r>
    <w:r>
      <w:t>6</w:t>
    </w:r>
    <w:r>
      <w:fldChar w:fldCharType="end"/>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PR\1331649RO.docx</w:t>
    </w:r>
    <w:r>
      <w:rPr>
        <w:rStyle w:val="HideTWBExt"/>
      </w:rPr>
      <w:t>&lt;/PathFdR&gt;</w:t>
    </w:r>
    <w:r>
      <w:tab/>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RO</w:t>
    </w:r>
    <w:r>
      <w:tab/>
    </w:r>
    <w:r>
      <w:rPr>
        <w:rStyle w:val="EPFooter2Motto"/>
      </w:rPr>
      <w:t>Unită în diversitate</w:t>
    </w:r>
    <w:r>
      <w:tab/>
    </w:r>
    <w:r>
      <w:t>RO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Documentul de lucru al serviciilor Comisiei din 27 mai 2020 intitulat „Identificarea nevoilor Europei în materie de redresare” (SWD(20200098)), care însoțește comunicarea Comisiei intitulată „Acum este momentul Europei: să reparăm prejudiciile aduse de criză și să pregătim viitorul pentru noua generație” (COM(2020)0456).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1"/>
    <w:lvl w:ilvl="0">
      <w:start w:val="1"/>
      <w:numFmt w:val="bullet"/>
      <w:lvlText w:val="o"/>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OCPage">
    <w:name w:val="TOC Page"/>
    <w:basedOn w:val="Normal"/>
    <w:pPr>
      <w:keepNext/>
      <w:widowControl/>
      <w:spacing w:after="240"/>
      <w:jc w:val="right"/>
    </w:pPr>
    <w:rPr>
      <w:rFonts w:ascii="Arial" w:hAnsi="Arial"/>
      <w:b/>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Comma">
    <w:name w:val="EPComma"/>
    <w:basedOn w:val="Normal"/>
    <w:pPr>
      <w:widowControl/>
      <w:spacing w:before="480" w:after="240"/>
    </w:pPr>
  </w:style>
  <w:style w:type="paragraph" w:customStyle="1" w:styleId="NormalBold">
    <w:name w:val="NormalBold"/>
    <w:basedOn w:val="Normal"/>
    <w:pPr>
      <w:widowControl/>
    </w:pPr>
    <w:rPr>
      <w:b/>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CoverNormal12a">
    <w:name w:val="CoverNormal12a"/>
    <w:basedOn w:val="Normal"/>
    <w:pPr>
      <w:widowControl/>
      <w:spacing w:after="240"/>
      <w:ind w:left="1418"/>
    </w:pPr>
  </w:style>
  <w:style w:type="paragraph" w:customStyle="1" w:styleId="LegendSign">
    <w:name w:val="LegendSign"/>
    <w:basedOn w:val="Normal"/>
    <w:pPr>
      <w:widowControl/>
      <w:tabs>
        <w:tab w:val="right" w:pos="454"/>
        <w:tab w:val="left" w:pos="736"/>
      </w:tabs>
      <w:overflowPunct/>
      <w:ind w:left="736" w:hanging="736"/>
    </w:pPr>
    <w:rPr>
      <w:sz w:val="18"/>
    </w:rPr>
  </w:style>
  <w:style w:type="paragraph" w:customStyle="1" w:styleId="LegendStandard">
    <w:name w:val="LegendStandard"/>
    <w:basedOn w:val="LegendSign"/>
    <w:pPr>
      <w:widowControl/>
      <w:ind w:left="0" w:firstLine="0"/>
    </w:pPr>
  </w:style>
  <w:style w:type="paragraph" w:customStyle="1" w:styleId="LegendTitle">
    <w:name w:val="LegendTitle"/>
    <w:basedOn w:val="Normal"/>
    <w:pPr>
      <w:widowControl/>
      <w:spacing w:before="240" w:after="240"/>
    </w:pPr>
    <w:rPr>
      <w:b/>
      <w:i/>
    </w:rPr>
  </w:style>
  <w:style w:type="paragraph" w:styleId="TOC1">
    <w:name w:val="toc 1"/>
    <w:basedOn w:val="Normal12b"/>
    <w:next w:val="Normal12b"/>
    <w:autoRedefine/>
    <w:rsid w:val="00805BCE"/>
    <w:pPr>
      <w:widowControl/>
      <w:spacing w:after="240"/>
    </w:pPr>
  </w:style>
  <w:style w:type="character" w:customStyle="1" w:styleId="EPFooter2Motto">
    <w:name w:val="EPFooter2Motto"/>
    <w:rPr>
      <w:rFonts w:ascii="Arial" w:hAnsi="Arial"/>
      <w:b/>
      <w:i/>
      <w:color w:val="C0C0C0"/>
      <w:sz w:val="22"/>
    </w:rPr>
  </w:style>
  <w:style w:type="paragraph" w:customStyle="1" w:styleId="Normal12b">
    <w:name w:val="Normal12b"/>
    <w:basedOn w:val="Normal"/>
    <w:pPr>
      <w:widowControl/>
      <w:spacing w:before="240"/>
    </w:p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paragraph" w:customStyle="1" w:styleId="Normal12">
    <w:name w:val="Normal12"/>
    <w:basedOn w:val="Normal"/>
    <w:pPr>
      <w:widowControl/>
      <w:spacing w:after="240" w:line="240" w:lineRule="auto"/>
    </w:pPr>
    <w:rPr>
      <w:rFonts w:ascii="Times New Roman" w:eastAsia="Times New Roman" w:hAnsi="Times New Roman" w:cs="Times New Roman"/>
      <w:sz w:val="24"/>
    </w:rPr>
  </w:style>
  <w:style w:type="paragraph" w:customStyle="1" w:styleId="NormalHanging12a4">
    <w:name w:val="NormalHanging12a4"/>
    <w:basedOn w:val="NormalHanging12a3"/>
    <w:pPr>
      <w:widowControl/>
      <w:ind w:left="2268"/>
    </w:pPr>
  </w:style>
  <w:style w:type="paragraph" w:customStyle="1" w:styleId="NormalHanging12a5">
    <w:name w:val="NormalHanging12a5"/>
    <w:basedOn w:val="NormalHanging12a4"/>
    <w:pPr>
      <w:widowControl/>
      <w:ind w:left="2692"/>
    </w:pPr>
  </w:style>
  <w:style w:type="paragraph" w:customStyle="1" w:styleId="NormalHanging12a6">
    <w:name w:val="NormalHanging12a6"/>
    <w:basedOn w:val="NormalHanging12a5"/>
    <w:pPr>
      <w:widowControl/>
      <w:ind w:left="3118"/>
    </w:pPr>
  </w:style>
  <w:style w:type="paragraph" w:customStyle="1" w:styleId="NormalHanging12a7">
    <w:name w:val="NormalHanging12a7"/>
    <w:basedOn w:val="NormalHanging12a6"/>
    <w:pPr>
      <w:widowControl/>
      <w:ind w:left="3544"/>
    </w:pPr>
  </w:style>
  <w:style w:type="paragraph" w:customStyle="1" w:styleId="NormalHanging12a1">
    <w:name w:val="NormalHanging12a1"/>
    <w:basedOn w:val="Normal"/>
    <w:pPr>
      <w:widowControl/>
      <w:overflowPunct/>
      <w:spacing w:after="240" w:line="240" w:lineRule="auto"/>
      <w:ind w:left="992" w:hanging="424"/>
    </w:pPr>
    <w:rPr>
      <w:rFonts w:ascii="Times New Roman" w:eastAsia="Times New Roman" w:hAnsi="Times New Roman" w:cs="Times New Roman"/>
      <w:sz w:val="24"/>
    </w:rPr>
  </w:style>
  <w:style w:type="paragraph" w:customStyle="1" w:styleId="NormalHanging12a2">
    <w:name w:val="NormalHanging12a2"/>
    <w:basedOn w:val="NormalHanging12a1"/>
    <w:pPr>
      <w:widowControl/>
      <w:ind w:left="1416"/>
    </w:pPr>
  </w:style>
  <w:style w:type="paragraph" w:customStyle="1" w:styleId="NormalHanging12a3">
    <w:name w:val="NormalHanging12a3"/>
    <w:basedOn w:val="NormalHanging12a2"/>
    <w:pPr>
      <w:widowControl/>
      <w:ind w:left="1842"/>
    </w:p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character" w:customStyle="1" w:styleId="FooterChar">
    <w:name w:val="Footer Char"/>
    <w:rPr>
      <w:rFonts w:ascii="Times New Roman" w:eastAsia="Times New Roman" w:hAnsi="Times New Roman" w:cs="Times New Roman"/>
      <w:sz w:val="24"/>
    </w:rPr>
  </w:style>
  <w:style w:type="paragraph" w:customStyle="1" w:styleId="NormalBold12a">
    <w:name w:val="NormalBold12a"/>
    <w:basedOn w:val="Normal"/>
    <w:pPr>
      <w:widowControl/>
      <w:spacing w:after="240"/>
    </w:pPr>
    <w:rPr>
      <w:b/>
    </w:rPr>
  </w:style>
  <w:style w:type="paragraph" w:customStyle="1" w:styleId="NormalCenter12a">
    <w:name w:val="NormalCenter12a"/>
    <w:basedOn w:val="Normal"/>
    <w:pPr>
      <w:widowControl/>
      <w:spacing w:after="240"/>
      <w:jc w:val="center"/>
    </w:pPr>
  </w:style>
  <w:style w:type="paragraph" w:customStyle="1" w:styleId="Normal12BoldUnderline">
    <w:name w:val="Normal12BoldUnderline"/>
    <w:basedOn w:val="Normal"/>
    <w:pPr>
      <w:widowControl/>
      <w:spacing w:before="480"/>
    </w:pPr>
    <w:rPr>
      <w:b/>
      <w:u w:val="single"/>
    </w:rPr>
  </w:style>
  <w:style w:type="paragraph" w:customStyle="1" w:styleId="Normal12Bullet2">
    <w:name w:val="Normal12Bullet2"/>
    <w:basedOn w:val="Normal"/>
    <w:pPr>
      <w:widowControl/>
      <w:numPr>
        <w:numId w:val="2"/>
      </w:numPr>
    </w:pPr>
  </w:style>
  <w:style w:type="paragraph" w:customStyle="1" w:styleId="NormalHangingJustified">
    <w:name w:val="NormalHangingJustified"/>
    <w:basedOn w:val="Normal"/>
    <w:pPr>
      <w:widowControl/>
      <w:overflowPunct/>
      <w:spacing w:after="240"/>
      <w:ind w:left="714" w:hanging="356"/>
      <w:jc w:val="both"/>
    </w:p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6</Pages>
  <Words>1260</Words>
  <Characters>7676</Characters>
  <Application>Microsoft Office Word</Application>
  <DocSecurity>0</DocSecurity>
  <Lines>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1331649</vt:lpwstr>
  </property>
  <property fmtid="{D5CDD505-2E9C-101B-9397-08002B2CF9AE}" pid="4" name="&lt;Model&gt;">
    <vt:lpwstr>PR_INI</vt:lpwstr>
  </property>
  <property fmtid="{D5CDD505-2E9C-101B-9397-08002B2CF9AE}" pid="5" name="&lt;Type&gt;">
    <vt:lpwstr>PR</vt:lpwstr>
  </property>
  <property fmtid="{D5CDD505-2E9C-101B-9397-08002B2CF9AE}" pid="6" name="dmxml.render.id">
    <vt:lpwstr>301538</vt:lpwstr>
  </property>
  <property fmtid="{D5CDD505-2E9C-101B-9397-08002B2CF9AE}" pid="7" name="dmxml.render.traceId">
    <vt:lpwstr>69304ad3309d7c417590058bd0306e4e</vt:lpwstr>
  </property>
  <property fmtid="{D5CDD505-2E9C-101B-9397-08002B2CF9AE}" pid="8" name="FooterPath">
    <vt:lpwstr>PR\1331649RO.doc</vt:lpwstr>
  </property>
  <property fmtid="{D5CDD505-2E9C-101B-9397-08002B2CF9AE}" pid="9" name="PE Number">
    <vt:lpwstr>779.558</vt:lpwstr>
  </property>
  <property fmtid="{D5CDD505-2E9C-101B-9397-08002B2CF9AE}" pid="10" name="UID">
    <vt:lpwstr>eu.europa.europarl-DIN1-2025-0000214726_01.07-ro-01.00_text-xml</vt:lpwstr>
  </property>
</Properties>
</file>