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9.3 -->
  <w:body>
    <w:tbl>
      <w:tblPr>
        <w:jc w:val="left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488"/>
      </w:tblGrid>
      <w:tr>
        <w:tblPrEx>
          <w:jc w:val="left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 w:val="0"/>
          <w:trHeight w:hRule="exact" w:val="1420"/>
          <w:jc w:val="left"/>
        </w:trPr>
        <w:tc>
          <w:tcPr>
            <w:tcW w:w="6804" w:type="dxa"/>
            <w:vAlign w:val="center"/>
          </w:tcPr>
          <w:p>
            <w:pPr>
              <w:pStyle w:val="EPName"/>
            </w:pPr>
            <w:r w:rsidR="00A77B3E">
              <w:t>Европейски парламент</w:t>
            </w:r>
          </w:p>
          <w:p>
            <w:pPr>
              <w:pStyle w:val="EPTerm"/>
            </w:pPr>
            <w:r>
              <w:t>2019-2024</w:t>
            </w:r>
          </w:p>
        </w:tc>
        <w:tc>
          <w:tcPr>
            <w:tcW w:w="2488" w:type="dxa"/>
            <w:vAlign w:val="top"/>
          </w:tcPr>
          <w:p>
            <w:pPr>
              <w:pStyle w:val="EPLogo"/>
            </w:pPr>
            <w:r>
              <w:drawing>
                <wp:inline>
                  <wp:extent cx="1162812" cy="647954"/>
                  <wp:docPr id="10000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8022780" name="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812" cy="647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LineTop"/>
      </w:pPr>
    </w:p>
    <w:p>
      <w:pPr>
        <w:pStyle w:val="EPBody"/>
      </w:pPr>
      <w:r>
        <w:rPr>
          <w:rStyle w:val="HideTWBExt"/>
        </w:rPr>
        <w:t>&lt;</w:t>
      </w:r>
      <w:r>
        <w:rPr>
          <w:rStyle w:val="HideTWBExt"/>
        </w:rPr>
        <w:t>Commission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FEMM</w:t>
      </w:r>
      <w:r>
        <w:rPr>
          <w:rStyle w:val="HideTWBInt"/>
        </w:rPr>
        <w:t>}</w:t>
      </w:r>
      <w:r>
        <w:t>Комисия по правата на жените и равенството между половете</w:t>
      </w:r>
      <w:r>
        <w:rPr>
          <w:rStyle w:val="HideTWBExt"/>
        </w:rPr>
        <w:t>&lt;/</w:t>
      </w:r>
      <w:r>
        <w:rPr>
          <w:rStyle w:val="HideTWBExt"/>
        </w:rPr>
        <w:t>Commission</w:t>
      </w:r>
      <w:r>
        <w:rPr>
          <w:rStyle w:val="HideTWBExt"/>
        </w:rPr>
        <w:t>&gt;</w:t>
      </w:r>
    </w:p>
    <w:p>
      <w:pPr>
        <w:pStyle w:val="LineBottom"/>
      </w:pPr>
    </w:p>
    <w:p>
      <w:pPr>
        <w:pStyle w:val="CoverReference"/>
      </w:pPr>
      <w:r>
        <w:rPr>
          <w:rStyle w:val="HideTWBExt"/>
        </w:rPr>
        <w:t>&lt;</w:t>
      </w:r>
      <w:r>
        <w:rPr>
          <w:rStyle w:val="HideTWBExt"/>
        </w:rPr>
        <w:t>RefProc</w:t>
      </w:r>
      <w:r>
        <w:rPr>
          <w:rStyle w:val="HideTWBExt"/>
        </w:rPr>
        <w:t>&gt;</w:t>
      </w:r>
      <w:r>
        <w:t>2023/2115</w:t>
      </w:r>
      <w:r>
        <w:rPr>
          <w:rStyle w:val="HideTWBExt"/>
        </w:rPr>
        <w:t>&lt;/</w:t>
      </w:r>
      <w:r>
        <w:rPr>
          <w:rStyle w:val="HideTWBExt"/>
        </w:rPr>
        <w:t>RefProc</w:t>
      </w:r>
      <w:r>
        <w:rPr>
          <w:rStyle w:val="HideTWBExt"/>
        </w:rPr>
        <w:t>&gt;</w:t>
      </w:r>
      <w:r>
        <w:rPr>
          <w:rStyle w:val="HideTWBExt"/>
        </w:rPr>
        <w:t>&lt;</w:t>
      </w:r>
      <w:r>
        <w:rPr>
          <w:rStyle w:val="HideTWBExt"/>
        </w:rPr>
        <w:t>RefTypeProc</w:t>
      </w:r>
      <w:r>
        <w:rPr>
          <w:rStyle w:val="HideTWBExt"/>
        </w:rPr>
        <w:t>&gt;</w:t>
      </w:r>
      <w:r>
        <w:t>(INI)</w:t>
      </w:r>
      <w:r>
        <w:rPr>
          <w:rStyle w:val="HideTWBExt"/>
        </w:rPr>
        <w:t>&lt;/</w:t>
      </w:r>
      <w:r>
        <w:rPr>
          <w:rStyle w:val="HideTWBExt"/>
        </w:rPr>
        <w:t>RefTypeProc</w:t>
      </w:r>
      <w:r>
        <w:rPr>
          <w:rStyle w:val="HideTWBExt"/>
        </w:rPr>
        <w:t>&gt;</w:t>
      </w:r>
    </w:p>
    <w:p>
      <w:pPr>
        <w:pStyle w:val="CoverDate"/>
      </w:pPr>
      <w:r>
        <w:rPr>
          <w:rStyle w:val="HideTWBExt"/>
        </w:rPr>
        <w:t>&lt;</w:t>
      </w:r>
      <w:r>
        <w:rPr>
          <w:rStyle w:val="HideTWBExt"/>
        </w:rPr>
        <w:t>Date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14/09/2023</w:t>
      </w:r>
      <w:r>
        <w:rPr>
          <w:rStyle w:val="HideTWBInt"/>
        </w:rPr>
        <w:t>}</w:t>
      </w:r>
      <w:r>
        <w:t>14.9.2023</w:t>
      </w:r>
      <w:r>
        <w:rPr>
          <w:rStyle w:val="HideTWBExt"/>
        </w:rPr>
        <w:t>&lt;/</w:t>
      </w:r>
      <w:r>
        <w:rPr>
          <w:rStyle w:val="HideTWBExt"/>
        </w:rPr>
        <w:t>Date</w:t>
      </w:r>
      <w:r>
        <w:rPr>
          <w:rStyle w:val="HideTWBExt"/>
        </w:rPr>
        <w:t>&gt;</w:t>
      </w:r>
    </w:p>
    <w:p>
      <w:pPr>
        <w:pStyle w:val="CoverDocType24a"/>
      </w:pPr>
      <w:r>
        <w:rPr>
          <w:rStyle w:val="HideTWBExt"/>
        </w:rPr>
        <w:t>&lt;</w:t>
      </w:r>
      <w:r>
        <w:rPr>
          <w:rStyle w:val="HideTWBExt"/>
        </w:rPr>
        <w:t>TitreType</w:t>
      </w:r>
      <w:r>
        <w:rPr>
          <w:rStyle w:val="HideTWBExt"/>
        </w:rPr>
        <w:t>&gt;</w:t>
      </w:r>
      <w:r>
        <w:t>ПРОЕКТ НА ДОКЛАД</w:t>
      </w:r>
      <w:r>
        <w:rPr>
          <w:rStyle w:val="HideTWBExt"/>
        </w:rPr>
        <w:t>&lt;/</w:t>
      </w:r>
      <w:r>
        <w:rPr>
          <w:rStyle w:val="HideTWBExt"/>
        </w:rPr>
        <w:t>TitreType</w:t>
      </w:r>
      <w:r>
        <w:rPr>
          <w:rStyle w:val="HideTWBExt"/>
        </w:rPr>
        <w:t>&gt;</w:t>
      </w:r>
    </w:p>
    <w:p>
      <w:pPr>
        <w:pStyle w:val="CoverNormal"/>
      </w:pPr>
      <w:r>
        <w:rPr>
          <w:rStyle w:val="HideTWBExt"/>
        </w:rPr>
        <w:t>&lt;</w:t>
      </w:r>
      <w:r>
        <w:rPr>
          <w:rStyle w:val="HideTWBExt"/>
        </w:rPr>
        <w:t>Titre</w:t>
      </w:r>
      <w:r>
        <w:rPr>
          <w:rStyle w:val="HideTWBExt"/>
        </w:rPr>
        <w:t>&gt;</w:t>
      </w:r>
      <w:r>
        <w:t>относно свързаните с пола аспекти на увеличаващите се разходи за живот и въздействието на енергийната криза</w:t>
      </w:r>
      <w:r>
        <w:rPr>
          <w:rStyle w:val="HideTWBExt"/>
        </w:rPr>
        <w:t>&lt;/</w:t>
      </w:r>
      <w:r>
        <w:rPr>
          <w:rStyle w:val="HideTWBExt"/>
        </w:rPr>
        <w:t>Titre</w:t>
      </w:r>
      <w:r>
        <w:rPr>
          <w:rStyle w:val="HideTWBExt"/>
        </w:rPr>
        <w:t>&gt;</w:t>
      </w:r>
    </w:p>
    <w:p>
      <w:pPr>
        <w:pStyle w:val="CoverNormal24a"/>
      </w:pPr>
      <w:r>
        <w:rPr>
          <w:rStyle w:val="HideTWBExt"/>
        </w:rPr>
        <w:t>&lt;</w:t>
      </w:r>
      <w:r>
        <w:rPr>
          <w:rStyle w:val="HideTWBExt"/>
        </w:rPr>
        <w:t>DocRef</w:t>
      </w:r>
      <w:r>
        <w:rPr>
          <w:rStyle w:val="HideTWBExt"/>
        </w:rPr>
        <w:t>&gt;</w:t>
      </w:r>
      <w:r>
        <w:t>(2023/2115(INI))</w:t>
      </w:r>
      <w:r>
        <w:rPr>
          <w:rStyle w:val="HideTWBExt"/>
        </w:rPr>
        <w:t>&lt;/</w:t>
      </w:r>
      <w:r>
        <w:rPr>
          <w:rStyle w:val="HideTWBExt"/>
        </w:rPr>
        <w:t>DocRef</w:t>
      </w:r>
      <w:r>
        <w:rPr>
          <w:rStyle w:val="HideTWBExt"/>
        </w:rPr>
        <w:t>&gt;</w:t>
      </w:r>
    </w:p>
    <w:p>
      <w:pPr>
        <w:pStyle w:val="CoverNormal24a"/>
      </w:pPr>
      <w:r>
        <w:rPr>
          <w:rStyle w:val="HideTWBExt"/>
        </w:rPr>
        <w:t>&lt;</w:t>
      </w:r>
      <w:r>
        <w:rPr>
          <w:rStyle w:val="HideTWBExt"/>
        </w:rPr>
        <w:t>Commission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FEMM</w:t>
      </w:r>
      <w:r>
        <w:rPr>
          <w:rStyle w:val="HideTWBInt"/>
        </w:rPr>
        <w:t>}</w:t>
      </w:r>
      <w:r>
        <w:t>Комисия по правата на жените и равенството между половете</w:t>
      </w:r>
      <w:r>
        <w:rPr>
          <w:rStyle w:val="HideTWBExt"/>
        </w:rPr>
        <w:t>&lt;/</w:t>
      </w:r>
      <w:r>
        <w:rPr>
          <w:rStyle w:val="HideTWBExt"/>
        </w:rPr>
        <w:t>Commission</w:t>
      </w:r>
      <w:r>
        <w:rPr>
          <w:rStyle w:val="HideTWBExt"/>
        </w:rPr>
        <w:t>&gt;</w:t>
      </w:r>
    </w:p>
    <w:p>
      <w:pPr>
        <w:pStyle w:val="CoverNormal24a"/>
      </w:pPr>
      <w:r>
        <w:t>Докладчик</w:t>
      </w:r>
      <w:r>
        <w:t xml:space="preserve">: </w:t>
      </w:r>
      <w:r>
        <w:rPr>
          <w:rStyle w:val="HideTWBExt"/>
        </w:rPr>
        <w:t>&lt;</w:t>
      </w:r>
      <w:r>
        <w:rPr>
          <w:rStyle w:val="HideTWBExt"/>
        </w:rPr>
        <w:t>Depute</w:t>
      </w:r>
      <w:r>
        <w:rPr>
          <w:rStyle w:val="HideTWBExt"/>
        </w:rPr>
        <w:t>&gt;</w:t>
      </w:r>
      <w:r>
        <w:t>Alice Kuhnke</w:t>
      </w:r>
      <w:r>
        <w:rPr>
          <w:rStyle w:val="HideTWBExt"/>
        </w:rPr>
        <w:t>&lt;/</w:t>
      </w:r>
      <w:r>
        <w:rPr>
          <w:rStyle w:val="HideTWBExt"/>
        </w:rPr>
        <w:t>Depute</w:t>
      </w:r>
      <w:r>
        <w:rPr>
          <w:rStyle w:val="HideTWBExt"/>
        </w:rPr>
        <w:t>&gt;</w:t>
      </w:r>
    </w:p>
    <w:p>
      <w:r>
        <w:br w:type="page"/>
      </w:r>
      <w:r>
        <w:t>PR_INI</w:t>
      </w:r>
    </w:p>
    <w:p>
      <w:pPr>
        <w:pStyle w:val="TOCHeading"/>
      </w:pPr>
      <w:r>
        <w:t>СЪДЪРЖАНИЕ</w:t>
      </w:r>
    </w:p>
    <w:p>
      <w:pPr>
        <w:pStyle w:val="TOCPage"/>
      </w:pPr>
      <w:r>
        <w:t>Страница</w:t>
      </w:r>
    </w:p>
    <w:p>
      <w:pPr>
        <w:pStyle w:val="TOC1"/>
        <w:tabs>
          <w:tab w:val="right" w:leader="dot" w:pos="9062"/>
        </w:tabs>
        <w:rPr>
          <w:rFonts w:ascii="Calibri" w:hAnsi="Calibri"/>
          <w:noProof/>
          <w:sz w:val="22"/>
        </w:rPr>
      </w:pPr>
      <w:r>
        <w:fldChar w:fldCharType="begin"/>
      </w:r>
      <w:r>
        <w:instrText>TOC \t "PageHeading"</w:instrText>
      </w:r>
      <w:r>
        <w:fldChar w:fldCharType="separate"/>
      </w:r>
      <w:r>
        <w:t>ПРЕДЛОЖЕНИЕ ЗА РЕЗОЛЮЦИЯ НА ЕВРОПЕЙСКИЯ ПАРЛАМЕНТ</w:t>
      </w:r>
      <w:r>
        <w:tab/>
      </w:r>
      <w:r>
        <w:fldChar w:fldCharType="begin"/>
      </w:r>
      <w:r>
        <w:instrText xml:space="preserve"> PAGEREF _Toc256000002 \h </w:instrText>
      </w:r>
      <w:r>
        <w:fldChar w:fldCharType="separate"/>
      </w:r>
      <w:r>
        <w:t>3</w:t>
      </w:r>
      <w:r>
        <w:fldChar w:fldCharType="end"/>
      </w:r>
    </w:p>
    <w:p>
      <w:pPr>
        <w:pStyle w:val="TOC1"/>
        <w:tabs>
          <w:tab w:val="right" w:leader="dot" w:pos="9062"/>
        </w:tabs>
        <w:rPr>
          <w:rFonts w:ascii="Calibri" w:hAnsi="Calibri"/>
          <w:noProof/>
          <w:sz w:val="22"/>
        </w:rPr>
      </w:pPr>
      <w:r>
        <w:t>ИЗЛОЖЕНИЕ НА МОТИВИТЕ</w:t>
      </w:r>
      <w:r>
        <w:tab/>
      </w:r>
      <w:r>
        <w:fldChar w:fldCharType="begin"/>
      </w:r>
      <w:r>
        <w:instrText xml:space="preserve"> PAGEREF _Toc256000003 \h </w:instrText>
      </w:r>
      <w:r>
        <w:fldChar w:fldCharType="separate"/>
      </w:r>
      <w:r>
        <w:t>10</w:t>
      </w:r>
      <w:r>
        <w:fldChar w:fldCharType="end"/>
      </w:r>
    </w:p>
    <w:p>
      <w:pPr>
        <w:pStyle w:val="Normal12b"/>
      </w:pPr>
      <w:r>
        <w:fldChar w:fldCharType="end"/>
      </w:r>
    </w:p>
    <w:p>
      <w:pPr>
        <w:pStyle w:val="CoverNormalLeft"/>
      </w:pPr>
    </w:p>
    <w:p>
      <w:pPr>
        <w:pStyle w:val="CoverNormalLeft"/>
        <w:sectPr>
          <w:footerReference w:type="even" r:id="rId6"/>
          <w:footerReference w:type="default" r:id="rId7"/>
          <w:footerReference w:type="first" r:id="rId8"/>
          <w:footnotePr>
            <w:numRestart w:val="eachSect"/>
          </w:footnotePr>
          <w:pgSz w:w="11906" w:h="16838"/>
          <w:pgMar w:top="1134" w:right="1417" w:bottom="1417" w:left="1417" w:header="1134" w:footer="567" w:gutter="0"/>
          <w:cols w:num="1" w:space="708"/>
          <w:titlePg/>
          <w:docGrid w:linePitch="360"/>
        </w:sectPr>
      </w:pPr>
      <w:r>
        <w:br w:type="page"/>
      </w:r>
    </w:p>
    <w:p>
      <w:pPr>
        <w:pStyle w:val="PageHeading"/>
      </w:pPr>
      <w:bookmarkStart w:id="0" w:name="_Toc256000002"/>
      <w:r>
        <w:t>ПРЕДЛОЖЕНИЕ ЗА РЕЗОЛЮЦИЯ НА ЕВРОПЕЙСКИЯ ПАРЛАМЕНТ</w:t>
      </w:r>
      <w:bookmarkEnd w:id="0"/>
    </w:p>
    <w:p>
      <w:pPr>
        <w:pStyle w:val="NormalBold"/>
      </w:pPr>
      <w:r>
        <w:t>относно свързаните с пола аспекти на увеличаващите се разходи за живот и въздействието на енергийната криза</w:t>
      </w:r>
    </w:p>
    <w:p>
      <w:pPr>
        <w:pStyle w:val="NormalBold"/>
      </w:pPr>
      <w:r>
        <w:t>(2023/2115(INI))</w:t>
      </w:r>
    </w:p>
    <w:p>
      <w:pPr>
        <w:pStyle w:val="EPComma"/>
      </w:pPr>
      <w:r>
        <w:rPr>
          <w:rStyle w:val="Italic"/>
        </w:rPr>
        <w:t>Европейският парламент</w:t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член 2, член 3, параграф 1 и член 3, параграф 3 от Договора за Европейския съюз,</w:t>
      </w:r>
    </w:p>
    <w:p>
      <w:pPr>
        <w:pStyle w:val="NormalHanging12a"/>
      </w:pPr>
      <w:r>
        <w:t>–</w:t>
      </w:r>
      <w:r>
        <w:tab/>
      </w:r>
      <w:r>
        <w:t>като взе предвид членове 8, 9, 10, 119, 122, 127, 151, 153, параграф 2, 156, 157, 191 и 194 от Договора за функционирането на Европейския съюз,</w:t>
      </w:r>
    </w:p>
    <w:p>
      <w:pPr>
        <w:pStyle w:val="NormalHanging12a"/>
      </w:pPr>
      <w:r>
        <w:t>–</w:t>
      </w:r>
      <w:r>
        <w:tab/>
      </w:r>
      <w:r>
        <w:t>като взе предвид Хартата на основните права на Европейския съюз, и по-конкретно нейните разпоредби относно социалните права и равенството между мъжете и жените,</w:t>
      </w:r>
    </w:p>
    <w:p>
      <w:pPr>
        <w:pStyle w:val="NormalHanging12a"/>
      </w:pPr>
      <w:r>
        <w:t>–</w:t>
      </w:r>
      <w:r>
        <w:tab/>
      </w:r>
      <w:r>
        <w:t>като взе предвид Програмата на ООН до 2030 г. за устойчиво развитие, заложения в нея принцип „да не се пренебрегва никой“, по-специално цел за устойчиво развитие № 1 (да се сложи край на бедността), цел № 5 (да се постигне равенство между половете и да се подобрят условията на живот на жените) и цел № 8 (да се постигне устойчив икономически растеж),</w:t>
      </w:r>
    </w:p>
    <w:p>
      <w:pPr>
        <w:pStyle w:val="NormalHanging12a"/>
      </w:pPr>
      <w:r>
        <w:t>–</w:t>
      </w:r>
      <w:r>
        <w:tab/>
      </w:r>
      <w:r>
        <w:t>като взе предвид съобщението на Комисията от 5 март 2020 г., озаглавено „Съюз на равенство: Стратегия за равенство между половете (2020 – 2025 г.)“ (COM(2020)0152)</w:t>
      </w:r>
      <w:r>
        <w:rPr>
          <w:rStyle w:val="FootnoteReference"/>
        </w:rPr>
        <w:footnoteReference w:id="0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Версайската декларация на държавните и правителствените ръководители от 11 март 2022 г., по-специално ангажимента да „подобрим продоволствената си сигурност, като намалим нашата зависимост от ключови вносни селскостопански продукти и суровини, включително чрез увеличаване на производството в ЕС на растителни протеини“,</w:t>
      </w:r>
    </w:p>
    <w:p>
      <w:pPr>
        <w:pStyle w:val="NormalHanging12a"/>
      </w:pPr>
      <w:r>
        <w:t>–</w:t>
      </w:r>
      <w:r>
        <w:tab/>
      </w:r>
      <w:r>
        <w:t>като взе предвид Директива 2009/73/ЕО на Европейския парламент и на Съвета от 13 юли 2009 г. относно общите правила за вътрешния пазар на природен газ и за отмяна на Директива 2003/55/ЕО</w:t>
      </w:r>
      <w:r>
        <w:rPr>
          <w:rStyle w:val="FootnoteReference"/>
        </w:rPr>
        <w:footnoteReference w:id="1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Директива 2012/27/ЕС на Европейския парламент и на Съвета от 25 октомври 2012 г. относно енергийната ефективност, за изменение на директиви 2009/125/ЕО и 2010/30/ЕС и за отмяна на директиви 2004/8/ЕО и 2006/32/ЕО</w:t>
      </w:r>
      <w:r>
        <w:rPr>
          <w:rStyle w:val="FootnoteReference"/>
        </w:rPr>
        <w:footnoteReference w:id="2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Директива (ЕС) 2018/2001 на Европейския парламент и на Съвета от 11 декември 2018 г. за насърчаване използването на енергия от възобновяеми източници</w:t>
      </w:r>
      <w:r>
        <w:rPr>
          <w:rStyle w:val="FootnoteReference"/>
        </w:rPr>
        <w:footnoteReference w:id="3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Директива (ЕС) 2019/944 на Европейския парламент и на Съвета от 5 юни 2019 г. относно общите правила за вътрешния пазар на електроенергия и за изменение на Директива 2012/27/ЕС</w:t>
      </w:r>
      <w:r>
        <w:rPr>
          <w:rStyle w:val="FootnoteReference"/>
        </w:rPr>
        <w:footnoteReference w:id="4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Регламент (ЕС) 2021/241 на Европейския парламент и на Съвета от 12 февруари 2021 г. за създаване на Механизъм за възстановяване и устойчивост</w:t>
      </w:r>
      <w:r>
        <w:rPr>
          <w:rStyle w:val="FootnoteReference"/>
        </w:rPr>
        <w:footnoteReference w:id="5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Директива (ЕС) 2023/970 на Европейския парламент и на Съвета от 10 май 2023 година за укрепване прилагането на принципа на равно заплащане на жените и мъжете за равен труд или за труд с равна стойност чрез прозрачност в заплащането и механизми за прилагане</w:t>
      </w:r>
      <w:r>
        <w:rPr>
          <w:rStyle w:val="FootnoteReference"/>
        </w:rPr>
        <w:footnoteReference w:id="6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все предвид своята резолюция от 19 май 2022 г. относно социалните и икономическите последици за ЕС от войната на Русия в Украйна — укрепване на капацитета на ЕС за действие</w:t>
      </w:r>
      <w:r>
        <w:rPr>
          <w:rStyle w:val="FootnoteReference"/>
        </w:rPr>
        <w:footnoteReference w:id="7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своята резолюция от 5 юли 2022 г. относно бедността сред жените в Европа</w:t>
      </w:r>
      <w:r>
        <w:rPr>
          <w:rStyle w:val="FootnoteReference"/>
        </w:rPr>
        <w:footnoteReference w:id="8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Специалния доклад на Европейската сметна палата от 26 май 2021 г., озаглавен „Интегриране на принципа на равенство между половете в бюджета на ЕС: време е да превърнем думите в дела“</w:t>
      </w:r>
      <w:r>
        <w:rPr>
          <w:rStyle w:val="FootnoteReference"/>
        </w:rPr>
        <w:footnoteReference w:id="9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Препоръка (ЕС) 2020/1563 на Комисията от 14 октомври 2020 г. относно енергийната бедност</w:t>
      </w:r>
      <w:r>
        <w:rPr>
          <w:rStyle w:val="FootnoteReference"/>
        </w:rPr>
        <w:footnoteReference w:id="10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данните на Международната агенция по енергетика относно цените на енергията при крайното потребление и съответните данъци</w:t>
      </w:r>
      <w:r>
        <w:rPr>
          <w:rStyle w:val="FootnoteReference"/>
        </w:rPr>
        <w:footnoteReference w:id="11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доклада на Международния валутен фонд от октомври 2022 г., озаглавен The Fog of War Clouds the European Outlook (Мъглата на войната помрачава европейската перспектива)</w:t>
      </w:r>
      <w:r>
        <w:rPr>
          <w:rStyle w:val="FootnoteReference"/>
        </w:rPr>
        <w:footnoteReference w:id="12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проучването на Евростат от 2022 г., озаглавено Living conditions in Europe (Условия на живот в Европа)</w:t>
      </w:r>
      <w:r>
        <w:rPr>
          <w:rStyle w:val="FootnoteReference"/>
        </w:rPr>
        <w:footnoteReference w:id="13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информационно-аналитичния документ на Евростат от 10 февруари 2022 г., озаглавен Energy prices on the rise in the euro area in 2021 (Цените на енергията в еврозоната се покачват през 2021 г.)</w:t>
      </w:r>
      <w:r>
        <w:rPr>
          <w:rStyle w:val="FootnoteReference"/>
        </w:rPr>
        <w:footnoteReference w:id="14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доклада на Eurofound от 28 октомври 2022 г., озаглавен The cost-of-living crisis and energy poverty in the EU: social impact and policy responses – Background paper (Кризата с разходите за живот и енергийната бедност в ЕС: социално въздействие и ответни мерки на политиката – информационен документ)</w:t>
      </w:r>
      <w:r>
        <w:rPr>
          <w:rStyle w:val="FootnoteReference"/>
        </w:rPr>
        <w:footnoteReference w:id="15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индексите за равенството между половете за 2021 и 2022 г. на Европейския институт за равенство между половете</w:t>
      </w:r>
      <w:r>
        <w:rPr>
          <w:rStyle w:val="FootnoteReference"/>
        </w:rPr>
        <w:footnoteReference w:id="16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проучването на Евробарометър от есента на 2022 г.</w:t>
      </w:r>
      <w:r>
        <w:rPr>
          <w:rStyle w:val="FootnoteReference"/>
        </w:rPr>
        <w:footnoteReference w:id="17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проучването, озаглавено Gender perspective on access to energy in the EU (Свързани с пола аспекти относно достъпа до енергия в ЕС), публикувано от неговата Генерална дирекция по вътрешни политики на ЕС на18 декември 2017 г.</w:t>
      </w:r>
      <w:r>
        <w:rPr>
          <w:rStyle w:val="FootnoteReference"/>
        </w:rPr>
        <w:footnoteReference w:id="18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прегледа, озаглавен Gender Aspects of Energy Poverty (Свързани с пола аспекти на енергийната бедност), публикуван от Генералната дирекция за вътрешни политики на ЕС на 1 март 2023 г.</w:t>
      </w:r>
      <w:r>
        <w:rPr>
          <w:rStyle w:val="FootnoteReference"/>
        </w:rPr>
        <w:footnoteReference w:id="19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проучването, озаглавено The Gender Dimension and Impact of the Fit for 55 Package (Измерението, свързано с равенството между половете, и въздействието на пакета „Подготвени за цел 55“), публикувано от неговата Генерална дирекция по вътрешни политики на ЕС на 6 декември 2022 г.</w:t>
      </w:r>
      <w:r>
        <w:rPr>
          <w:rStyle w:val="FootnoteReference"/>
        </w:rPr>
        <w:footnoteReference w:id="20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прегледа, озаглавен Energy poverty in the EU (Енергийната бедност в ЕС), публикуван от Генерална дирекция за парламентарни изследвания на 18 септември 2023 г.</w:t>
      </w:r>
      <w:r>
        <w:rPr>
          <w:rStyle w:val="FootnoteReference"/>
        </w:rPr>
        <w:footnoteReference w:id="21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становището на комисията по правата на жените и равенството между половете от 12 май 2022 г. относно предложението за директива на Европейския парламент и на Съвета относно енергийната ефективност,</w:t>
      </w:r>
    </w:p>
    <w:p>
      <w:pPr>
        <w:pStyle w:val="NormalHanging12a"/>
      </w:pPr>
      <w:r>
        <w:t>–</w:t>
      </w:r>
      <w:r>
        <w:tab/>
      </w:r>
      <w:r>
        <w:t>като взе предвид доклада на комисията по развитие от 7 април 2021 г. относно въздействието на изменението на климата върху уязвимото население в развиващите се държави и становището на комисията по правата на жените и равенството между половете от 2 октомври 2020 г.,</w:t>
      </w:r>
    </w:p>
    <w:p>
      <w:pPr>
        <w:pStyle w:val="NormalHanging12a"/>
      </w:pPr>
      <w:r>
        <w:t>–</w:t>
      </w:r>
      <w:r>
        <w:tab/>
      </w:r>
      <w:r>
        <w:t>като взе предвид своята резолюция от 10 февруари 2021 г. относно намаляването на неравенството със специален акцент върху бедността сред работещите</w:t>
      </w:r>
      <w:r>
        <w:rPr>
          <w:rStyle w:val="FootnoteReference"/>
        </w:rPr>
        <w:footnoteReference w:id="22"/>
      </w:r>
      <w:r>
        <w:t>,</w:t>
      </w:r>
    </w:p>
    <w:p>
      <w:pPr>
        <w:pStyle w:val="NormalHanging12a"/>
      </w:pPr>
      <w:r>
        <w:t>–</w:t>
      </w:r>
      <w:r>
        <w:tab/>
      </w:r>
      <w:r>
        <w:t>като взе предвид член 54 от своя Правилник за дейността,</w:t>
      </w:r>
    </w:p>
    <w:p>
      <w:pPr>
        <w:pStyle w:val="NormalHanging12a"/>
      </w:pPr>
      <w:r>
        <w:t>–</w:t>
      </w:r>
      <w:r>
        <w:tab/>
      </w:r>
      <w:r>
        <w:t>като взе предвид доклада на комисията по правата на жените и равенството между половете (A9-0000/2023),</w:t>
      </w:r>
    </w:p>
    <w:p>
      <w:pPr>
        <w:pStyle w:val="NormalHanging12a"/>
      </w:pPr>
      <w:r>
        <w:t>А.</w:t>
      </w:r>
      <w:r>
        <w:tab/>
      </w:r>
      <w:r>
        <w:t>като има предвид, че от 2021 г. насам инфлацията рязко нараства – главно поради високите разходи за енергия и храни – и се изостря от необоснованата агресивна война срещу Украйна; като има предвид, че не се очаква заплатите да се повишат толкова бързо, колкото инфлацията, което създава криза, свързана с разходите за живот; като има предвид, че тази криза сериозно застрашава поминъка, здравето, благосъстоянието и достъпа до жилищно настаняване на жените, като същевременно ограничава покупателната им способност и способността им да предоставят храна;</w:t>
      </w:r>
    </w:p>
    <w:p>
      <w:pPr>
        <w:pStyle w:val="NormalHanging12a"/>
      </w:pPr>
      <w:r>
        <w:t>Б.</w:t>
      </w:r>
      <w:r>
        <w:tab/>
      </w:r>
      <w:r>
        <w:t>като има предвид, че през март 2022 г. Комисията прие поредица от мерки след Версайската декларация, насочени към подпомагане на селскостопанското производство на Украйна, укрепване на устойчивостта на ЕС и смекчаване на скока в цените на храните за европейските потребители;</w:t>
      </w:r>
    </w:p>
    <w:p>
      <w:pPr>
        <w:pStyle w:val="NormalHanging12a"/>
      </w:pPr>
      <w:r>
        <w:t>В.</w:t>
      </w:r>
      <w:r>
        <w:tab/>
      </w:r>
      <w:r>
        <w:t>като има предвид, че жените в цялото им многообразие са непропорционално засегнати от последиците от кризата, свързана с разходите за живот, тъй като те обикновено са сред най-бедната част от населението, често имат несигурни работни места, имат по-ниски доходи в резултат на разликите в заплащането и пенсиите и все още се очаква да извършват по-голямата част от неплатения труд по полагане на грижи, поради което разполагат с по-малко ресурси, за да се защитят от отрицателното въздействие на кризата;</w:t>
      </w:r>
    </w:p>
    <w:p>
      <w:pPr>
        <w:pStyle w:val="NormalHanging12a"/>
      </w:pPr>
      <w:r>
        <w:t>Г.</w:t>
      </w:r>
      <w:r>
        <w:tab/>
      </w:r>
      <w:r>
        <w:t>като има предвид, че изменението на климата и свързаните с климата бедствия изострят кризата, свързана с разходите за живот, и риска от бедност; като има предвид, че групите, които са вече маргинализирани, са най-силно засегнати от нестабилността на енергийната система с изкопаеми горива, а енергийните дружества и дружествата на хранителното-вкусовата промишленост реализират рекордни печалби;</w:t>
      </w:r>
    </w:p>
    <w:p>
      <w:pPr>
        <w:pStyle w:val="NormalHanging12a"/>
      </w:pPr>
      <w:r>
        <w:t>Д.</w:t>
      </w:r>
      <w:r>
        <w:tab/>
      </w:r>
      <w:r>
        <w:t>като има предвид, че енергийната бедност представлява огромно предизвикателство за ЕС, тъй като между 50 и 125 милиона души не са в състояние да си позволят да поддържат подходяща температура в своите домове;</w:t>
      </w:r>
    </w:p>
    <w:p>
      <w:pPr>
        <w:pStyle w:val="NormalHanging12a"/>
      </w:pPr>
      <w:r>
        <w:t>Е.</w:t>
      </w:r>
      <w:r>
        <w:tab/>
      </w:r>
      <w:r>
        <w:t>като има предвид, че жените, особено самотните родители и тези, които са подложени на комбинирана дискриминация въз основа на етническа принадлежност, раса, миграционен статут, сексуална ориентация, увреждане или възраст, е по-вероятно да изпаднат в енергийна бедност; като има предвид, че това означава, че настоящата криза, свързана с разходите за живот, ще изостри свързаната с пола енергийна бедност в ЕС;</w:t>
      </w:r>
    </w:p>
    <w:p>
      <w:pPr>
        <w:pStyle w:val="NormalHanging12a"/>
      </w:pPr>
      <w:r>
        <w:t>Ж.</w:t>
      </w:r>
      <w:r>
        <w:tab/>
      </w:r>
      <w:r>
        <w:t>като има предвид, че няма достатъчно осведоменост и данни относно въздействието на енергийната бедност върху жените в ЕС; като има предвид, че Обсерваторията на ЕС на енергийната бедност не предоставя разбити по полов признак данни в своя публично достъпен набор от показатели; като има предвид, че само няколко държави членки са приели определения и показатели за енергийна бедност, които обикновено не отчитат пола;</w:t>
      </w:r>
    </w:p>
    <w:p>
      <w:pPr>
        <w:pStyle w:val="NormalHanging12a"/>
      </w:pPr>
      <w:r>
        <w:t>З.</w:t>
      </w:r>
      <w:r>
        <w:tab/>
      </w:r>
      <w:r>
        <w:t>като има предвид, че Комисията не е изпълнила ангажимента си, определен в стратегията за равенство между половете, да интегрира свързаните с пола аспекти във всички основни инициативи на Комисията, включително Европейския зелен пакт и свързаните с него политики;</w:t>
      </w:r>
    </w:p>
    <w:p>
      <w:pPr>
        <w:pStyle w:val="NormalHanging12a"/>
      </w:pPr>
      <w:r>
        <w:t>И.</w:t>
      </w:r>
      <w:r>
        <w:tab/>
      </w:r>
      <w:r>
        <w:t>като има предвид, че съгласно Договорите Комисията е задължена да насърчава равенството между половете; като има предвид обаче, че според Европейската сметна палата свързаните с пола аспекти не са интегрирани в бюджета на ЕС;</w:t>
      </w:r>
    </w:p>
    <w:p>
      <w:pPr>
        <w:pStyle w:val="NormalHanging12a"/>
      </w:pPr>
      <w:r>
        <w:t>Й.</w:t>
      </w:r>
      <w:r>
        <w:tab/>
      </w:r>
      <w:r>
        <w:t>като има предвид, че опасенията, свързани с равенството между половете, до голяма степен не са обхванати от стълбовете за екологичен преход и цифрова трансформация на Механизма за възстановяване и устойчивост, което представлява пропусната възможност за ефективно интегриране на равенството между половете в целите в областта на климата и околната среда;</w:t>
      </w:r>
    </w:p>
    <w:p>
      <w:pPr>
        <w:pStyle w:val="NormalHanging12a"/>
      </w:pPr>
      <w:r>
        <w:t>К.</w:t>
      </w:r>
      <w:r>
        <w:tab/>
      </w:r>
      <w:r>
        <w:t>като има предвид, че в политиките и мерките на държавите членки и на ЕС, насочени към противодействие и смекчаване на последиците от кризата, свързана с разходите за живот, липсват свързаните с пола аспекти; като има предвид, че около две трети от мерките, въведени от държавите членки за смекчаване на покачващата се инфлация, не са насочени към конкретни групи в уязвимо положение, а предоставят само краткосрочни решения вместо действия, които да допринесат за социално справедлив и екологичен преход;</w:t>
      </w:r>
    </w:p>
    <w:p>
      <w:pPr>
        <w:pStyle w:val="Normal12a24b"/>
      </w:pPr>
      <w:r>
        <w:rPr>
          <w:rStyle w:val="BoldItalic"/>
        </w:rPr>
        <w:t>Феминизиране на енергийната бедност и съобразени с равенството между половете действия в отговор на кризата</w:t>
      </w:r>
    </w:p>
    <w:p>
      <w:pPr>
        <w:pStyle w:val="NormalHanging12a"/>
      </w:pPr>
      <w:r>
        <w:t>1.</w:t>
      </w:r>
      <w:r>
        <w:tab/>
      </w:r>
      <w:r>
        <w:t>призовава Комисията да изпълни ангажимента, поет от председателя Фон дер Лайен, за насърчаване на равенството между половете във всички политики; призовава за Европейски зелен пакт и справедлив и социално приемлив преход, които да са от полза всички, като се разработи междусекторна стратегия с трансформиращ ефект за равенството между половете с цел справяне с енергийната бедност, както и като се увеличат публичните инвестиции в социални, финансово достъпни и енергийно ефективни жилища;</w:t>
      </w:r>
    </w:p>
    <w:p>
      <w:pPr>
        <w:pStyle w:val="NormalHanging12a"/>
      </w:pPr>
      <w:r>
        <w:t>2.</w:t>
      </w:r>
      <w:r>
        <w:tab/>
      </w:r>
      <w:r>
        <w:t>призовава държавите членки и ЕС спешно да гарантират финансово достъпни комунални услуги и храна за домакинствата с ниски доходи, по-специално за тези, които са изправени пред комбинирана дискриминация; подчертава, че никой не следва да страда от студа през зимата или високите температури през летните месеци, и призовава държавите членки и ЕС да забранят прекъсването на електроснабдяването;</w:t>
      </w:r>
    </w:p>
    <w:p>
      <w:pPr>
        <w:pStyle w:val="NormalHanging12a"/>
      </w:pPr>
      <w:r>
        <w:t>3.</w:t>
      </w:r>
      <w:r>
        <w:tab/>
      </w:r>
      <w:r>
        <w:t>призовава държавите членки да увеличат публичните инвестиции в политики, които пряко или косвено имат за цел да противодействат на отрицателните последици от свързаната с разходите за живот криза върху жените в цялото им многообразие, да гарантират достъп до висококачествени обществени услуги за грижи, образование, жилищно настаняване и здравеопазване, включително сексуално и репродуктивно здраве и права, както и да защитават жертвите на насилие, основано на пола;</w:t>
      </w:r>
    </w:p>
    <w:p>
      <w:pPr>
        <w:pStyle w:val="NormalHanging12a"/>
      </w:pPr>
      <w:r>
        <w:t>4.</w:t>
      </w:r>
      <w:r>
        <w:tab/>
      </w:r>
      <w:r>
        <w:t>призовава Комисията да направи оценка и по целесъобразност да предложи нови законодателни актове, за да се противодейства на финансиализацията на жилищните пазари и да се попречи на спекулантите да направят жилищата финансово недостъпни;</w:t>
      </w:r>
    </w:p>
    <w:p>
      <w:pPr>
        <w:pStyle w:val="NormalHanging12a"/>
      </w:pPr>
      <w:r>
        <w:t>5.</w:t>
      </w:r>
      <w:r>
        <w:tab/>
      </w:r>
      <w:r>
        <w:t>подчертава, че достъпът до електричество играе основна роля за намаляване на бедността и за гарантиране на пълноценно и равноправно участие в обществото; призовава ЕС и държавите членки да признаят правото на енергия;</w:t>
      </w:r>
    </w:p>
    <w:p>
      <w:pPr>
        <w:pStyle w:val="NormalHanging12a"/>
      </w:pPr>
      <w:r>
        <w:t>6.</w:t>
      </w:r>
      <w:r>
        <w:tab/>
      </w:r>
      <w:r>
        <w:t>призовава Генерална дирекция „Енергетика“ на Комисията да разработи план за действие относно равенството между половете, който да гарантира, че цялото законодателство на ЕС в областта на енергетиката, включително правото на споделяне на енергия, посочено в Директива (ЕС) 2018/2001, включва свързаното с равенството между половете измерение и разработва специфични мерки и целеви средства за борба с феминизирането на енергийната бедност;</w:t>
      </w:r>
    </w:p>
    <w:p>
      <w:pPr>
        <w:pStyle w:val="NormalHanging12a"/>
      </w:pPr>
      <w:r>
        <w:t>7.</w:t>
      </w:r>
      <w:r>
        <w:tab/>
      </w:r>
      <w:r>
        <w:t>призовава Комисията и държавите членки да гарантират включването на свързаните с пола и междусекторните измерения във всички схеми за енергийна ефективност и електроенергия от възобновяеми източници, така че да се подкрепят гражданите, които са най-силно засегнати от енергийна бедност;</w:t>
      </w:r>
    </w:p>
    <w:p>
      <w:pPr>
        <w:pStyle w:val="NormalHanging12a"/>
      </w:pPr>
      <w:r>
        <w:t>8.</w:t>
      </w:r>
      <w:r>
        <w:tab/>
      </w:r>
      <w:r>
        <w:t>призовава Комисията и държавите членки да поискат от Евростат разбити по полов признак данни относно енергийната бедност; във връзка с това призовава Обсерваторията на ЕС на енергийната бедност да използва тези данни за разработване и подбор на специфични за пола показатели, които да позволят разработването на основани на факти политики в тази област, като се консултира с Европейския институт за равенство между половете, Агенцията на Европейския съюз за основните права и Европейската агенция за околна среда;</w:t>
      </w:r>
    </w:p>
    <w:p>
      <w:pPr>
        <w:pStyle w:val="NormalHanging12a"/>
      </w:pPr>
      <w:r>
        <w:t>9.</w:t>
      </w:r>
      <w:r>
        <w:tab/>
      </w:r>
      <w:r>
        <w:t>призовава Комисията да изисква от държавите членки да извършват оценки на въздействието по признак пол в националните планове в областта на енергетиката и климата, включително когато предоставят информация относно енергийната бедност;</w:t>
      </w:r>
    </w:p>
    <w:p>
      <w:pPr>
        <w:pStyle w:val="Normal12a24b"/>
      </w:pPr>
      <w:r>
        <w:rPr>
          <w:rStyle w:val="BoldItalic"/>
        </w:rPr>
        <w:t>Към приобщаващ по отношение на пола екологичен преход</w:t>
      </w:r>
    </w:p>
    <w:p>
      <w:pPr>
        <w:pStyle w:val="NormalHanging12a"/>
      </w:pPr>
      <w:r>
        <w:t>10.</w:t>
      </w:r>
      <w:r>
        <w:tab/>
      </w:r>
      <w:r>
        <w:t>припомня, че екологичният преход е необходим, за да се избегнат тежки бъдещи кризи и увеличаване на бедността; припомня освен това, че екологичният преход ще бъде социално справедлив единствено ако включва свързаните с пола аспекти и гарантира равни възможности за жените и лицата, подложени на комбинирана дискриминация; поради това призовава Комисията да назначи координатор на ЕС по въпросите на равенството между половете и климата с достатъчно персонал и финансиране, както и да въведе оценки на въздействието по признак пол във всички политики и законодателство на ЕС, по-специално в инициативите на Европейския зелен пакт;</w:t>
      </w:r>
    </w:p>
    <w:p>
      <w:pPr>
        <w:pStyle w:val="NormalHanging12a"/>
      </w:pPr>
      <w:r>
        <w:t>11.</w:t>
      </w:r>
      <w:r>
        <w:tab/>
      </w:r>
      <w:r>
        <w:t>подчертава, че жените играят стратегическа роля в екологичния преход, тъй като са ключови участници в развитието на устойчиви и екологосъобразни модели на потребление и производство, както и в стопанската дейност и изготвянето на политиките;</w:t>
      </w:r>
    </w:p>
    <w:p>
      <w:pPr>
        <w:pStyle w:val="NormalHanging12a"/>
      </w:pPr>
      <w:r>
        <w:t>12.</w:t>
      </w:r>
      <w:r>
        <w:tab/>
      </w:r>
      <w:r>
        <w:t>изразява съжаление относно факта, че жените са много по-слабо представени на ключови позиции за изготвяне на политики в областта на изменението на климата и околната среда, и призовава ЕС и държавите членки да гарантират равно и разнообразно представителство на позициите, свързани с вземането на решения в институциите на ЕС, правителствените органи и публичните органи на всички равнища на управление;</w:t>
      </w:r>
    </w:p>
    <w:p>
      <w:pPr>
        <w:pStyle w:val="NormalHanging12a"/>
      </w:pPr>
      <w:r>
        <w:t>13.</w:t>
      </w:r>
      <w:r>
        <w:tab/>
      </w:r>
      <w:r>
        <w:t>призовава Комисията да намали неравнопоставеността между половете в енергийния сектор и да гарантира, че жените имат равен достъп до курсове за обучение в областта на енергийната ефективност и до нововъзникващи възможности за работа в енергийния сектор;</w:t>
      </w:r>
    </w:p>
    <w:p>
      <w:pPr>
        <w:pStyle w:val="NormalHanging12a"/>
      </w:pPr>
      <w:r>
        <w:t>14.</w:t>
      </w:r>
      <w:r>
        <w:tab/>
      </w:r>
      <w:r>
        <w:t>призовава Комисията и Съвета да се ангажират с бюджетиране, съобразено с равенството между половете, и да гарантират, че то се прилага за целия бюджет на ЕС и че препоръките на Европейската сметна палата се изпълняват изцяло, включително в междинния преглед на настоящата многогодишна финансова рамка и прилагането на Механизма за възстановяване и устойчивост;</w:t>
      </w:r>
    </w:p>
    <w:p>
      <w:pPr>
        <w:pStyle w:val="NormalCenter12a"/>
      </w:pPr>
      <w:r>
        <w:t>°</w:t>
      </w:r>
    </w:p>
    <w:p>
      <w:pPr>
        <w:pStyle w:val="NormalCenter12a"/>
      </w:pPr>
      <w:r>
        <w:t>°</w:t>
      </w:r>
      <w:r>
        <w:tab/>
      </w:r>
      <w:r>
        <w:t>°</w:t>
      </w:r>
    </w:p>
    <w:p>
      <w:pPr>
        <w:pStyle w:val="NormalHanging12a"/>
      </w:pPr>
      <w:r>
        <w:t>15.</w:t>
      </w:r>
      <w:r>
        <w:tab/>
      </w:r>
      <w:r>
        <w:t>възлага на своя председател да предаде настоящата резолюция на Съвета и на Комисията.</w:t>
      </w:r>
    </w:p>
    <w:p>
      <w:pPr>
        <w:pStyle w:val="NormalHanging12a"/>
        <w:sectPr>
          <w:footnotePr>
            <w:numRestart w:val="eachSect"/>
          </w:footnotePr>
          <w:type w:val="continuous"/>
          <w:pgSz w:w="11906" w:h="16838"/>
          <w:pgMar w:top="1134" w:right="1417" w:bottom="1417" w:left="1417" w:header="1134" w:footer="567" w:gutter="0"/>
          <w:cols w:num="1" w:space="708"/>
          <w:titlePg/>
          <w:docGrid w:linePitch="360"/>
        </w:sectPr>
      </w:pPr>
      <w:r>
        <w:br w:type="page"/>
      </w:r>
    </w:p>
    <w:p>
      <w:pPr>
        <w:pStyle w:val="PageHeading"/>
      </w:pPr>
      <w:bookmarkStart w:id="1" w:name="_Toc256000003"/>
      <w:r>
        <w:t>ИЗЛОЖЕНИЕ НА МОТИВИТЕ</w:t>
      </w:r>
      <w:bookmarkEnd w:id="1"/>
    </w:p>
    <w:p>
      <w:pPr>
        <w:pStyle w:val="Normal12a"/>
      </w:pPr>
      <w:r>
        <w:rPr>
          <w:rStyle w:val="Bold"/>
        </w:rPr>
        <w:t xml:space="preserve">Кризата, свързана с разходите за живот и енергията – жените са най-силно засегнати </w:t>
      </w:r>
    </w:p>
    <w:p>
      <w:pPr>
        <w:pStyle w:val="Normal12a"/>
      </w:pPr>
      <w:r>
        <w:t>Понастоящем Европа е изправена пред почти безпрецедентна за най-новата история криза, свързана с разходите за живот и енергията. Хората на континента се борят да покриват разходите си и трябва да избират между „отопление или хранене“.</w:t>
      </w:r>
    </w:p>
    <w:p>
      <w:pPr>
        <w:pStyle w:val="Normal12a"/>
      </w:pPr>
      <w:r>
        <w:t>В началото на 2022 г., след пандемията от COVID, Европейският съюз беше готов „да се залови[...] работа, да направи[...] Европа по-екологосъобразна, по-цифровизирана и по-устойчива“</w:t>
      </w:r>
      <w:r>
        <w:rPr>
          <w:rStyle w:val="FootnoteReference"/>
        </w:rPr>
        <w:footnoteReference w:id="23"/>
      </w:r>
      <w:r>
        <w:t>. На 24 февруари обаче Русия нахлу в Украйна.</w:t>
      </w:r>
    </w:p>
    <w:p>
      <w:pPr>
        <w:pStyle w:val="Normal12a"/>
      </w:pPr>
      <w:r>
        <w:t xml:space="preserve">В допълнение към огромното човешко страдание, причинено от войната, водена от Русия срещу Украйна и нейния народ, войната оказа огромно въздействие върху веригите на доставки, като доведе до рязко покачване на цените на енергията и храните и до бърз ръст на инфлацията. През 2022 г. стойностите на инфлацията принудиха </w:t>
      </w:r>
      <w:r>
        <w:t>Европейската централна банка</w:t>
      </w:r>
      <w:r>
        <w:t xml:space="preserve"> да увеличи лихвените проценти за първи път от 11 години.</w:t>
      </w:r>
    </w:p>
    <w:p>
      <w:pPr>
        <w:pStyle w:val="Normal12a"/>
      </w:pPr>
      <w:r>
        <w:t>За съжаление покачването на инфлацията се случи, преди най-уязвимите социални групи да успеят да се възстановят от пандемията от COVID, и това допълнително утежни условията на живот за много европейски граждани.</w:t>
      </w:r>
    </w:p>
    <w:p>
      <w:pPr>
        <w:pStyle w:val="Normal12a"/>
      </w:pPr>
      <w:r>
        <w:t>Поради това увеличение на разходите за живот и покачването на цените на енергията милиони домакинства в момента се нуждаят от помощ. При тълкуване на цифрите обаче става ясно, че бедността има женско лице.</w:t>
      </w:r>
    </w:p>
    <w:p>
      <w:pPr>
        <w:pStyle w:val="Normal12a"/>
      </w:pPr>
      <w:r>
        <w:t>Жените в Европа са изправени пред повече социално-икономически предизвикателства и по-високи равнища на бедност, отколкото мъжете. Като цяло работните места на жените са по-несигурни, заплатите им са по-ниски и е по-вероятно те да вършат неплатен труд по полагане на грижи за деца. Що се отнася до достъпа до образование, здравеопазване, заетост и социални услуги, някои групи жени са изправени пред комбинирана дискриминация. Сред тях са жените на възраст над 65 години, жените с увреждания и жените от етнически малцинства.</w:t>
      </w:r>
    </w:p>
    <w:p>
      <w:pPr>
        <w:pStyle w:val="Normal12a"/>
      </w:pPr>
      <w:r>
        <w:t>След COVID-19 неравенствата между мъжете и жените се увеличиха и настоящата криза, свързана с разходите за живот, непропорционално засяга жените поради по-ниския им среден доход, лошото и неефективно жилищно настаняване и зависимостта от социални помощи. През 2021 г., преди кризата, над 20 милиона повече жени, отколкото мъже, са живели под прага на бедността в ЕС. При настоящия темп на напредък на ЕС ще са необходими най-малко 60 години, докато постигне равенство между половете</w:t>
      </w:r>
      <w:r>
        <w:rPr>
          <w:rStyle w:val="FootnoteReference"/>
        </w:rPr>
        <w:footnoteReference w:id="24"/>
      </w:r>
      <w:r>
        <w:t>.</w:t>
      </w:r>
    </w:p>
    <w:p>
      <w:pPr>
        <w:pStyle w:val="Normal12a"/>
      </w:pPr>
      <w:r>
        <w:rPr>
          <w:rStyle w:val="Bold"/>
        </w:rPr>
        <w:t>Урсула фон дер Лайен обеща „да не се пренебрегва никой“, но забрави Зеления пакт</w:t>
      </w:r>
    </w:p>
    <w:p>
      <w:pPr>
        <w:pStyle w:val="Normal12a"/>
      </w:pPr>
      <w:r>
        <w:t>Известно е, че жените са изложени на по-голям риск от изпадане в енергийна бедност, тоест от липса на достъп до енергийни ресурси на достъпни цени. Проблемът е признато предизвикателство на равнище ЕС. Според Европейската комисия „енергийната бедност е широко разпространен проблем в цяла Европа, тъй като между 50 и 125 милиона души не са в състояние да си позволят да поддържат подходяща температура в своите домове“.</w:t>
      </w:r>
    </w:p>
    <w:p>
      <w:pPr>
        <w:pStyle w:val="Normal12a"/>
      </w:pPr>
      <w:r>
        <w:t>Липсват обаче достатъчно данни относно въздействията на енергийната бедност върху мъжете и жените в ЕС. Едва няколко държави членки са приели определения и показатели за енергийна бедност, но те обикновено не отчитат пола.</w:t>
      </w:r>
    </w:p>
    <w:p>
      <w:pPr>
        <w:pStyle w:val="Normal12a"/>
      </w:pPr>
      <w:r>
        <w:t xml:space="preserve">Още през 2016 г. </w:t>
      </w:r>
      <w:r>
        <w:t>Европейският парламент</w:t>
      </w:r>
      <w:r>
        <w:t xml:space="preserve"> прие резолюция относно достъпа до енергия, в която се призовава свързаното с равенството между половете измерение да бъде включено във всички политики в областта на енергетиката. Въпреки многобройните призиви на </w:t>
      </w:r>
      <w:r>
        <w:t>Европейския парламент</w:t>
      </w:r>
      <w:r>
        <w:t xml:space="preserve"> и обещанието на председателя на Комисията фон дер Лайен, че Европейският зелен пакт „няма да пренебрегне никого“, за жалост е постигнат малък напредък.</w:t>
      </w:r>
    </w:p>
    <w:p>
      <w:pPr>
        <w:pStyle w:val="Normal12a"/>
      </w:pPr>
      <w:r>
        <w:t>Въпреки ангажимента на настоящата комисия да интегрира принципа на равенство между половете във всички свои основни инициативи, връзките между равенството между половете и областите на политиката, свързани с Европейския зелен пакт, както и с Механизма за възстановяване и устойчивост, са неподходящи.</w:t>
      </w:r>
    </w:p>
    <w:p>
      <w:pPr>
        <w:pStyle w:val="Normal12a"/>
      </w:pPr>
      <w:r>
        <w:t>На практика това, което Европейската комисия е постигнала досега във връзка със Зеления пакт, може да бъде описано като финансиран от ЕС екологичен преход, който е нечувствителен към пола и заплашва да увеличи съществуващите неравенства между половете и комбинирани неравенства.</w:t>
      </w:r>
    </w:p>
    <w:p>
      <w:pPr>
        <w:pStyle w:val="Normal12a"/>
      </w:pPr>
      <w:r>
        <w:t xml:space="preserve">Специален доклад № 10/2021 на </w:t>
      </w:r>
      <w:r>
        <w:t>Европейската сметна палата, озаглавен</w:t>
      </w:r>
      <w:r>
        <w:t xml:space="preserve">: </w:t>
      </w:r>
      <w:r>
        <w:t>„Интегриране на принципа на равенство между половете в бюджета на ЕС: време е да превърнем думите в дела“ също потвърждава факта, че Комисията не спазва своето задължение, основано на Договорите, да насърчава равенството между жените и мъжете във всички области на изготвянето и прилагането на политиките. В доклада се стига до заключението, че при разработването на политики често липсват показатели и разбити по полов признак данни, което възпрепятства анализа на интегрирането на принципа на равенство между половете</w:t>
      </w:r>
      <w:r>
        <w:rPr>
          <w:rStyle w:val="FootnoteReference"/>
        </w:rPr>
        <w:footnoteReference w:id="25"/>
      </w:r>
      <w:r>
        <w:t>. Вследствие на това инициативите на Зеления пакт и Механизмът за възстановяване и устойчивост не гарантират равенството между половете.</w:t>
      </w:r>
    </w:p>
    <w:p>
      <w:pPr>
        <w:pStyle w:val="Normal12a"/>
      </w:pPr>
      <w:r>
        <w:t>Освен това в „Индекс за равенството между половете за 2023 г.:</w:t>
      </w:r>
      <w:r>
        <w:rPr>
          <w:rStyle w:val="Italic"/>
        </w:rPr>
        <w:t xml:space="preserve"> </w:t>
      </w:r>
      <w:r>
        <w:t>равенството между половете и Европейският зелен пакт“ (Европейски институт за равенство между половете (EIGE)) също се подчертава липсата на висококачествени данни и се заявява, че настоящите показатели не са подходящи за целта. Твърде често данните не са разбити по полов признак, а показателите не са съобразени с равенството между половете. В резултат на това наличните статистически данни на ЕС не измерват въпросите, които са важни от гледна точка на междусекторните аспекти, свързани с пола.</w:t>
      </w:r>
    </w:p>
    <w:p>
      <w:pPr>
        <w:pStyle w:val="Normal12a"/>
      </w:pPr>
      <w:r>
        <w:t>Липсата на доказателства е основно предизвикателство за Комисията, ако тя действително възнамерява да изпълнени ангажимента си „да не се пренебрегва никой“. За успешното интегриране на различните потребности и опасения на жените и мъжете в политиките за изпълнение на Европейския зелен пакт е необходимо да има междусекторни данни. Това е наложително, за да се гарантира равен достъп до исторически безпрецедентното финансиране и до големите възможности, които предлага екологичният преход.</w:t>
      </w:r>
    </w:p>
    <w:p>
      <w:pPr>
        <w:pStyle w:val="Normal12a"/>
      </w:pPr>
      <w:r>
        <w:rPr>
          <w:rStyle w:val="Bold"/>
        </w:rPr>
        <w:t>Зеленият пакт трябва да даде приоритет на социалната справедливост за преодоляване на свързаната с пола бедност</w:t>
      </w:r>
    </w:p>
    <w:p>
      <w:pPr>
        <w:pStyle w:val="Normal12a"/>
      </w:pPr>
      <w:r>
        <w:t>Поради зависимостта ни от изкопаеми горива и нестабилния енергиен пазар Европа отново се намира в извънредно положение и е изправена пред значителна енергийна криза.</w:t>
      </w:r>
    </w:p>
    <w:p>
      <w:pPr>
        <w:pStyle w:val="Normal12a"/>
      </w:pPr>
      <w:r>
        <w:t>Социалните аспекти на Европейския зелен пакт и нашите енергийни политики са от решаващо значение, за да се постигнат целите на ЕС в областта на климата и да се смекчат социално-икономическите последици от войната на Русия срещу Украйна.</w:t>
      </w:r>
    </w:p>
    <w:p>
      <w:pPr>
        <w:pStyle w:val="Normal12a"/>
      </w:pPr>
      <w:r>
        <w:t>Понастоящем най-уязвимите граждани на ЕС плащат цената за нестабилността на нашата енергийна система, зависима от изкопаеми горива. Бедността има женско лице и още през 2021 г., преди настоящата криза, над 20 милиона повече жени, отколкото мъже, са живели под прага на бедността в ЕС.</w:t>
      </w:r>
    </w:p>
    <w:p>
      <w:pPr>
        <w:pStyle w:val="Normal12a"/>
      </w:pPr>
      <w:r>
        <w:t>Европейският парламент</w:t>
      </w:r>
      <w:r>
        <w:t xml:space="preserve"> направи няколко категорични изявления във връзка с равенството между половете и енергийния преход. В своята резолюция от 17 февруари 2022 г. Парламентът призна, че жените все още са изправени пред структурни и културни пречки пред участието във всички аспекти на осъществяването на енергийния и климатичния преход</w:t>
      </w:r>
      <w:r>
        <w:rPr>
          <w:rStyle w:val="FootnoteReference"/>
        </w:rPr>
        <w:footnoteReference w:id="26"/>
      </w:r>
      <w:r>
        <w:t>.</w:t>
      </w:r>
    </w:p>
    <w:p>
      <w:pPr>
        <w:pStyle w:val="Normal12a"/>
      </w:pPr>
      <w:r>
        <w:t>Структурните проблеми изискват структурни решения. Поради това в изготвянето на политиките на ЕС трябва да бъдат отразени междусекторни данни и съобразеният с равенството между половете подход, за да се противодейства на увеличаването на бедността, свързана с пола. Изпълнението на Европейския зелен пакт предоставя възможност да се изпълни ангажиментът за интегриране на принципа на равенство между половете и на междусекторна перспектива във всички дейности на ЕС, включително в бюджетния процес на ЕС.</w:t>
      </w:r>
    </w:p>
    <w:p>
      <w:pPr>
        <w:pStyle w:val="Normal12a"/>
      </w:pPr>
      <w:r>
        <w:t xml:space="preserve">Докладът представя няколко мерки за борба с увеличаването на бедността, свързана с пола, и повтаря многобройните призиви на </w:t>
      </w:r>
      <w:r>
        <w:t>Европейския парламент</w:t>
      </w:r>
      <w:r>
        <w:t xml:space="preserve"> към Комисията да изпълни обещанието си да гарантира преход към екологична енергия, който да е от полза за всички.</w:t>
      </w:r>
    </w:p>
    <w:p>
      <w:pPr>
        <w:pStyle w:val="Normal12a"/>
      </w:pPr>
      <w:r>
        <w:t>В заключение, осигуряването на социално справедлив екологичен преход е абсолютно необходимо условие за успеха на Зеления пакт и за постигането на равенство между половете в Европейския съюз.</w:t>
      </w:r>
    </w:p>
    <w:p>
      <w:pPr>
        <w:pStyle w:val="Normal12a"/>
      </w:pPr>
    </w:p>
    <w:sectPr>
      <w:footnotePr>
        <w:numRestart w:val="eachSect"/>
      </w:footnotePr>
      <w:type w:val="continuous"/>
      <w:pgSz w:w="11906" w:h="16838"/>
      <w:pgMar w:top="1134" w:right="1417" w:bottom="1417" w:left="1417" w:header="1134" w:footer="567" w:gutter="0"/>
      <w:cols w:num="1"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</w:t>
    </w:r>
    <w:r>
      <w:rPr>
        <w:rStyle w:val="HideTWBExt"/>
      </w:rPr>
      <w:t>NoPE</w:t>
    </w:r>
    <w:r>
      <w:rPr>
        <w:rStyle w:val="HideTWBExt"/>
      </w:rPr>
      <w:t>&gt;</w:t>
    </w:r>
    <w:r>
      <w:t>752.947</w:t>
    </w:r>
    <w:r>
      <w:rPr>
        <w:rStyle w:val="HideTWBExt"/>
      </w:rPr>
      <w:t>&lt;/</w:t>
    </w:r>
    <w:r>
      <w:rPr>
        <w:rStyle w:val="HideTWBExt"/>
      </w:rPr>
      <w:t>NoPE</w:t>
    </w:r>
    <w:r>
      <w:rPr>
        <w:rStyle w:val="HideTWBExt"/>
      </w:rPr>
      <w:t>&gt;</w:t>
    </w:r>
    <w:r>
      <w:rPr>
        <w:rStyle w:val="HideTWBExt"/>
      </w:rPr>
      <w:t>&lt;</w:t>
    </w:r>
    <w:r>
      <w:rPr>
        <w:rStyle w:val="HideTWBExt"/>
      </w:rPr>
      <w:t>Version</w:t>
    </w:r>
    <w:r>
      <w:rPr>
        <w:rStyle w:val="HideTWBExt"/>
      </w:rPr>
      <w:t>&gt;</w:t>
    </w:r>
    <w:r>
      <w:t>v01-00</w:t>
    </w:r>
    <w:r>
      <w:rPr>
        <w:rStyle w:val="HideTWBExt"/>
      </w:rPr>
      <w:t>&lt;/</w:t>
    </w:r>
    <w:r>
      <w:rPr>
        <w:rStyle w:val="HideTWBExt"/>
      </w:rPr>
      <w:t>Version</w:t>
    </w:r>
    <w:r>
      <w:rPr>
        <w:rStyle w:val="HideTWBExt"/>
      </w:rPr>
      <w:t>&gt;</w:t>
    </w:r>
    <w:r>
      <w:tab/>
    </w:r>
    <w:r>
      <w:fldChar w:fldCharType="begin"/>
    </w:r>
    <w:r>
      <w:instrText>PAGE</w:instrText>
    </w:r>
    <w:r>
      <w:fldChar w:fldCharType="separate"/>
    </w:r>
    <w:r>
      <w:t>12</w:t>
    </w:r>
    <w:r>
      <w:fldChar w:fldCharType="end"/>
    </w:r>
    <w:r>
      <w:t>/</w:t>
    </w:r>
    <w:r>
      <w:fldChar w:fldCharType="begin"/>
    </w:r>
    <w:r>
      <w:instrText>NUMPAGES</w:instrText>
    </w:r>
    <w:r>
      <w:fldChar w:fldCharType="separate"/>
    </w:r>
    <w:r>
      <w:t>12</w:t>
    </w:r>
    <w:r>
      <w:fldChar w:fldCharType="end"/>
    </w:r>
    <w:r>
      <w:tab/>
    </w:r>
    <w:r>
      <w:rPr>
        <w:rStyle w:val="HideTWBExt"/>
      </w:rPr>
      <w:t>&lt;</w:t>
    </w:r>
    <w:r>
      <w:rPr>
        <w:rStyle w:val="HideTWBExt"/>
      </w:rPr>
      <w:t>PathFdR</w:t>
    </w:r>
    <w:r>
      <w:rPr>
        <w:rStyle w:val="HideTWBExt"/>
      </w:rPr>
      <w:t>&gt;</w:t>
    </w:r>
    <w:r>
      <w:t>PR\1285514BG.docx</w:t>
    </w:r>
    <w:r>
      <w:rPr>
        <w:rStyle w:val="HideTWBExt"/>
      </w:rPr>
      <w:t>&lt;/</w:t>
    </w:r>
    <w:r>
      <w:rPr>
        <w:rStyle w:val="HideTWBExt"/>
      </w:rPr>
      <w:t>PathFdR</w:t>
    </w:r>
    <w:r>
      <w:rPr>
        <w:rStyle w:val="HideTWBExt"/>
      </w:rPr>
      <w:t>&gt;</w:t>
    </w:r>
  </w:p>
  <w:p>
    <w:pPr>
      <w:pStyle w:val="EPFooter2"/>
    </w:pPr>
    <w:r>
      <w:t>BG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</w:t>
    </w:r>
    <w:r>
      <w:rPr>
        <w:rStyle w:val="HideTWBExt"/>
      </w:rPr>
      <w:t>PathFdR</w:t>
    </w:r>
    <w:r>
      <w:rPr>
        <w:rStyle w:val="HideTWBExt"/>
      </w:rPr>
      <w:t>&gt;</w:t>
    </w:r>
    <w:r>
      <w:t>PR\1285514BG.docx</w:t>
    </w:r>
    <w:r>
      <w:rPr>
        <w:rStyle w:val="HideTWBExt"/>
      </w:rPr>
      <w:t>&lt;/</w:t>
    </w:r>
    <w:r>
      <w:rPr>
        <w:rStyle w:val="HideTWBExt"/>
      </w:rPr>
      <w:t>PathFdR</w:t>
    </w:r>
    <w:r>
      <w:rPr>
        <w:rStyle w:val="HideTWBExt"/>
      </w:rPr>
      <w:t>&gt;</w:t>
    </w:r>
    <w:r>
      <w:tab/>
    </w:r>
    <w:r>
      <w:fldChar w:fldCharType="begin"/>
    </w:r>
    <w:r>
      <w:instrText>PAGE</w:instrText>
    </w:r>
    <w:r>
      <w:fldChar w:fldCharType="separate"/>
    </w:r>
    <w:r>
      <w:t>11</w:t>
    </w:r>
    <w:r>
      <w:fldChar w:fldCharType="end"/>
    </w:r>
    <w:r>
      <w:t>/</w:t>
    </w:r>
    <w:r>
      <w:fldChar w:fldCharType="begin"/>
    </w:r>
    <w:r>
      <w:instrText>NUMPAGES</w:instrText>
    </w:r>
    <w:r>
      <w:fldChar w:fldCharType="separate"/>
    </w:r>
    <w:r>
      <w:t>12</w:t>
    </w:r>
    <w:r>
      <w:fldChar w:fldCharType="end"/>
    </w:r>
    <w:r>
      <w:tab/>
    </w:r>
    <w:r>
      <w:t>PE</w:t>
    </w:r>
    <w:r>
      <w:rPr>
        <w:rStyle w:val="HideTWBExt"/>
      </w:rPr>
      <w:t>&lt;</w:t>
    </w:r>
    <w:r>
      <w:rPr>
        <w:rStyle w:val="HideTWBExt"/>
      </w:rPr>
      <w:t>NoPE</w:t>
    </w:r>
    <w:r>
      <w:rPr>
        <w:rStyle w:val="HideTWBExt"/>
      </w:rPr>
      <w:t>&gt;</w:t>
    </w:r>
    <w:r>
      <w:t>752.947</w:t>
    </w:r>
    <w:r>
      <w:rPr>
        <w:rStyle w:val="HideTWBExt"/>
      </w:rPr>
      <w:t>&lt;/</w:t>
    </w:r>
    <w:r>
      <w:rPr>
        <w:rStyle w:val="HideTWBExt"/>
      </w:rPr>
      <w:t>NoPE</w:t>
    </w:r>
    <w:r>
      <w:rPr>
        <w:rStyle w:val="HideTWBExt"/>
      </w:rPr>
      <w:t>&gt;</w:t>
    </w:r>
    <w:r>
      <w:rPr>
        <w:rStyle w:val="HideTWBExt"/>
      </w:rPr>
      <w:t>&lt;</w:t>
    </w:r>
    <w:r>
      <w:rPr>
        <w:rStyle w:val="HideTWBExt"/>
      </w:rPr>
      <w:t>Version</w:t>
    </w:r>
    <w:r>
      <w:rPr>
        <w:rStyle w:val="HideTWBExt"/>
      </w:rPr>
      <w:t>&gt;</w:t>
    </w:r>
    <w:r>
      <w:t>v01-00</w:t>
    </w:r>
    <w:r>
      <w:rPr>
        <w:rStyle w:val="HideTWBExt"/>
      </w:rPr>
      <w:t>&lt;/</w:t>
    </w:r>
    <w:r>
      <w:rPr>
        <w:rStyle w:val="HideTWBExt"/>
      </w:rPr>
      <w:t>Version</w:t>
    </w:r>
    <w:r>
      <w:rPr>
        <w:rStyle w:val="HideTWBExt"/>
      </w:rPr>
      <w:t>&gt;</w:t>
    </w:r>
  </w:p>
  <w:p>
    <w:pPr>
      <w:pStyle w:val="EPFooter2"/>
    </w:pPr>
    <w:r>
      <w:tab/>
    </w:r>
    <w:r>
      <w:tab/>
    </w:r>
    <w:r>
      <w:t>BG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</w:t>
    </w:r>
    <w:r>
      <w:rPr>
        <w:rStyle w:val="HideTWBExt"/>
      </w:rPr>
      <w:t>PathFdR</w:t>
    </w:r>
    <w:r>
      <w:rPr>
        <w:rStyle w:val="HideTWBExt"/>
      </w:rPr>
      <w:t>&gt;</w:t>
    </w:r>
    <w:r>
      <w:t>PR\1285514BG.docx</w:t>
    </w:r>
    <w:r>
      <w:rPr>
        <w:rStyle w:val="HideTWBExt"/>
      </w:rPr>
      <w:t>&lt;/</w:t>
    </w:r>
    <w:r>
      <w:rPr>
        <w:rStyle w:val="HideTWBExt"/>
      </w:rPr>
      <w:t>PathFdR</w:t>
    </w:r>
    <w:r>
      <w:rPr>
        <w:rStyle w:val="HideTWBExt"/>
      </w:rPr>
      <w:t>&gt;</w:t>
    </w:r>
    <w:r>
      <w:tab/>
    </w:r>
    <w:r>
      <w:tab/>
    </w:r>
    <w:r>
      <w:t>PE</w:t>
    </w:r>
    <w:r>
      <w:rPr>
        <w:rStyle w:val="HideTWBExt"/>
      </w:rPr>
      <w:t>&lt;</w:t>
    </w:r>
    <w:r>
      <w:rPr>
        <w:rStyle w:val="HideTWBExt"/>
      </w:rPr>
      <w:t>NoPE</w:t>
    </w:r>
    <w:r>
      <w:rPr>
        <w:rStyle w:val="HideTWBExt"/>
      </w:rPr>
      <w:t>&gt;</w:t>
    </w:r>
    <w:r>
      <w:t>752.947</w:t>
    </w:r>
    <w:r>
      <w:rPr>
        <w:rStyle w:val="HideTWBExt"/>
      </w:rPr>
      <w:t>&lt;/</w:t>
    </w:r>
    <w:r>
      <w:rPr>
        <w:rStyle w:val="HideTWBExt"/>
      </w:rPr>
      <w:t>NoPE</w:t>
    </w:r>
    <w:r>
      <w:rPr>
        <w:rStyle w:val="HideTWBExt"/>
      </w:rPr>
      <w:t>&gt;</w:t>
    </w:r>
    <w:r>
      <w:rPr>
        <w:rStyle w:val="HideTWBExt"/>
      </w:rPr>
      <w:t>&lt;</w:t>
    </w:r>
    <w:r>
      <w:rPr>
        <w:rStyle w:val="HideTWBExt"/>
      </w:rPr>
      <w:t>Version</w:t>
    </w:r>
    <w:r>
      <w:rPr>
        <w:rStyle w:val="HideTWBExt"/>
      </w:rPr>
      <w:t>&gt;</w:t>
    </w:r>
    <w:r>
      <w:t>v01-00</w:t>
    </w:r>
    <w:r>
      <w:rPr>
        <w:rStyle w:val="HideTWBExt"/>
      </w:rPr>
      <w:t>&lt;/</w:t>
    </w:r>
    <w:r>
      <w:rPr>
        <w:rStyle w:val="HideTWBExt"/>
      </w:rPr>
      <w:t>Version</w:t>
    </w:r>
    <w:r>
      <w:rPr>
        <w:rStyle w:val="HideTWBExt"/>
      </w:rPr>
      <w:t>&gt;</w:t>
    </w:r>
  </w:p>
  <w:p>
    <w:pPr>
      <w:pStyle w:val="EPFooter2"/>
    </w:pPr>
    <w:r>
      <w:t>BG</w:t>
    </w:r>
    <w:r>
      <w:tab/>
    </w:r>
    <w:r>
      <w:rPr>
        <w:rStyle w:val="EPFooter2Motto"/>
      </w:rPr>
      <w:t>Единство в многообразието</w:t>
    </w:r>
    <w:r>
      <w:tab/>
    </w:r>
    <w:r>
      <w:t>BG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id="0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https://commission.europa.eu/strategy-and-policy/policies/justice-and-fundamental-rights/gender-equality/gender-equality-strategy_bg.</w:t>
      </w:r>
    </w:p>
  </w:footnote>
  <w:footnote w:id="1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>
          <w:rPr>
            <w:color w:val="0000FF"/>
            <w:u w:val="single" w:color="0000FF"/>
          </w:rPr>
          <w:t>ОВ L 211, 14.8.2009 г., стр. 94.</w:t>
        </w:r>
      </w:hyperlink>
    </w:p>
  </w:footnote>
  <w:footnote w:id="2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2" w:history="1">
        <w:r>
          <w:rPr>
            <w:color w:val="0000FF"/>
            <w:u w:val="single" w:color="0000FF"/>
          </w:rPr>
          <w:t>ОВ L 315, 14.11.2012 г., стр. 1.</w:t>
        </w:r>
      </w:hyperlink>
    </w:p>
  </w:footnote>
  <w:footnote w:id="3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3" w:history="1">
        <w:r>
          <w:rPr>
            <w:color w:val="0000FF"/>
            <w:u w:val="single" w:color="0000FF"/>
          </w:rPr>
          <w:t>OВ L 328, 21.12.2018 г., стр. 82.</w:t>
        </w:r>
      </w:hyperlink>
    </w:p>
  </w:footnote>
  <w:footnote w:id="4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4" w:history="1">
        <w:r>
          <w:rPr>
            <w:color w:val="0000FF"/>
            <w:u w:val="single" w:color="0000FF"/>
          </w:rPr>
          <w:t>ОВ L 158, 14.6.2019 г., стр. 125.</w:t>
        </w:r>
      </w:hyperlink>
    </w:p>
  </w:footnote>
  <w:footnote w:id="5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5" w:history="1">
        <w:r>
          <w:rPr>
            <w:color w:val="0000FF"/>
            <w:u w:val="single" w:color="0000FF"/>
          </w:rPr>
          <w:t>ОВ L 57, 18.2.2021 г., стр. 17.</w:t>
        </w:r>
      </w:hyperlink>
    </w:p>
  </w:footnote>
  <w:footnote w:id="6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6" w:history="1">
        <w:r>
          <w:rPr>
            <w:color w:val="0000FF"/>
            <w:u w:val="single" w:color="0000FF"/>
          </w:rPr>
          <w:t>ОВ L 132, 17.5.2023 г., стр. 21.</w:t>
        </w:r>
      </w:hyperlink>
    </w:p>
  </w:footnote>
  <w:footnote w:id="7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7" w:history="1">
        <w:r>
          <w:rPr>
            <w:color w:val="0000FF"/>
            <w:u w:val="single" w:color="0000FF"/>
          </w:rPr>
          <w:t>OВ C 479, 16.12.2022 г., стр. 75.</w:t>
        </w:r>
      </w:hyperlink>
    </w:p>
  </w:footnote>
  <w:footnote w:id="8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8" w:history="1">
        <w:r>
          <w:rPr>
            <w:color w:val="0000FF"/>
            <w:u w:val="single" w:color="0000FF"/>
          </w:rPr>
          <w:t>ОВ С 47, 7.2.2023 г., стр. 2.</w:t>
        </w:r>
      </w:hyperlink>
    </w:p>
  </w:footnote>
  <w:footnote w:id="9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Европейска сметна палата, „Интегриране на принципа на равенство между половете в бюджета на ЕС: време е да превърнем думите в дела“, 26 май 2021 г., https://www.eca.europa.eu/Lists/ECADocuments/SR21_10/SR_Gender_mainstreaming_BG.pdf.</w:t>
      </w:r>
    </w:p>
  </w:footnote>
  <w:footnote w:id="10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9" w:history="1">
        <w:r>
          <w:rPr>
            <w:color w:val="0000FF"/>
            <w:u w:val="single" w:color="0000FF"/>
          </w:rPr>
          <w:t>ОВ L 357, 27.10.2020 г., стр. 35.</w:t>
        </w:r>
      </w:hyperlink>
    </w:p>
  </w:footnote>
  <w:footnote w:id="11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Международна агенция по енергетика, End-Use Prices Data Explorer (Инструмент за проучване на данни относно цените при крайното потребление), 28 април 2023 г., https://www.iea.org/data-and-statistics/data-tools/energy-prices-data-explorer?tab=Overview.</w:t>
      </w:r>
    </w:p>
  </w:footnote>
  <w:footnote w:id="12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Международен валутен фонд, The Fog of War Clouds the European Outlook (Мъглата на войната помрачава европейската перспектива), октомври 2022 г., https://www.imf.org/-/media/Files/Publications/REO/EUR/2022/October/English/text.ashx.</w:t>
      </w:r>
    </w:p>
  </w:footnote>
  <w:footnote w:id="13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Евростат, Living conditions in Europe (Условия на живот в Европа), 2022 г., https://ec.europa.eu/eurostat/statistics-explained/index.php?title=Living_conditions_in_Europe.</w:t>
      </w:r>
    </w:p>
  </w:footnote>
  <w:footnote w:id="14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Евростат, Energy prices on the rise in the euro area in 2021 (Цените на енергията в еврозоната се покачват през 2021 г.), 10 февруари 2022 г., https://ec.europa.eu/eurostat/web/products-eurostat-news/-/edn-20220210-2.</w:t>
      </w:r>
    </w:p>
  </w:footnote>
  <w:footnote w:id="15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Eurofound, The cost-of-living crisis and energy poverty in the EU: social impact and policy responses – Background paper Кризата с разходите за живот и енергийната бедност в ЕС: социално въздействие и ответни мерки на политиката – информационен документ, 28 октомври 2022 г., https://www.eurofound.europa.eu/sites/default/files/ef_publication/field_ef_document/ef22077en.pdf.</w:t>
      </w:r>
    </w:p>
  </w:footnote>
  <w:footnote w:id="16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Европейски институт за равенство между половете, „Индекс за равенството между половете за 2021 г.“, https://eige.europa.eu/gender-equality-index/2021 и „Индекс за равенството между половете за 2022 г.“, https://eige.europa.eu/gender-equality-index/2022.</w:t>
      </w:r>
    </w:p>
  </w:footnote>
  <w:footnote w:id="17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Европейски съюз, EP Autumn 2022 Survey: Parlemeter (Проучване на ЕП от есента на 2022 г.: парламентарен барометър), януари 2023 г., https://europa.eu/eurobarometer/surveys/detail/2932.</w:t>
      </w:r>
    </w:p>
  </w:footnote>
  <w:footnote w:id="18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Проучване – Gender perspective on access to energy in the EU (Свързани с пола аспекти относно достъпа до енергия в ЕС), Европейски парламент, Генерална дирекция за вътрешни политики, Тематичен отдел В – Граждански права и конституционни въпроси, 18 декември 2017 г., https://www.europarl.europa.eu/RegData/etudes/STUD/2017/596816/IPOL_STU(2017)596816_EN.pdf.</w:t>
      </w:r>
    </w:p>
  </w:footnote>
  <w:footnote w:id="19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Преглед – Gender Aspects of Energy Poverty (Свързани с пола аспекти на енергийната бедност), Европейски парламент, Генерална дирекция за вътрешни политики, Тематичен отдел В – Граждански права и конституционни въпроси, 1 март 2023 г., https://www.europarl.europa.eu/cmsdata/265960/Briefing_FEMM_IWD_2023_FINAL_EN.pdf.</w:t>
      </w:r>
    </w:p>
  </w:footnote>
  <w:footnote w:id="20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Проучване – The Gender Dimension and Impact of the Fit for 55 Package (Измерението, свързано с равенството между половете, и въздействието на пакета „Подготвени за цел 55“), Европейски парламент, Генерална дирекция за вътрешни политики на ЕС, Тематичен отдел В – Граждански права и конституционни въпроси, 6 декември 2023 г., https://www.europarl.europa.eu/RegData/etudes/STUD/2022/736899/IPOL_STU(2022)736899_EN.pdf.</w:t>
      </w:r>
    </w:p>
  </w:footnote>
  <w:footnote w:id="21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Преглед – Energy poverty in the EU (Енергийната бедност в ЕС), Европейски парламент, Генерална дирекция за парламентарни изследвания, 18 септември 2023 г., https://www.europarl.europa.eu/RegData/etudes/BRIE/2022/733583/EPRS_BRI(2022)733583_EN.pdf.</w:t>
      </w:r>
    </w:p>
  </w:footnote>
  <w:footnote w:id="22">
    <w:p>
      <w:pPr>
        <w:pStyle w:val="FootnoteText"/>
        <w:rPr>
          <w:color w:val="0000FF"/>
          <w:u w:val="single" w:color="0000FF"/>
        </w:rPr>
      </w:pPr>
      <w:r>
        <w:rPr>
          <w:rStyle w:val="FootnoteReference"/>
        </w:rPr>
        <w:footnoteRef/>
      </w:r>
      <w:r>
        <w:t xml:space="preserve"> </w:t>
      </w:r>
      <w:hyperlink r:id="rId10" w:history="1">
        <w:r>
          <w:rPr>
            <w:color w:val="0000FF"/>
            <w:u w:val="single" w:color="0000FF"/>
          </w:rPr>
          <w:t>ОВ C 465, 17.11.2021 г., стр. 62.</w:t>
        </w:r>
      </w:hyperlink>
    </w:p>
  </w:footnote>
  <w:footnote w:id="23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https://commission.europa.eu/strategy-and-policy/recovery-plan-europe_bg</w:t>
      </w:r>
    </w:p>
  </w:footnote>
  <w:footnote w:id="24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https://sdgwatcheurope.org/cost-of-living-crisis-exacerbates-poverty-for-women-in-europe/</w:t>
      </w:r>
    </w:p>
  </w:footnote>
  <w:footnote w:id="25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https://www.eca.europa.eu/bg/publications?did=58678</w:t>
      </w:r>
    </w:p>
  </w:footnote>
  <w:footnote w:id="26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https://www.europarl.europa.eu/doceo/document/TA-9-2022-02-17_BG.html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54581"/>
    <w:multiLevelType w:val="hybridMultilevel"/>
    <w:tmpl w:val="F16C6036"/>
    <w:lvl w:ilvl="0">
      <w:start w:val="1"/>
      <w:numFmt w:val="bullet"/>
      <w:pStyle w:val="Normal12a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6C09CF"/>
    <w:multiLevelType w:val="hybridMultilevel"/>
    <w:tmpl w:val="0DAA9F68"/>
    <w:lvl w:ilvl="0">
      <w:start w:val="1"/>
      <w:numFmt w:val="bullet"/>
      <w:pStyle w:val="Normal12aBullet2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grammar="clean"/>
  <w:stylePaneFormatFilter w:val="3F01"/>
  <w:defaultTabStop w:val="720"/>
  <w:evenAndOddHeaders/>
  <w:noPunctuationKerning/>
  <w:characterSpacingControl w:val="doNotCompress"/>
  <w:footnotePr>
    <w:numRestart w:val="eachSect"/>
  </w:foot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pPr>
      <w:widowControl w:val="0"/>
    </w:pPr>
    <w:rPr>
      <w:snapToGrid w:val="0"/>
      <w:sz w:val="24"/>
      <w:lang w:eastAsia="en-US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Comma">
    <w:name w:val="EPComma"/>
    <w:basedOn w:val="Normal"/>
    <w:rsid w:val="006A5366"/>
    <w:pPr>
      <w:spacing w:before="480" w:after="240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TOCRight">
    <w:name w:val="TOC Right"/>
    <w:basedOn w:val="Normal"/>
    <w:rsid w:val="00E839D9"/>
    <w:pPr>
      <w:spacing w:after="240"/>
      <w:jc w:val="right"/>
    </w:pPr>
  </w:style>
  <w:style w:type="paragraph" w:customStyle="1" w:styleId="CoverDateRefPart">
    <w:name w:val="CoverDateRefPart"/>
    <w:basedOn w:val="Normal"/>
    <w:rsid w:val="00C5424C"/>
    <w:pPr>
      <w:spacing w:after="1200"/>
    </w:pPr>
  </w:style>
  <w:style w:type="paragraph" w:customStyle="1" w:styleId="EPName">
    <w:name w:val="EPName"/>
    <w:basedOn w:val="Normal"/>
    <w:rsid w:val="00D16E15"/>
    <w:pPr>
      <w:spacing w:before="80" w:after="80"/>
    </w:pPr>
    <w:rPr>
      <w:rFonts w:ascii="Arial Narrow" w:hAnsi="Arial Narrow" w:cs="Arial"/>
      <w:b/>
      <w:snapToGrid/>
      <w:sz w:val="32"/>
      <w:szCs w:val="22"/>
      <w:lang w:eastAsia="en-GB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FootnoteText">
    <w:name w:val="footnote text"/>
    <w:basedOn w:val="Normal"/>
    <w:semiHidden/>
    <w:rPr>
      <w:sz w:val="20"/>
    </w:rPr>
  </w:style>
  <w:style w:type="paragraph" w:customStyle="1" w:styleId="NormalBold">
    <w:name w:val="NormalBold"/>
    <w:basedOn w:val="Normal"/>
    <w:rsid w:val="006A5366"/>
    <w:rPr>
      <w:b/>
    </w:rPr>
  </w:style>
  <w:style w:type="paragraph" w:customStyle="1" w:styleId="CoverReference">
    <w:name w:val="CoverReference"/>
    <w:basedOn w:val="Normal"/>
    <w:rsid w:val="00791131"/>
    <w:pPr>
      <w:spacing w:before="1080"/>
      <w:jc w:val="right"/>
    </w:pPr>
    <w:rPr>
      <w:rFonts w:ascii="Arial" w:hAnsi="Arial" w:cs="Arial"/>
      <w:b/>
    </w:rPr>
  </w:style>
  <w:style w:type="paragraph" w:customStyle="1" w:styleId="CoverNormal24a">
    <w:name w:val="CoverNormal24a"/>
    <w:basedOn w:val="Normal"/>
    <w:rsid w:val="00D20BEB"/>
    <w:pPr>
      <w:spacing w:after="480"/>
      <w:ind w:left="1417"/>
    </w:pPr>
  </w:style>
  <w:style w:type="paragraph" w:styleId="TOC1">
    <w:name w:val="toc 1"/>
    <w:basedOn w:val="Normal"/>
    <w:next w:val="Normal"/>
    <w:autoRedefine/>
    <w:uiPriority w:val="39"/>
    <w:rsid w:val="00E57F92"/>
    <w:pPr>
      <w:spacing w:after="240"/>
    </w:pPr>
  </w:style>
  <w:style w:type="paragraph" w:customStyle="1" w:styleId="TOCPage">
    <w:name w:val="TOC Page"/>
    <w:basedOn w:val="Normal"/>
    <w:next w:val="TOC1"/>
    <w:rsid w:val="004302F8"/>
    <w:pPr>
      <w:keepNext/>
      <w:spacing w:after="240"/>
      <w:jc w:val="right"/>
    </w:pPr>
    <w:rPr>
      <w:rFonts w:ascii="Arial" w:hAnsi="Arial"/>
      <w:b/>
    </w:rPr>
  </w:style>
  <w:style w:type="paragraph" w:customStyle="1" w:styleId="CoverDocType24a">
    <w:name w:val="CoverDocType24a"/>
    <w:basedOn w:val="Normal"/>
    <w:rsid w:val="00F03FCA"/>
    <w:pPr>
      <w:spacing w:after="480"/>
      <w:ind w:left="1418"/>
    </w:pPr>
    <w:rPr>
      <w:rFonts w:ascii="Arial" w:hAnsi="Arial"/>
      <w:b/>
      <w:sz w:val="48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customStyle="1" w:styleId="NormalHanging12a">
    <w:name w:val="NormalHanging12a"/>
    <w:basedOn w:val="Normal"/>
    <w:rsid w:val="00572801"/>
    <w:pPr>
      <w:widowControl/>
      <w:spacing w:after="240"/>
      <w:ind w:left="567" w:hanging="567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customStyle="1" w:styleId="PageHeading">
    <w:name w:val="PageHeading"/>
    <w:basedOn w:val="Normal"/>
    <w:rsid w:val="00F03FCA"/>
    <w:pPr>
      <w:keepNext/>
      <w:spacing w:after="480"/>
      <w:jc w:val="center"/>
    </w:pPr>
    <w:rPr>
      <w:rFonts w:ascii="Arial" w:hAnsi="Arial" w:cs="Arial"/>
      <w:b/>
    </w:r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paragraph" w:customStyle="1" w:styleId="TOCSubHeading">
    <w:name w:val="TOC SubHeading"/>
    <w:basedOn w:val="Normal"/>
    <w:rsid w:val="00F03FCA"/>
    <w:pPr>
      <w:spacing w:before="480" w:after="240"/>
    </w:pPr>
    <w:rPr>
      <w:b/>
    </w:rPr>
  </w:style>
  <w:style w:type="paragraph" w:customStyle="1" w:styleId="TOCTabLeader">
    <w:name w:val="TOC TabLeader"/>
    <w:basedOn w:val="Normal"/>
    <w:rsid w:val="00E839D9"/>
    <w:pPr>
      <w:tabs>
        <w:tab w:val="left" w:leader="dot" w:pos="5954"/>
      </w:tabs>
      <w:spacing w:after="240"/>
    </w:pPr>
  </w:style>
  <w:style w:type="paragraph" w:customStyle="1" w:styleId="CoverNormalHanging">
    <w:name w:val="CoverNormalHanging"/>
    <w:basedOn w:val="Normal"/>
    <w:rsid w:val="00BF1100"/>
    <w:pPr>
      <w:ind w:left="3686" w:hanging="2268"/>
    </w:pPr>
  </w:style>
  <w:style w:type="paragraph" w:styleId="TOCHeading">
    <w:name w:val="TOC Heading"/>
    <w:basedOn w:val="Normal"/>
    <w:next w:val="TOCPage"/>
    <w:rsid w:val="007F2104"/>
    <w:pPr>
      <w:keepNext/>
      <w:spacing w:before="240" w:after="240"/>
      <w:jc w:val="center"/>
    </w:pPr>
    <w:rPr>
      <w:rFonts w:ascii="Arial" w:hAnsi="Arial"/>
      <w:b/>
      <w:snapToGrid/>
      <w:lang w:eastAsia="en-GB"/>
    </w:rPr>
  </w:style>
  <w:style w:type="table" w:styleId="TableGrid">
    <w:name w:val="Table Grid"/>
    <w:basedOn w:val="TableNormal"/>
    <w:rsid w:val="00F732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F03FCA"/>
    <w:pPr>
      <w:jc w:val="center"/>
    </w:pPr>
    <w:rPr>
      <w:rFonts w:ascii="Arial" w:hAnsi="Arial" w:cs="Arial"/>
      <w:i/>
      <w:snapToGrid/>
      <w:sz w:val="22"/>
      <w:szCs w:val="22"/>
      <w:lang w:eastAsia="en-GB"/>
    </w:rPr>
  </w:style>
  <w:style w:type="paragraph" w:customStyle="1" w:styleId="LineTop">
    <w:name w:val="LineTop"/>
    <w:basedOn w:val="Normal"/>
    <w:next w:val="Normal"/>
    <w:rsid w:val="00F732B6"/>
    <w:pPr>
      <w:pBdr>
        <w:top w:val="single" w:sz="4" w:space="1" w:color="auto"/>
      </w:pBdr>
      <w:jc w:val="center"/>
    </w:pPr>
    <w:rPr>
      <w:rFonts w:ascii="Arial" w:hAnsi="Arial" w:cs="Arial"/>
      <w:snapToGrid/>
      <w:sz w:val="16"/>
      <w:szCs w:val="16"/>
      <w:lang w:eastAsia="en-GB"/>
    </w:rPr>
  </w:style>
  <w:style w:type="paragraph" w:customStyle="1" w:styleId="LineBottom">
    <w:name w:val="LineBottom"/>
    <w:basedOn w:val="Normal"/>
    <w:next w:val="Normal"/>
    <w:rsid w:val="00791131"/>
    <w:pPr>
      <w:pBdr>
        <w:bottom w:val="single" w:sz="4" w:space="1" w:color="auto"/>
      </w:pBdr>
      <w:spacing w:after="240"/>
      <w:jc w:val="center"/>
    </w:pPr>
    <w:rPr>
      <w:rFonts w:ascii="Arial" w:hAnsi="Arial" w:cs="Arial"/>
      <w:snapToGrid/>
      <w:sz w:val="16"/>
      <w:szCs w:val="16"/>
      <w:lang w:eastAsia="en-GB"/>
    </w:rPr>
  </w:style>
  <w:style w:type="paragraph" w:customStyle="1" w:styleId="EPTerm">
    <w:name w:val="EPTerm"/>
    <w:basedOn w:val="Normal"/>
    <w:next w:val="Normal"/>
    <w:rsid w:val="00D16E15"/>
    <w:pPr>
      <w:spacing w:after="80"/>
    </w:pPr>
    <w:rPr>
      <w:rFonts w:ascii="Arial" w:hAnsi="Arial" w:cs="Arial"/>
      <w:snapToGrid/>
      <w:sz w:val="20"/>
      <w:szCs w:val="22"/>
      <w:lang w:eastAsia="en-GB"/>
    </w:rPr>
  </w:style>
  <w:style w:type="paragraph" w:customStyle="1" w:styleId="EPLogo">
    <w:name w:val="EPLogo"/>
    <w:basedOn w:val="Normal"/>
    <w:qFormat/>
    <w:rsid w:val="00D16E15"/>
    <w:pPr>
      <w:jc w:val="right"/>
    </w:pPr>
    <w:rPr>
      <w:snapToGrid/>
      <w:lang w:eastAsia="en-GB"/>
    </w:rPr>
  </w:style>
  <w:style w:type="paragraph" w:customStyle="1" w:styleId="CoverRefPart">
    <w:name w:val="CoverRefPart"/>
    <w:basedOn w:val="Normal"/>
    <w:rsid w:val="00577455"/>
    <w:pPr>
      <w:jc w:val="right"/>
    </w:pPr>
    <w:rPr>
      <w:rFonts w:ascii="Arial" w:hAnsi="Arial"/>
    </w:rPr>
  </w:style>
  <w:style w:type="paragraph" w:customStyle="1" w:styleId="Subheading">
    <w:name w:val="Subheading"/>
    <w:basedOn w:val="Normal"/>
    <w:rsid w:val="0065571D"/>
    <w:pPr>
      <w:spacing w:before="480" w:after="240"/>
    </w:pPr>
    <w:rPr>
      <w:b/>
      <w:bCs/>
      <w:i/>
      <w:iCs/>
    </w:rPr>
  </w:style>
  <w:style w:type="paragraph" w:customStyle="1" w:styleId="EPFooter">
    <w:name w:val="EPFooter"/>
    <w:basedOn w:val="Normal"/>
    <w:rsid w:val="007C663F"/>
    <w:pPr>
      <w:tabs>
        <w:tab w:val="center" w:pos="4535"/>
        <w:tab w:val="right" w:pos="9071"/>
      </w:tabs>
      <w:spacing w:before="240" w:after="240"/>
    </w:pPr>
    <w:rPr>
      <w:sz w:val="22"/>
    </w:rPr>
  </w:style>
  <w:style w:type="paragraph" w:styleId="Header">
    <w:name w:val="header"/>
    <w:basedOn w:val="Normal"/>
    <w:link w:val="HeaderChar"/>
    <w:semiHidden/>
    <w:rsid w:val="007C66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791131"/>
    <w:rPr>
      <w:snapToGrid w:val="0"/>
      <w:sz w:val="24"/>
      <w:lang w:eastAsia="en-US"/>
    </w:rPr>
  </w:style>
  <w:style w:type="character" w:styleId="PageNumber">
    <w:name w:val="page number"/>
    <w:basedOn w:val="DefaultParagraphFont"/>
    <w:semiHidden/>
    <w:rsid w:val="00131752"/>
  </w:style>
  <w:style w:type="paragraph" w:customStyle="1" w:styleId="AmColumnHeading">
    <w:name w:val="AmColumnHeading"/>
    <w:basedOn w:val="Normal"/>
    <w:rsid w:val="00B47478"/>
    <w:pPr>
      <w:spacing w:after="240"/>
      <w:jc w:val="center"/>
    </w:pPr>
    <w:rPr>
      <w:i/>
      <w:snapToGrid/>
      <w:lang w:eastAsia="en-GB"/>
    </w:rPr>
  </w:style>
  <w:style w:type="paragraph" w:customStyle="1" w:styleId="AmCrossRef">
    <w:name w:val="AmCrossRef"/>
    <w:basedOn w:val="Normal"/>
    <w:rsid w:val="00B47478"/>
    <w:pPr>
      <w:spacing w:before="240" w:after="240"/>
      <w:jc w:val="center"/>
    </w:pPr>
    <w:rPr>
      <w:i/>
      <w:snapToGrid/>
      <w:lang w:eastAsia="en-GB"/>
    </w:rPr>
  </w:style>
  <w:style w:type="paragraph" w:customStyle="1" w:styleId="AmJustText">
    <w:name w:val="AmJustText"/>
    <w:basedOn w:val="Normal"/>
    <w:rsid w:val="00B47478"/>
    <w:pPr>
      <w:spacing w:after="240"/>
    </w:pPr>
    <w:rPr>
      <w:i/>
      <w:snapToGrid/>
      <w:lang w:eastAsia="en-GB"/>
    </w:rPr>
  </w:style>
  <w:style w:type="paragraph" w:customStyle="1" w:styleId="AmJustTitle">
    <w:name w:val="AmJustTitle"/>
    <w:basedOn w:val="Normal"/>
    <w:next w:val="AmJustText"/>
    <w:rsid w:val="00B47478"/>
    <w:pPr>
      <w:keepNext/>
      <w:spacing w:before="240" w:after="240"/>
      <w:jc w:val="center"/>
    </w:pPr>
    <w:rPr>
      <w:i/>
      <w:snapToGrid/>
      <w:lang w:eastAsia="en-GB"/>
    </w:rPr>
  </w:style>
  <w:style w:type="paragraph" w:customStyle="1" w:styleId="AmNumberTabs">
    <w:name w:val="AmNumberTabs"/>
    <w:basedOn w:val="Normal"/>
    <w:rsid w:val="00B47478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snapToGrid/>
      <w:lang w:eastAsia="en-GB"/>
    </w:rPr>
  </w:style>
  <w:style w:type="paragraph" w:customStyle="1" w:styleId="AmOrLang">
    <w:name w:val="AmOrLang"/>
    <w:basedOn w:val="Normal"/>
    <w:rsid w:val="00B47478"/>
    <w:pPr>
      <w:spacing w:before="240" w:after="240"/>
      <w:jc w:val="right"/>
    </w:pPr>
    <w:rPr>
      <w:snapToGrid/>
      <w:lang w:eastAsia="en-GB"/>
    </w:rPr>
  </w:style>
  <w:style w:type="paragraph" w:customStyle="1" w:styleId="AnnexWPDate">
    <w:name w:val="AnnexWPDate"/>
    <w:basedOn w:val="Normal"/>
    <w:rsid w:val="00B47478"/>
    <w:pPr>
      <w:spacing w:before="240" w:after="480"/>
      <w:jc w:val="right"/>
    </w:pPr>
    <w:rPr>
      <w:snapToGrid/>
      <w:lang w:eastAsia="en-GB"/>
    </w:rPr>
  </w:style>
  <w:style w:type="paragraph" w:customStyle="1" w:styleId="AnnexWPDocType">
    <w:name w:val="AnnexWPDocType"/>
    <w:basedOn w:val="Normal"/>
    <w:rsid w:val="00B47478"/>
    <w:pPr>
      <w:spacing w:after="240"/>
      <w:jc w:val="center"/>
    </w:pPr>
    <w:rPr>
      <w:b/>
      <w:snapToGrid/>
      <w:lang w:eastAsia="en-GB"/>
    </w:rPr>
  </w:style>
  <w:style w:type="paragraph" w:customStyle="1" w:styleId="AnnexWPLogo">
    <w:name w:val="AnnexWPLogo"/>
    <w:basedOn w:val="Normal"/>
    <w:rsid w:val="00B47478"/>
    <w:pPr>
      <w:spacing w:before="120" w:after="120"/>
    </w:pPr>
    <w:rPr>
      <w:snapToGrid/>
      <w:lang w:eastAsia="en-GB"/>
    </w:rPr>
  </w:style>
  <w:style w:type="paragraph" w:customStyle="1" w:styleId="AnnexWPSmall">
    <w:name w:val="AnnexWPSmall"/>
    <w:basedOn w:val="Normal"/>
    <w:rsid w:val="00B47478"/>
    <w:rPr>
      <w:smallCaps/>
      <w:snapToGrid/>
      <w:sz w:val="20"/>
      <w:lang w:eastAsia="en-GB"/>
    </w:rPr>
  </w:style>
  <w:style w:type="paragraph" w:customStyle="1" w:styleId="AnnexWPTabs">
    <w:name w:val="AnnexWPTabs"/>
    <w:basedOn w:val="Normal"/>
    <w:rsid w:val="00B47478"/>
    <w:pPr>
      <w:tabs>
        <w:tab w:val="right" w:pos="3686"/>
        <w:tab w:val="left" w:pos="3827"/>
      </w:tabs>
    </w:pPr>
    <w:rPr>
      <w:b/>
      <w:snapToGrid/>
      <w:lang w:eastAsia="en-GB"/>
    </w:rPr>
  </w:style>
  <w:style w:type="paragraph" w:customStyle="1" w:styleId="AnnexWPTitle">
    <w:name w:val="AnnexWPTitle"/>
    <w:basedOn w:val="Normal"/>
    <w:rsid w:val="00B47478"/>
    <w:pPr>
      <w:spacing w:before="480"/>
    </w:pPr>
    <w:rPr>
      <w:b/>
      <w:snapToGrid/>
      <w:lang w:eastAsia="en-GB"/>
    </w:rPr>
  </w:style>
  <w:style w:type="paragraph" w:customStyle="1" w:styleId="AmHeadingConsam">
    <w:name w:val="AmHeadingConsam"/>
    <w:basedOn w:val="Normal"/>
    <w:next w:val="Normal"/>
    <w:rsid w:val="00B47478"/>
    <w:pPr>
      <w:spacing w:before="720" w:after="240"/>
      <w:jc w:val="center"/>
    </w:pPr>
    <w:rPr>
      <w:snapToGrid/>
      <w:lang w:eastAsia="en-GB"/>
    </w:rPr>
  </w:style>
  <w:style w:type="paragraph" w:customStyle="1" w:styleId="CoverNormal12a">
    <w:name w:val="CoverNormal12a"/>
    <w:basedOn w:val="Normal"/>
    <w:rsid w:val="00B47478"/>
    <w:pPr>
      <w:spacing w:after="240"/>
      <w:ind w:left="1418"/>
    </w:pPr>
    <w:rPr>
      <w:snapToGrid/>
      <w:lang w:eastAsia="en-GB"/>
    </w:rPr>
  </w:style>
  <w:style w:type="paragraph" w:customStyle="1" w:styleId="Confidential">
    <w:name w:val="Confidential"/>
    <w:basedOn w:val="Normal"/>
    <w:rsid w:val="00B47478"/>
    <w:pPr>
      <w:spacing w:before="120" w:after="120"/>
      <w:jc w:val="center"/>
    </w:pPr>
    <w:rPr>
      <w:rFonts w:ascii="Arial" w:hAnsi="Arial"/>
      <w:caps/>
      <w:snapToGrid/>
      <w:lang w:eastAsia="en-GB"/>
    </w:rPr>
  </w:style>
  <w:style w:type="paragraph" w:customStyle="1" w:styleId="CoverReferenceIMM">
    <w:name w:val="CoverReferenceIMM"/>
    <w:basedOn w:val="Normal"/>
    <w:rsid w:val="00B47478"/>
    <w:pPr>
      <w:spacing w:before="360"/>
      <w:jc w:val="right"/>
    </w:pPr>
    <w:rPr>
      <w:rFonts w:ascii="Arial" w:hAnsi="Arial"/>
      <w:b/>
      <w:snapToGrid/>
      <w:lang w:eastAsia="en-GB"/>
    </w:rPr>
  </w:style>
  <w:style w:type="paragraph" w:customStyle="1" w:styleId="CoverDate">
    <w:name w:val="CoverDate"/>
    <w:basedOn w:val="Normal"/>
    <w:rsid w:val="00B47478"/>
    <w:pPr>
      <w:spacing w:before="240" w:after="1200"/>
    </w:pPr>
    <w:rPr>
      <w:snapToGrid/>
      <w:lang w:eastAsia="en-GB"/>
    </w:rPr>
  </w:style>
  <w:style w:type="paragraph" w:customStyle="1" w:styleId="CoverDocType">
    <w:name w:val="CoverDocType"/>
    <w:basedOn w:val="Normal"/>
    <w:rsid w:val="00B47478"/>
    <w:pPr>
      <w:ind w:left="1418"/>
    </w:pPr>
    <w:rPr>
      <w:rFonts w:ascii="Arial" w:hAnsi="Arial"/>
      <w:b/>
      <w:snapToGrid/>
      <w:sz w:val="48"/>
      <w:lang w:eastAsia="en-GB"/>
    </w:rPr>
  </w:style>
  <w:style w:type="character" w:styleId="FootnoteReference">
    <w:name w:val="footnote reference"/>
    <w:rsid w:val="00B47478"/>
    <w:rPr>
      <w:vertAlign w:val="superscript"/>
    </w:rPr>
  </w:style>
  <w:style w:type="paragraph" w:customStyle="1" w:styleId="NormalBold12a">
    <w:name w:val="NormalBold12a"/>
    <w:basedOn w:val="Normal"/>
    <w:rsid w:val="00B47478"/>
    <w:pPr>
      <w:spacing w:after="240"/>
    </w:pPr>
    <w:rPr>
      <w:b/>
      <w:snapToGrid/>
      <w:lang w:eastAsia="en-GB"/>
    </w:rPr>
  </w:style>
  <w:style w:type="paragraph" w:customStyle="1" w:styleId="NormalCenter12a">
    <w:name w:val="NormalCenter12a"/>
    <w:basedOn w:val="Normal"/>
    <w:rsid w:val="00B47478"/>
    <w:pPr>
      <w:spacing w:after="240"/>
      <w:jc w:val="center"/>
    </w:pPr>
    <w:rPr>
      <w:snapToGrid/>
      <w:lang w:eastAsia="en-GB"/>
    </w:rPr>
  </w:style>
  <w:style w:type="paragraph" w:customStyle="1" w:styleId="Normal6a">
    <w:name w:val="Normal6a"/>
    <w:basedOn w:val="Normal"/>
    <w:rsid w:val="00B47478"/>
    <w:pPr>
      <w:spacing w:after="120"/>
    </w:pPr>
    <w:rPr>
      <w:snapToGrid/>
      <w:lang w:eastAsia="en-GB"/>
    </w:rPr>
  </w:style>
  <w:style w:type="paragraph" w:customStyle="1" w:styleId="NormalBold12b">
    <w:name w:val="NormalBold12b"/>
    <w:basedOn w:val="Normal"/>
    <w:rsid w:val="00B47478"/>
    <w:pPr>
      <w:spacing w:before="240"/>
    </w:pPr>
    <w:rPr>
      <w:b/>
      <w:snapToGrid/>
      <w:lang w:eastAsia="en-GB"/>
    </w:rPr>
  </w:style>
  <w:style w:type="paragraph" w:customStyle="1" w:styleId="Arial14CentreBold">
    <w:name w:val="Arial14CentreBold"/>
    <w:basedOn w:val="Normal"/>
    <w:qFormat/>
    <w:rsid w:val="00A75A20"/>
    <w:pPr>
      <w:jc w:val="center"/>
    </w:pPr>
    <w:rPr>
      <w:rFonts w:ascii="Arial" w:hAnsi="Arial" w:cs="Arial"/>
      <w:b/>
      <w:snapToGrid/>
      <w:sz w:val="28"/>
      <w:szCs w:val="28"/>
      <w:lang w:eastAsia="en-GB"/>
    </w:rPr>
  </w:style>
  <w:style w:type="character" w:customStyle="1" w:styleId="Bold">
    <w:name w:val="Bold"/>
    <w:uiPriority w:val="1"/>
    <w:rsid w:val="0065571D"/>
    <w:rPr>
      <w:b/>
    </w:rPr>
  </w:style>
  <w:style w:type="character" w:customStyle="1" w:styleId="BoldItalic">
    <w:name w:val="BoldItalic"/>
    <w:uiPriority w:val="1"/>
    <w:rsid w:val="0065571D"/>
    <w:rPr>
      <w:b/>
      <w:i/>
      <w:u w:val="none"/>
    </w:rPr>
  </w:style>
  <w:style w:type="character" w:customStyle="1" w:styleId="BoldItalicUnderline">
    <w:name w:val="BoldItalicUnderline"/>
    <w:uiPriority w:val="1"/>
    <w:rsid w:val="0065571D"/>
    <w:rPr>
      <w:b/>
      <w:i/>
      <w:u w:val="single"/>
    </w:rPr>
  </w:style>
  <w:style w:type="character" w:customStyle="1" w:styleId="BoldUnderline">
    <w:name w:val="BoldUnderline"/>
    <w:uiPriority w:val="1"/>
    <w:rsid w:val="0065571D"/>
    <w:rPr>
      <w:b/>
      <w:u w:val="single"/>
    </w:rPr>
  </w:style>
  <w:style w:type="paragraph" w:customStyle="1" w:styleId="CoverNormalLeft">
    <w:name w:val="CoverNormalLeft"/>
    <w:basedOn w:val="CoverNormal"/>
    <w:qFormat/>
    <w:rsid w:val="00A75A20"/>
    <w:pPr>
      <w:ind w:left="0"/>
    </w:pPr>
    <w:rPr>
      <w:snapToGrid/>
      <w:lang w:eastAsia="en-GB"/>
    </w:rPr>
  </w:style>
  <w:style w:type="paragraph" w:customStyle="1" w:styleId="EPFooter2Landscape">
    <w:name w:val="EPFooter2Landscape"/>
    <w:qFormat/>
    <w:rsid w:val="00A75A20"/>
    <w:pPr>
      <w:tabs>
        <w:tab w:val="center" w:pos="4536"/>
        <w:tab w:val="center" w:pos="9923"/>
        <w:tab w:val="right" w:pos="15026"/>
      </w:tabs>
    </w:pPr>
    <w:rPr>
      <w:rFonts w:ascii="Arial" w:hAnsi="Arial" w:cs="Arial"/>
      <w:b/>
      <w:sz w:val="48"/>
      <w:szCs w:val="22"/>
    </w:rPr>
  </w:style>
  <w:style w:type="character" w:customStyle="1" w:styleId="EPFooter2Motto">
    <w:name w:val="EPFooter2Motto"/>
    <w:uiPriority w:val="1"/>
    <w:qFormat/>
    <w:rsid w:val="002707F5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qFormat/>
    <w:rsid w:val="00A75A20"/>
    <w:pPr>
      <w:tabs>
        <w:tab w:val="center" w:pos="6804"/>
        <w:tab w:val="right" w:pos="15026"/>
      </w:tabs>
    </w:pPr>
    <w:rPr>
      <w:sz w:val="22"/>
    </w:rPr>
  </w:style>
  <w:style w:type="character" w:customStyle="1" w:styleId="Italic">
    <w:name w:val="Italic"/>
    <w:uiPriority w:val="1"/>
    <w:rsid w:val="0065571D"/>
    <w:rPr>
      <w:i/>
    </w:rPr>
  </w:style>
  <w:style w:type="character" w:customStyle="1" w:styleId="ItalicUnderline">
    <w:name w:val="ItalicUnderline"/>
    <w:uiPriority w:val="1"/>
    <w:rsid w:val="0065571D"/>
    <w:rPr>
      <w:i/>
      <w:u w:val="single"/>
    </w:rPr>
  </w:style>
  <w:style w:type="paragraph" w:customStyle="1" w:styleId="LegendSign">
    <w:name w:val="LegendSign"/>
    <w:basedOn w:val="Normal"/>
    <w:qFormat/>
    <w:rsid w:val="00A75A20"/>
    <w:pPr>
      <w:tabs>
        <w:tab w:val="right" w:pos="454"/>
        <w:tab w:val="left" w:pos="737"/>
      </w:tabs>
      <w:ind w:left="737" w:hanging="737"/>
    </w:pPr>
    <w:rPr>
      <w:snapToGrid/>
      <w:sz w:val="18"/>
      <w:lang w:eastAsia="en-GB"/>
    </w:rPr>
  </w:style>
  <w:style w:type="paragraph" w:customStyle="1" w:styleId="LegendStandard">
    <w:name w:val="LegendStandard"/>
    <w:basedOn w:val="LegendSign"/>
    <w:qFormat/>
    <w:rsid w:val="00A75A20"/>
    <w:pPr>
      <w:ind w:left="0" w:firstLine="0"/>
    </w:pPr>
  </w:style>
  <w:style w:type="paragraph" w:customStyle="1" w:styleId="LegendTitle">
    <w:name w:val="LegendTitle"/>
    <w:basedOn w:val="Normal"/>
    <w:qFormat/>
    <w:rsid w:val="00A75A20"/>
    <w:pPr>
      <w:spacing w:before="240" w:after="240"/>
    </w:pPr>
    <w:rPr>
      <w:b/>
      <w:i/>
      <w:snapToGrid/>
      <w:lang w:eastAsia="en-GB"/>
    </w:rPr>
  </w:style>
  <w:style w:type="character" w:customStyle="1" w:styleId="HideTermComment">
    <w:name w:val="HideTermComment"/>
    <w:uiPriority w:val="1"/>
    <w:qFormat/>
    <w:rsid w:val="00A75A20"/>
    <w:rPr>
      <w:rFonts w:ascii="Arial" w:hAnsi="Arial"/>
      <w:vanish/>
      <w:color w:val="0066CC"/>
      <w:sz w:val="18"/>
    </w:rPr>
  </w:style>
  <w:style w:type="character" w:customStyle="1" w:styleId="HideTerminTermComment">
    <w:name w:val="HideTerminTermComment"/>
    <w:basedOn w:val="HideTermComment"/>
    <w:uiPriority w:val="1"/>
    <w:qFormat/>
    <w:rsid w:val="00A75A20"/>
    <w:rPr>
      <w:rFonts w:ascii="Arial" w:hAnsi="Arial"/>
      <w:vanish/>
      <w:color w:val="538135" w:themeColor="accent6" w:themeShade="BF"/>
      <w:sz w:val="18"/>
    </w:rPr>
  </w:style>
  <w:style w:type="paragraph" w:customStyle="1" w:styleId="Normal12a">
    <w:name w:val="Normal12a"/>
    <w:basedOn w:val="Normal"/>
    <w:rsid w:val="00031EA2"/>
    <w:pPr>
      <w:spacing w:after="240"/>
    </w:pPr>
    <w:rPr>
      <w:snapToGrid/>
      <w:lang w:eastAsia="en-GB"/>
    </w:rPr>
  </w:style>
  <w:style w:type="paragraph" w:customStyle="1" w:styleId="Normal12b">
    <w:name w:val="Normal12b"/>
    <w:basedOn w:val="Normal"/>
    <w:qFormat/>
    <w:rsid w:val="00A75A20"/>
    <w:pPr>
      <w:spacing w:before="240"/>
    </w:pPr>
    <w:rPr>
      <w:snapToGrid/>
      <w:lang w:eastAsia="en-GB"/>
    </w:rPr>
  </w:style>
  <w:style w:type="paragraph" w:customStyle="1" w:styleId="NormalBoldUnderline24b">
    <w:name w:val="NormalBoldUnderline24b"/>
    <w:basedOn w:val="Normal"/>
    <w:qFormat/>
    <w:rsid w:val="001038F2"/>
    <w:pPr>
      <w:spacing w:before="480"/>
    </w:pPr>
    <w:rPr>
      <w:b/>
      <w:snapToGrid/>
      <w:u w:val="single"/>
      <w:lang w:eastAsia="en-GB"/>
    </w:rPr>
  </w:style>
  <w:style w:type="paragraph" w:customStyle="1" w:styleId="NormalBoldUnderline24b12a">
    <w:name w:val="NormalBoldUnderline24b12a"/>
    <w:basedOn w:val="NormalBoldUnderline24b"/>
    <w:qFormat/>
    <w:rsid w:val="00A75A20"/>
    <w:pPr>
      <w:spacing w:after="240"/>
    </w:pPr>
  </w:style>
  <w:style w:type="paragraph" w:customStyle="1" w:styleId="Normal12aBullet1">
    <w:name w:val="Normal12aBullet1"/>
    <w:basedOn w:val="Normal"/>
    <w:qFormat/>
    <w:rsid w:val="00A75A20"/>
    <w:pPr>
      <w:widowControl/>
      <w:numPr>
        <w:numId w:val="1"/>
      </w:numPr>
    </w:pPr>
    <w:rPr>
      <w:snapToGrid/>
      <w:lang w:eastAsia="en-GB"/>
    </w:rPr>
  </w:style>
  <w:style w:type="paragraph" w:customStyle="1" w:styleId="Normal12aBullet2">
    <w:name w:val="Normal12aBullet2"/>
    <w:basedOn w:val="Normal"/>
    <w:qFormat/>
    <w:rsid w:val="00A75A20"/>
    <w:pPr>
      <w:numPr>
        <w:numId w:val="2"/>
      </w:numPr>
    </w:pPr>
    <w:rPr>
      <w:snapToGrid/>
      <w:lang w:eastAsia="en-GB"/>
    </w:rPr>
  </w:style>
  <w:style w:type="paragraph" w:customStyle="1" w:styleId="NormalHanging12a1">
    <w:name w:val="NormalHanging12a1"/>
    <w:basedOn w:val="Normal"/>
    <w:qFormat/>
    <w:rsid w:val="00C668A5"/>
    <w:pPr>
      <w:spacing w:after="240"/>
      <w:ind w:left="992" w:hanging="425"/>
    </w:pPr>
    <w:rPr>
      <w:snapToGrid/>
      <w:lang w:eastAsia="en-GB"/>
    </w:rPr>
  </w:style>
  <w:style w:type="paragraph" w:customStyle="1" w:styleId="NormalHanging12a2">
    <w:name w:val="NormalHanging12a2"/>
    <w:basedOn w:val="NormalHanging12a1"/>
    <w:qFormat/>
    <w:rsid w:val="00A75A20"/>
    <w:pPr>
      <w:ind w:left="1417"/>
    </w:pPr>
  </w:style>
  <w:style w:type="paragraph" w:customStyle="1" w:styleId="NormalHanging12a3">
    <w:name w:val="NormalHanging12a3"/>
    <w:basedOn w:val="NormalHanging12a2"/>
    <w:qFormat/>
    <w:rsid w:val="00A75A20"/>
    <w:pPr>
      <w:ind w:left="1843"/>
    </w:pPr>
  </w:style>
  <w:style w:type="paragraph" w:customStyle="1" w:styleId="NormalHanging12a4">
    <w:name w:val="NormalHanging12a4"/>
    <w:basedOn w:val="NormalHanging12a3"/>
    <w:qFormat/>
    <w:rsid w:val="00A75A20"/>
    <w:pPr>
      <w:ind w:left="2268"/>
    </w:pPr>
  </w:style>
  <w:style w:type="paragraph" w:customStyle="1" w:styleId="NormalHanging12a5">
    <w:name w:val="NormalHanging12a5"/>
    <w:basedOn w:val="NormalHanging12a4"/>
    <w:qFormat/>
    <w:rsid w:val="00A75A20"/>
    <w:pPr>
      <w:ind w:left="2693"/>
    </w:pPr>
  </w:style>
  <w:style w:type="paragraph" w:customStyle="1" w:styleId="NormalHanging12a6">
    <w:name w:val="NormalHanging12a6"/>
    <w:basedOn w:val="NormalHanging12a5"/>
    <w:qFormat/>
    <w:rsid w:val="00A75A20"/>
    <w:pPr>
      <w:ind w:left="3118"/>
    </w:pPr>
  </w:style>
  <w:style w:type="paragraph" w:customStyle="1" w:styleId="NormalHanging12a7">
    <w:name w:val="NormalHanging12a7"/>
    <w:basedOn w:val="NormalHanging12a6"/>
    <w:qFormat/>
    <w:rsid w:val="00A75A20"/>
    <w:pPr>
      <w:ind w:left="3544"/>
    </w:pPr>
  </w:style>
  <w:style w:type="paragraph" w:customStyle="1" w:styleId="NormalHangingCenter">
    <w:name w:val="NormalHangingCenter"/>
    <w:basedOn w:val="Normal"/>
    <w:qFormat/>
    <w:rsid w:val="00BC0B6B"/>
    <w:pPr>
      <w:spacing w:after="240"/>
      <w:ind w:left="567" w:hanging="567"/>
      <w:jc w:val="center"/>
    </w:pPr>
    <w:rPr>
      <w:snapToGrid/>
      <w:lang w:eastAsia="en-GB"/>
    </w:rPr>
  </w:style>
  <w:style w:type="paragraph" w:customStyle="1" w:styleId="NormalHangingJustified">
    <w:name w:val="NormalHangingJustified"/>
    <w:basedOn w:val="Normal"/>
    <w:qFormat/>
    <w:rsid w:val="00BC0B6B"/>
    <w:pPr>
      <w:spacing w:after="240"/>
      <w:ind w:left="714" w:hanging="357"/>
      <w:jc w:val="both"/>
    </w:pPr>
    <w:rPr>
      <w:snapToGrid/>
      <w:lang w:eastAsia="en-GB"/>
    </w:rPr>
  </w:style>
  <w:style w:type="paragraph" w:customStyle="1" w:styleId="NormalUnderline24b12a">
    <w:name w:val="NormalUnderline24b12a"/>
    <w:basedOn w:val="EPComma"/>
    <w:qFormat/>
    <w:rsid w:val="00A75A20"/>
    <w:rPr>
      <w:snapToGrid/>
      <w:u w:val="single"/>
      <w:lang w:eastAsia="en-GB"/>
    </w:rPr>
  </w:style>
  <w:style w:type="paragraph" w:customStyle="1" w:styleId="Normal2">
    <w:name w:val="Normal2"/>
    <w:next w:val="Normal"/>
    <w:qFormat/>
    <w:rsid w:val="00A75A20"/>
    <w:pPr>
      <w:spacing w:line="120" w:lineRule="auto"/>
    </w:pPr>
    <w:rPr>
      <w:color w:val="000000"/>
      <w:sz w:val="4"/>
      <w:szCs w:val="24"/>
    </w:rPr>
  </w:style>
  <w:style w:type="character" w:customStyle="1" w:styleId="NormalBI">
    <w:name w:val="NormalBI"/>
    <w:basedOn w:val="DefaultParagraphFont"/>
    <w:uiPriority w:val="1"/>
    <w:qFormat/>
    <w:rsid w:val="00A75A20"/>
    <w:rPr>
      <w:rFonts w:ascii="Times New Roman" w:hAnsi="Times New Roman"/>
      <w:b/>
      <w:i/>
      <w:sz w:val="24"/>
    </w:rPr>
  </w:style>
  <w:style w:type="paragraph" w:customStyle="1" w:styleId="NormalBoldItalic6a">
    <w:name w:val="NormalBoldItalic6a"/>
    <w:basedOn w:val="Normal6a"/>
    <w:qFormat/>
    <w:rsid w:val="00A75A20"/>
    <w:rPr>
      <w:b/>
      <w:i/>
    </w:rPr>
  </w:style>
  <w:style w:type="paragraph" w:customStyle="1" w:styleId="NormalBoldItalicCenter6a">
    <w:name w:val="NormalBoldItalicCenter6a"/>
    <w:basedOn w:val="Normal6a"/>
    <w:qFormat/>
    <w:rsid w:val="00A75A20"/>
    <w:pPr>
      <w:jc w:val="center"/>
    </w:pPr>
    <w:rPr>
      <w:b/>
      <w:i/>
    </w:rPr>
  </w:style>
  <w:style w:type="paragraph" w:customStyle="1" w:styleId="NormalItalic6a">
    <w:name w:val="NormalItalic6a"/>
    <w:basedOn w:val="Normal6a"/>
    <w:qFormat/>
    <w:rsid w:val="00A75A20"/>
    <w:rPr>
      <w:i/>
    </w:rPr>
  </w:style>
  <w:style w:type="paragraph" w:customStyle="1" w:styleId="PageHeadingNotTOC">
    <w:name w:val="PageHeadingNotTOC"/>
    <w:basedOn w:val="PageHeading"/>
    <w:rsid w:val="00A75A20"/>
    <w:rPr>
      <w:rFonts w:cs="Times New Roman"/>
      <w:snapToGrid/>
      <w:lang w:eastAsia="en-GB"/>
    </w:rPr>
  </w:style>
  <w:style w:type="character" w:customStyle="1" w:styleId="Sub">
    <w:name w:val="Sub"/>
    <w:uiPriority w:val="1"/>
    <w:qFormat/>
    <w:rsid w:val="0065571D"/>
    <w:rPr>
      <w:vertAlign w:val="subscript"/>
    </w:rPr>
  </w:style>
  <w:style w:type="character" w:customStyle="1" w:styleId="SubBold">
    <w:name w:val="SubBold"/>
    <w:uiPriority w:val="1"/>
    <w:qFormat/>
    <w:rsid w:val="0065571D"/>
    <w:rPr>
      <w:b/>
      <w:vertAlign w:val="subscript"/>
    </w:rPr>
  </w:style>
  <w:style w:type="character" w:customStyle="1" w:styleId="SubBoldItalic">
    <w:name w:val="SubBoldItalic"/>
    <w:uiPriority w:val="1"/>
    <w:rsid w:val="0065571D"/>
    <w:rPr>
      <w:b/>
      <w:i/>
      <w:vertAlign w:val="subscript"/>
    </w:rPr>
  </w:style>
  <w:style w:type="character" w:customStyle="1" w:styleId="SubItalic">
    <w:name w:val="SubItalic"/>
    <w:uiPriority w:val="1"/>
    <w:qFormat/>
    <w:rsid w:val="0065571D"/>
    <w:rPr>
      <w:b/>
      <w:i/>
      <w:vertAlign w:val="subscript"/>
    </w:rPr>
  </w:style>
  <w:style w:type="character" w:customStyle="1" w:styleId="Sup">
    <w:name w:val="Sup"/>
    <w:uiPriority w:val="1"/>
    <w:rsid w:val="0065571D"/>
    <w:rPr>
      <w:vertAlign w:val="superscript"/>
    </w:rPr>
  </w:style>
  <w:style w:type="character" w:customStyle="1" w:styleId="SupBoldItalic">
    <w:name w:val="SupBoldItalic"/>
    <w:uiPriority w:val="1"/>
    <w:qFormat/>
    <w:rsid w:val="0065571D"/>
    <w:rPr>
      <w:b/>
      <w:i/>
      <w:vertAlign w:val="superscript"/>
    </w:rPr>
  </w:style>
  <w:style w:type="character" w:customStyle="1" w:styleId="Underline">
    <w:name w:val="Underline"/>
    <w:uiPriority w:val="1"/>
    <w:rsid w:val="0065571D"/>
    <w:rPr>
      <w:u w:val="single"/>
    </w:rPr>
  </w:style>
  <w:style w:type="paragraph" w:customStyle="1" w:styleId="NormalBoldCenter">
    <w:name w:val="NormalBoldCenter"/>
    <w:basedOn w:val="Normal"/>
    <w:rsid w:val="00880359"/>
    <w:pPr>
      <w:jc w:val="center"/>
    </w:pPr>
    <w:rPr>
      <w:b/>
      <w:snapToGrid/>
      <w:lang w:eastAsia="en-GB"/>
    </w:rPr>
  </w:style>
  <w:style w:type="paragraph" w:customStyle="1" w:styleId="ProcedureTable">
    <w:name w:val="ProcedureTable"/>
    <w:basedOn w:val="Normal"/>
    <w:rsid w:val="008572D4"/>
    <w:rPr>
      <w:snapToGrid/>
      <w:sz w:val="20"/>
      <w:lang w:eastAsia="en-GB"/>
    </w:rPr>
  </w:style>
  <w:style w:type="paragraph" w:customStyle="1" w:styleId="ProcedureTableBold">
    <w:name w:val="ProcedureTableBold"/>
    <w:basedOn w:val="Normal"/>
    <w:rsid w:val="008572D4"/>
    <w:rPr>
      <w:b/>
      <w:snapToGrid/>
      <w:sz w:val="20"/>
      <w:lang w:eastAsia="en-GB"/>
    </w:rPr>
  </w:style>
  <w:style w:type="paragraph" w:customStyle="1" w:styleId="NormalCenter">
    <w:name w:val="NormalCenter"/>
    <w:basedOn w:val="Normal"/>
    <w:rsid w:val="00314D1A"/>
    <w:pPr>
      <w:jc w:val="center"/>
    </w:pPr>
    <w:rPr>
      <w:snapToGrid/>
      <w:lang w:eastAsia="en-GB"/>
    </w:rPr>
  </w:style>
  <w:style w:type="character" w:customStyle="1" w:styleId="SubBoldItalicUnderline">
    <w:name w:val="SubBoldItalicUnderline"/>
    <w:uiPriority w:val="1"/>
    <w:rsid w:val="0065571D"/>
    <w:rPr>
      <w:b/>
      <w:i/>
      <w:u w:val="single"/>
      <w:vertAlign w:val="subscript"/>
    </w:rPr>
  </w:style>
  <w:style w:type="character" w:customStyle="1" w:styleId="SubBoldUnderline">
    <w:name w:val="SubBoldUnderline"/>
    <w:uiPriority w:val="1"/>
    <w:rsid w:val="0065571D"/>
    <w:rPr>
      <w:b/>
      <w:u w:val="single"/>
      <w:vertAlign w:val="subscript"/>
    </w:rPr>
  </w:style>
  <w:style w:type="character" w:customStyle="1" w:styleId="SubItalicUnderline">
    <w:name w:val="SubItalicUnderline"/>
    <w:uiPriority w:val="1"/>
    <w:rsid w:val="0065571D"/>
    <w:rPr>
      <w:i/>
      <w:u w:val="single"/>
      <w:vertAlign w:val="subscript"/>
    </w:rPr>
  </w:style>
  <w:style w:type="character" w:customStyle="1" w:styleId="SubUnderline">
    <w:name w:val="SubUnderline"/>
    <w:uiPriority w:val="1"/>
    <w:rsid w:val="0065571D"/>
    <w:rPr>
      <w:u w:val="single"/>
      <w:vertAlign w:val="subscript"/>
    </w:rPr>
  </w:style>
  <w:style w:type="character" w:customStyle="1" w:styleId="SupBold">
    <w:name w:val="SupBold"/>
    <w:uiPriority w:val="1"/>
    <w:rsid w:val="0065571D"/>
    <w:rPr>
      <w:b/>
      <w:vertAlign w:val="superscript"/>
    </w:rPr>
  </w:style>
  <w:style w:type="character" w:customStyle="1" w:styleId="SupBoldItalicUnderline">
    <w:name w:val="SupBoldItalicUnderline"/>
    <w:uiPriority w:val="1"/>
    <w:rsid w:val="0065571D"/>
    <w:rPr>
      <w:b/>
      <w:i/>
      <w:u w:val="single"/>
      <w:vertAlign w:val="superscript"/>
    </w:rPr>
  </w:style>
  <w:style w:type="character" w:customStyle="1" w:styleId="SupBoldUnderline">
    <w:name w:val="SupBoldUnderline"/>
    <w:uiPriority w:val="1"/>
    <w:rsid w:val="0065571D"/>
    <w:rPr>
      <w:b/>
      <w:u w:val="single"/>
      <w:vertAlign w:val="superscript"/>
    </w:rPr>
  </w:style>
  <w:style w:type="character" w:customStyle="1" w:styleId="SupItalic">
    <w:name w:val="SupItalic"/>
    <w:uiPriority w:val="1"/>
    <w:rsid w:val="0065571D"/>
    <w:rPr>
      <w:i/>
      <w:vertAlign w:val="superscript"/>
    </w:rPr>
  </w:style>
  <w:style w:type="character" w:customStyle="1" w:styleId="SupItalicUnderline">
    <w:name w:val="SupItalicUnderline"/>
    <w:uiPriority w:val="1"/>
    <w:rsid w:val="0065571D"/>
    <w:rPr>
      <w:i/>
      <w:u w:val="single"/>
      <w:vertAlign w:val="superscript"/>
    </w:rPr>
  </w:style>
  <w:style w:type="character" w:customStyle="1" w:styleId="SupUnderline">
    <w:name w:val="SupUnderline"/>
    <w:uiPriority w:val="1"/>
    <w:rsid w:val="0065571D"/>
    <w:rPr>
      <w:u w:val="single"/>
      <w:vertAlign w:val="superscript"/>
    </w:rPr>
  </w:style>
  <w:style w:type="paragraph" w:customStyle="1" w:styleId="Normal24a">
    <w:name w:val="Normal24a"/>
    <w:basedOn w:val="Normal"/>
    <w:rsid w:val="00B140D0"/>
    <w:pPr>
      <w:spacing w:after="480"/>
    </w:pPr>
    <w:rPr>
      <w:snapToGrid/>
      <w:lang w:eastAsia="en-GB"/>
    </w:rPr>
  </w:style>
  <w:style w:type="paragraph" w:customStyle="1" w:styleId="Normal12a24b">
    <w:name w:val="Normal12a24b"/>
    <w:basedOn w:val="Normal"/>
    <w:rsid w:val="00D46F6C"/>
    <w:pPr>
      <w:spacing w:before="360" w:after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image" Target="media/image1.pn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footer" Target="footer3.xml" /><Relationship Id="rId9" Type="http://schemas.openxmlformats.org/officeDocument/2006/relationships/numbering" Target="numbering.xml" /></Relationships>
</file>

<file path=word/_rels/footnotes.xml.rels>&#65279;<?xml version="1.0" encoding="utf-8" standalone="yes"?><Relationships xmlns="http://schemas.openxmlformats.org/package/2006/relationships"><Relationship Id="rId1" Type="http://schemas.openxmlformats.org/officeDocument/2006/relationships/hyperlink" Target="https://eur-lex.europa.eu/legal-content/EN/TXT/?uri=uriserv:OJ.L_.2009.211.01.0094.01.ENG" TargetMode="External" /><Relationship Id="rId10" Type="http://schemas.openxmlformats.org/officeDocument/2006/relationships/hyperlink" Target="https://eur-lex.europa.eu/legal-content/EN/TXT/?uri=uriserv:OJ.C_.2021.465.01.0062.01.ENG" TargetMode="External" /><Relationship Id="rId2" Type="http://schemas.openxmlformats.org/officeDocument/2006/relationships/hyperlink" Target="https://eur-lex.europa.eu/legal-content/EN/TXT/?uri=uriserv:OJ.L_.2012.315.01.0001.01.ENG" TargetMode="External" /><Relationship Id="rId3" Type="http://schemas.openxmlformats.org/officeDocument/2006/relationships/hyperlink" Target="https://eur-lex.europa.eu/legal-content/EN/TXT/?uri=uriserv:OJ.L_.2018.328.01.0082.01.ENG" TargetMode="External" /><Relationship Id="rId4" Type="http://schemas.openxmlformats.org/officeDocument/2006/relationships/hyperlink" Target="https://eur-lex.europa.eu/legal-content/EN/TXT/?uri=uriserv:OJ.L_.2019.158.01.0125.01.ENG" TargetMode="External" /><Relationship Id="rId5" Type="http://schemas.openxmlformats.org/officeDocument/2006/relationships/hyperlink" Target="https://eur-lex.europa.eu/legal-content/EN/TXT/?uri=uriserv:OJ.L_.2021.057.01.0017.01.ENG" TargetMode="External" /><Relationship Id="rId6" Type="http://schemas.openxmlformats.org/officeDocument/2006/relationships/hyperlink" Target="https://eur-lex.europa.eu/legal-content/EN/TXT/?uri=uriserv:OJ.L_.2023.132.01.0021.01.ENG" TargetMode="External" /><Relationship Id="rId7" Type="http://schemas.openxmlformats.org/officeDocument/2006/relationships/hyperlink" Target="https://eur-lex.europa.eu/legal-content/EN/TXT/?uri=uriserv:OJ.C_.2022.479.01.0075.01.ENG" TargetMode="External" /><Relationship Id="rId8" Type="http://schemas.openxmlformats.org/officeDocument/2006/relationships/hyperlink" Target="https://eur-lex.europa.eu/legal-content/EN/TXT/?uri=uriserv:OJ.C_.2023.047.01.0002.01.ENG" TargetMode="External" /><Relationship Id="rId9" Type="http://schemas.openxmlformats.org/officeDocument/2006/relationships/hyperlink" Target="https://eur-lex.europa.eu/legal-content/EN/TXT/?uri=uriserv:OJ.L_.2020.357.01.0035.01.ENG" TargetMode="Externa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12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</dc:title>
  <dc:creator>e-Parliament@europarl.europa.eu</dc:creator>
  <cp:lastModifiedBy>e-Parliament@europarl.europa.eu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BG</vt:lpwstr>
  </property>
  <property fmtid="{D5CDD505-2E9C-101B-9397-08002B2CF9AE}" pid="3" name="&lt;FdR&gt;">
    <vt:lpwstr>1285514</vt:lpwstr>
  </property>
  <property fmtid="{D5CDD505-2E9C-101B-9397-08002B2CF9AE}" pid="4" name="&lt;Model&gt;">
    <vt:lpwstr>PR_INI</vt:lpwstr>
  </property>
  <property fmtid="{D5CDD505-2E9C-101B-9397-08002B2CF9AE}" pid="5" name="&lt;Type&gt;">
    <vt:lpwstr>PR</vt:lpwstr>
  </property>
  <property fmtid="{D5CDD505-2E9C-101B-9397-08002B2CF9AE}" pid="6" name="DMXMLUID">
    <vt:lpwstr>20230926-115802-007885-806166</vt:lpwstr>
  </property>
  <property fmtid="{D5CDD505-2E9C-101B-9397-08002B2CF9AE}" pid="7" name="FooterPath">
    <vt:lpwstr>PR\1285514BG.doc</vt:lpwstr>
  </property>
  <property fmtid="{D5CDD505-2E9C-101B-9397-08002B2CF9AE}" pid="8" name="PE Number">
    <vt:lpwstr>752.947</vt:lpwstr>
  </property>
  <property fmtid="{D5CDD505-2E9C-101B-9397-08002B2CF9AE}" pid="9" name="UID">
    <vt:lpwstr>eu.europa.europarl-DIN1-2023-0000117549_01.07-bg-01.00_text-xml</vt:lpwstr>
  </property>
</Properties>
</file>