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9.3 -->
  <w:body>
    <w:tbl>
      <w:tblPr>
        <w:jc w:val="left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488"/>
      </w:tblGrid>
      <w:tr>
        <w:tblPrEx>
          <w:jc w:val="left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 w:val="0"/>
          <w:trHeight w:hRule="exact" w:val="1420"/>
          <w:jc w:val="left"/>
        </w:trPr>
        <w:tc>
          <w:tcPr>
            <w:tcW w:w="6804" w:type="dxa"/>
            <w:vAlign w:val="center"/>
          </w:tcPr>
          <w:p>
            <w:pPr>
              <w:pStyle w:val="EPName"/>
            </w:pPr>
            <w:r w:rsidR="00A77B3E">
              <w:t>Parlamento Europeu</w:t>
            </w:r>
          </w:p>
          <w:p>
            <w:pPr>
              <w:pStyle w:val="EPTerm"/>
            </w:pPr>
            <w:r>
              <w:t>2019-2024</w:t>
            </w:r>
          </w:p>
        </w:tc>
        <w:tc>
          <w:tcPr>
            <w:tcW w:w="2488" w:type="dxa"/>
            <w:vAlign w:val="top"/>
          </w:tcPr>
          <w:p>
            <w:pPr>
              <w:pStyle w:val="EPLogo"/>
            </w:pPr>
            <w:r>
              <w:drawing>
                <wp:inline>
                  <wp:extent cx="1162812" cy="647954"/>
                  <wp:docPr id="10000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137184" name="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812" cy="647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LineTop"/>
      </w:pPr>
    </w:p>
    <w:p>
      <w:pPr>
        <w:pStyle w:val="EPBody"/>
      </w:pPr>
      <w:r>
        <w:rPr>
          <w:rStyle w:val="HideTWBExt"/>
        </w:rPr>
        <w:t>&lt;</w:t>
      </w:r>
      <w:r>
        <w:rPr>
          <w:rStyle w:val="HideTWBExt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FEMM</w:t>
      </w:r>
      <w:r>
        <w:rPr>
          <w:rStyle w:val="HideTWBInt"/>
        </w:rPr>
        <w:t>}</w:t>
      </w:r>
      <w:r>
        <w:t>Comissão dos Direitos das Mulheres e da Igualdade dos Géneros</w:t>
      </w:r>
      <w:r>
        <w:rPr>
          <w:rStyle w:val="HideTWBExt"/>
        </w:rPr>
        <w:t>&lt;/</w:t>
      </w:r>
      <w:r>
        <w:rPr>
          <w:rStyle w:val="HideTWBExt"/>
        </w:rPr>
        <w:t>Commission</w:t>
      </w:r>
      <w:r>
        <w:rPr>
          <w:rStyle w:val="HideTWBExt"/>
        </w:rPr>
        <w:t>&gt;</w:t>
      </w:r>
    </w:p>
    <w:p>
      <w:pPr>
        <w:pStyle w:val="LineBottom"/>
      </w:pPr>
    </w:p>
    <w:p>
      <w:pPr>
        <w:pStyle w:val="CoverReference"/>
      </w:pPr>
      <w:r>
        <w:rPr>
          <w:rStyle w:val="HideTWBExt"/>
        </w:rPr>
        <w:t>&lt;</w:t>
      </w:r>
      <w:r>
        <w:rPr>
          <w:rStyle w:val="HideTWBExt"/>
        </w:rPr>
        <w:t>RefProc</w:t>
      </w:r>
      <w:r>
        <w:rPr>
          <w:rStyle w:val="HideTWBExt"/>
        </w:rPr>
        <w:t>&gt;</w:t>
      </w:r>
      <w:r>
        <w:t>2023/2115</w:t>
      </w:r>
      <w:r>
        <w:rPr>
          <w:rStyle w:val="HideTWBExt"/>
        </w:rPr>
        <w:t>&lt;/</w:t>
      </w:r>
      <w:r>
        <w:rPr>
          <w:rStyle w:val="HideTWBExt"/>
        </w:rPr>
        <w:t>RefProc</w:t>
      </w:r>
      <w:r>
        <w:rPr>
          <w:rStyle w:val="HideTWBExt"/>
        </w:rPr>
        <w:t>&gt;</w:t>
      </w:r>
      <w:r>
        <w:rPr>
          <w:rStyle w:val="HideTWBExt"/>
        </w:rPr>
        <w:t>&lt;</w:t>
      </w:r>
      <w:r>
        <w:rPr>
          <w:rStyle w:val="HideTWBExt"/>
        </w:rPr>
        <w:t>RefTypeProc</w:t>
      </w:r>
      <w:r>
        <w:rPr>
          <w:rStyle w:val="HideTWBExt"/>
        </w:rPr>
        <w:t>&gt;</w:t>
      </w:r>
      <w:r>
        <w:t>(INI)</w:t>
      </w:r>
      <w:r>
        <w:rPr>
          <w:rStyle w:val="HideTWBExt"/>
        </w:rPr>
        <w:t>&lt;/</w:t>
      </w:r>
      <w:r>
        <w:rPr>
          <w:rStyle w:val="HideTWBExt"/>
        </w:rPr>
        <w:t>RefTypeProc</w:t>
      </w:r>
      <w:r>
        <w:rPr>
          <w:rStyle w:val="HideTWBExt"/>
        </w:rPr>
        <w:t>&gt;</w:t>
      </w:r>
    </w:p>
    <w:p>
      <w:pPr>
        <w:pStyle w:val="CoverDate"/>
      </w:pPr>
      <w:r>
        <w:rPr>
          <w:rStyle w:val="HideTWBExt"/>
        </w:rPr>
        <w:t>&lt;</w:t>
      </w:r>
      <w:r>
        <w:rPr>
          <w:rStyle w:val="HideTWBExt"/>
        </w:rPr>
        <w:t>Date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14/09/2023</w:t>
      </w:r>
      <w:r>
        <w:rPr>
          <w:rStyle w:val="HideTWBInt"/>
        </w:rPr>
        <w:t>}</w:t>
      </w:r>
      <w:r>
        <w:t>14.9.2023</w:t>
      </w:r>
      <w:r>
        <w:rPr>
          <w:rStyle w:val="HideTWBExt"/>
        </w:rPr>
        <w:t>&lt;/</w:t>
      </w:r>
      <w:r>
        <w:rPr>
          <w:rStyle w:val="HideTWBExt"/>
        </w:rPr>
        <w:t>Date</w:t>
      </w:r>
      <w:r>
        <w:rPr>
          <w:rStyle w:val="HideTWBExt"/>
        </w:rPr>
        <w:t>&gt;</w:t>
      </w:r>
    </w:p>
    <w:p>
      <w:pPr>
        <w:pStyle w:val="CoverDocType24a"/>
      </w:pPr>
      <w:r>
        <w:rPr>
          <w:rStyle w:val="HideTWBExt"/>
        </w:rPr>
        <w:t>&lt;</w:t>
      </w:r>
      <w:r>
        <w:rPr>
          <w:rStyle w:val="HideTWBExt"/>
        </w:rPr>
        <w:t>TitreType</w:t>
      </w:r>
      <w:r>
        <w:rPr>
          <w:rStyle w:val="HideTWBExt"/>
        </w:rPr>
        <w:t>&gt;</w:t>
      </w:r>
      <w:r>
        <w:t>PROJETO DE RELATÓRIO</w:t>
      </w:r>
      <w:r>
        <w:rPr>
          <w:rStyle w:val="HideTWBExt"/>
        </w:rPr>
        <w:t>&lt;/</w:t>
      </w:r>
      <w:r>
        <w:rPr>
          <w:rStyle w:val="HideTWBExt"/>
        </w:rPr>
        <w:t>TitreType</w:t>
      </w:r>
      <w:r>
        <w:rPr>
          <w:rStyle w:val="HideTWBExt"/>
        </w:rPr>
        <w:t>&gt;</w:t>
      </w:r>
    </w:p>
    <w:p>
      <w:pPr>
        <w:pStyle w:val="CoverNormal"/>
      </w:pPr>
      <w:r>
        <w:rPr>
          <w:rStyle w:val="HideTWBExt"/>
        </w:rPr>
        <w:t>&lt;</w:t>
      </w:r>
      <w:r>
        <w:rPr>
          <w:rStyle w:val="HideTWBExt"/>
        </w:rPr>
        <w:t>Titre</w:t>
      </w:r>
      <w:r>
        <w:rPr>
          <w:rStyle w:val="HideTWBExt"/>
        </w:rPr>
        <w:t>&gt;</w:t>
      </w:r>
      <w:r>
        <w:t>sobre aspetos de género do aumento do custo de vida e do impacto da crise energética</w:t>
      </w:r>
      <w:r>
        <w:rPr>
          <w:rStyle w:val="HideTWBExt"/>
        </w:rPr>
        <w:t>&lt;/</w:t>
      </w:r>
      <w:r>
        <w:rPr>
          <w:rStyle w:val="HideTWBExt"/>
        </w:rPr>
        <w:t>Titre</w:t>
      </w:r>
      <w:r>
        <w:rPr>
          <w:rStyle w:val="HideTWBExt"/>
        </w:rPr>
        <w:t>&gt;</w:t>
      </w:r>
    </w:p>
    <w:p>
      <w:pPr>
        <w:pStyle w:val="CoverNormal24a"/>
      </w:pPr>
      <w:r>
        <w:rPr>
          <w:rStyle w:val="HideTWBExt"/>
        </w:rPr>
        <w:t>&lt;</w:t>
      </w:r>
      <w:r>
        <w:rPr>
          <w:rStyle w:val="HideTWBExt"/>
        </w:rPr>
        <w:t>DocRef</w:t>
      </w:r>
      <w:r>
        <w:rPr>
          <w:rStyle w:val="HideTWBExt"/>
        </w:rPr>
        <w:t>&gt;</w:t>
      </w:r>
      <w:r>
        <w:t>(2023/2115(INI))</w:t>
      </w:r>
      <w:r>
        <w:rPr>
          <w:rStyle w:val="HideTWBExt"/>
        </w:rPr>
        <w:t>&lt;/</w:t>
      </w:r>
      <w:r>
        <w:rPr>
          <w:rStyle w:val="HideTWBExt"/>
        </w:rPr>
        <w:t>DocRef</w:t>
      </w:r>
      <w:r>
        <w:rPr>
          <w:rStyle w:val="HideTWBExt"/>
        </w:rPr>
        <w:t>&gt;</w:t>
      </w:r>
    </w:p>
    <w:p>
      <w:pPr>
        <w:pStyle w:val="CoverNormal24a"/>
      </w:pPr>
      <w:r>
        <w:rPr>
          <w:rStyle w:val="HideTWBExt"/>
        </w:rPr>
        <w:t>&lt;</w:t>
      </w:r>
      <w:r>
        <w:rPr>
          <w:rStyle w:val="HideTWBExt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FEMM</w:t>
      </w:r>
      <w:r>
        <w:rPr>
          <w:rStyle w:val="HideTWBInt"/>
        </w:rPr>
        <w:t>}</w:t>
      </w:r>
      <w:r>
        <w:t>Comissão dos Direitos das Mulheres e da Igualdade dos Géneros</w:t>
      </w:r>
      <w:r>
        <w:rPr>
          <w:rStyle w:val="HideTWBExt"/>
        </w:rPr>
        <w:t>&lt;/</w:t>
      </w:r>
      <w:r>
        <w:rPr>
          <w:rStyle w:val="HideTWBExt"/>
        </w:rPr>
        <w:t>Commission</w:t>
      </w:r>
      <w:r>
        <w:rPr>
          <w:rStyle w:val="HideTWBExt"/>
        </w:rPr>
        <w:t>&gt;</w:t>
      </w:r>
    </w:p>
    <w:p>
      <w:pPr>
        <w:pStyle w:val="CoverNormal24a"/>
      </w:pPr>
      <w:r>
        <w:t>Relatora</w:t>
      </w:r>
      <w:r>
        <w:t xml:space="preserve">: </w:t>
      </w:r>
      <w:r>
        <w:rPr>
          <w:rStyle w:val="HideTWBExt"/>
        </w:rPr>
        <w:t>&lt;</w:t>
      </w:r>
      <w:r>
        <w:rPr>
          <w:rStyle w:val="HideTWBExt"/>
        </w:rPr>
        <w:t>Depute</w:t>
      </w:r>
      <w:r>
        <w:rPr>
          <w:rStyle w:val="HideTWBExt"/>
        </w:rPr>
        <w:t>&gt;</w:t>
      </w:r>
      <w:r>
        <w:t>Alice Kuhnke</w:t>
      </w:r>
      <w:r>
        <w:rPr>
          <w:rStyle w:val="HideTWBExt"/>
        </w:rPr>
        <w:t>&lt;/</w:t>
      </w:r>
      <w:r>
        <w:rPr>
          <w:rStyle w:val="HideTWBExt"/>
        </w:rPr>
        <w:t>Depute</w:t>
      </w:r>
      <w:r>
        <w:rPr>
          <w:rStyle w:val="HideTWBExt"/>
        </w:rPr>
        <w:t>&gt;</w:t>
      </w:r>
    </w:p>
    <w:p>
      <w:r>
        <w:br w:type="page"/>
      </w:r>
      <w:r>
        <w:t>PR_INI</w:t>
      </w:r>
    </w:p>
    <w:p>
      <w:pPr>
        <w:pStyle w:val="TOCHeading"/>
      </w:pPr>
      <w:r>
        <w:t>ÍNDICE</w:t>
      </w:r>
    </w:p>
    <w:p>
      <w:pPr>
        <w:pStyle w:val="TOCPage"/>
      </w:pPr>
      <w:r>
        <w:t>Página</w:t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>TOC \t "PageHeading"</w:instrText>
      </w:r>
      <w:r>
        <w:fldChar w:fldCharType="separate"/>
      </w:r>
      <w:r>
        <w:t>PROPOSTA DE RESOLUÇÃO DO PARLAMENTO EUROPEU</w:t>
      </w:r>
      <w:r>
        <w:tab/>
      </w:r>
      <w:r>
        <w:fldChar w:fldCharType="begin"/>
      </w:r>
      <w:r>
        <w:instrText xml:space="preserve"> PAGEREF _Toc256000002 \h </w:instrText>
      </w:r>
      <w:r>
        <w:fldChar w:fldCharType="separate"/>
      </w:r>
      <w:r>
        <w:t>3</w:t>
      </w:r>
      <w:r>
        <w:fldChar w:fldCharType="end"/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t>EXPOSIÇÃO DE MOTIVOS</w:t>
      </w:r>
      <w:r>
        <w:tab/>
      </w:r>
      <w:r>
        <w:fldChar w:fldCharType="begin"/>
      </w:r>
      <w:r>
        <w:instrText xml:space="preserve"> PAGEREF _Toc256000003 \h </w:instrText>
      </w:r>
      <w:r>
        <w:fldChar w:fldCharType="separate"/>
      </w:r>
      <w:r>
        <w:t>10</w:t>
      </w:r>
      <w:r>
        <w:fldChar w:fldCharType="end"/>
      </w:r>
    </w:p>
    <w:p>
      <w:pPr>
        <w:pStyle w:val="Normal12b"/>
      </w:pPr>
      <w:r>
        <w:fldChar w:fldCharType="end"/>
      </w:r>
    </w:p>
    <w:p>
      <w:pPr>
        <w:pStyle w:val="CoverNormalLeft"/>
      </w:pPr>
    </w:p>
    <w:p>
      <w:pPr>
        <w:pStyle w:val="CoverNormalLeft"/>
        <w:sectPr>
          <w:footerReference w:type="even" r:id="rId6"/>
          <w:footerReference w:type="default" r:id="rId7"/>
          <w:footerReference w:type="first" r:id="rId8"/>
          <w:footnotePr>
            <w:numRestart w:val="eachSect"/>
          </w:footnotePr>
          <w:pgSz w:w="11906" w:h="16838"/>
          <w:pgMar w:top="1134" w:right="1417" w:bottom="1417" w:left="1417" w:header="1134" w:footer="567" w:gutter="0"/>
          <w:cols w:num="1" w:space="720"/>
          <w:titlePg/>
          <w:docGrid w:linePitch="360"/>
        </w:sectPr>
      </w:pPr>
      <w:r>
        <w:br w:type="page"/>
      </w:r>
    </w:p>
    <w:p>
      <w:pPr>
        <w:pStyle w:val="PageHeading"/>
      </w:pPr>
      <w:bookmarkStart w:id="0" w:name="_Toc256000002"/>
      <w:r>
        <w:t>PROPOSTA DE RESOLUÇÃO DO PARLAMENTO EUROPEU</w:t>
      </w:r>
      <w:bookmarkEnd w:id="0"/>
    </w:p>
    <w:p>
      <w:pPr>
        <w:pStyle w:val="NormalBold"/>
      </w:pPr>
      <w:r>
        <w:t>sobre aspetos de género do aumento do custo de vida e do impacto da crise energética</w:t>
      </w:r>
    </w:p>
    <w:p>
      <w:pPr>
        <w:pStyle w:val="NormalBold"/>
      </w:pPr>
      <w:r>
        <w:t>(2023/2115(INI))</w:t>
      </w:r>
    </w:p>
    <w:p>
      <w:pPr>
        <w:pStyle w:val="EPComma"/>
      </w:pPr>
      <w:r>
        <w:rPr>
          <w:rStyle w:val="Italic"/>
        </w:rPr>
        <w:t>O Parlamento Europeu</w:t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artigo 2.º e o artigo 3.º, n.</w:t>
      </w:r>
      <w:r>
        <w:rPr>
          <w:rStyle w:val="Sup"/>
        </w:rPr>
        <w:t>os</w:t>
      </w:r>
      <w:r>
        <w:t> 1 e 3, do Tratado da União Europeia,</w:t>
      </w:r>
    </w:p>
    <w:p>
      <w:pPr>
        <w:pStyle w:val="NormalHanging12a"/>
      </w:pPr>
      <w:r>
        <w:t>–</w:t>
      </w:r>
      <w:r>
        <w:tab/>
      </w:r>
      <w:r>
        <w:t>Tendo em conta os artigos 8.º, 9.º, 10.º, 119.º, 122.º, 127.º, 151.º, 153.º, n.º 2, 156.º, 157.º, 191.º e 194.º do Tratado sobre o Funcionamento da União Europeia,</w:t>
      </w:r>
    </w:p>
    <w:p>
      <w:pPr>
        <w:pStyle w:val="NormalHanging12a"/>
      </w:pPr>
      <w:r>
        <w:t>–</w:t>
      </w:r>
      <w:r>
        <w:tab/>
      </w:r>
      <w:r>
        <w:t>Tendo em conta a Carta dos Direitos Fundamentais da União Europeia, nomeadamente as suas disposições sobre os direitos sociais e a igualdade entre homens e mulheres,</w:t>
      </w:r>
    </w:p>
    <w:p>
      <w:pPr>
        <w:pStyle w:val="NormalHanging12a"/>
      </w:pPr>
      <w:r>
        <w:t>–</w:t>
      </w:r>
      <w:r>
        <w:tab/>
      </w:r>
      <w:r>
        <w:t>Tendo em conta a Agenda 2030 das Nações Unidas para o Desenvolvimento Sustentável, o princípio de «não deixar ninguém para trás» e, em particular, o Objetivo de Desenvolvimento Sustentável 1, relativo à erradicação da pobreza, o Objetivo 5, relativo à consecução da igualdade de género e à melhoria das condições de vida das mulheres, e o Objetivo 8, que visa alcançar um crescimento económico sustentável,</w:t>
      </w:r>
    </w:p>
    <w:p>
      <w:pPr>
        <w:pStyle w:val="NormalHanging12a"/>
      </w:pPr>
      <w:r>
        <w:t>–</w:t>
      </w:r>
      <w:r>
        <w:tab/>
      </w:r>
      <w:r>
        <w:t>Tendo em conta a comunicação da Comissão, de 5 de março de 2020, intitulada «Uma União da Igualdade: Estratégia para a Igualdade de Género 2020-2025» (COM(2020)0152)</w:t>
      </w:r>
      <w:r>
        <w:rPr>
          <w:rStyle w:val="FootnoteReference"/>
        </w:rPr>
        <w:footnoteReference w:id="0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a Declaração de Versalhes dos Chefes de Estado ou de Governo, de 11 de março de 2022, e, nomeadamente, o compromisso de «[r]eforçar[mos] a nossa segurança alimentar reduzindo as nossas dependências de produtos e fatores de produção agrícolas essenciais importados, em particular aumentando a produção de proteínas vegetais na UE»,</w:t>
      </w:r>
    </w:p>
    <w:p>
      <w:pPr>
        <w:pStyle w:val="NormalHanging12a"/>
      </w:pPr>
      <w:r>
        <w:t>–</w:t>
      </w:r>
      <w:r>
        <w:tab/>
      </w:r>
      <w:r>
        <w:t>Tendo em conta a Diretiva 2009/73/CE do Parlamento Europeu e do Conselho, de 13 de julho de 2009, que estabelece regras comuns para o mercado interno do gás natural e que revoga a Diretiva 2003/55/CE</w:t>
      </w:r>
      <w:r>
        <w:rPr>
          <w:rStyle w:val="FootnoteReference"/>
        </w:rPr>
        <w:footnoteReference w:id="1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a Diretiva 2012/27/UE do Parlamento Europeu e do Conselho, de 25 de outubro de 2012, relativa à eficiência energética, que altera as Diretivas 2009/125/CE e 2010/30/UE e revoga as Diretivas 2004/8/CE e 2006/32/CE</w:t>
      </w:r>
      <w:r>
        <w:rPr>
          <w:rStyle w:val="FootnoteReference"/>
        </w:rPr>
        <w:footnoteReference w:id="2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a Diretiva (UE) 2018/2001 do Parlamento Europeu e do Conselho, de 11 de dezembro de 2018, relativa à promoção da utilização de energia de fontes renováveis</w:t>
      </w:r>
      <w:r>
        <w:rPr>
          <w:rStyle w:val="FootnoteReference"/>
        </w:rPr>
        <w:footnoteReference w:id="3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a Diretiva (UE) 2019/944 do Parlamento Europeu e do Conselho, de 5 de junho de 2019, relativa a regras comuns para o mercado interno da eletricidade e que altera a Diretiva 2012/27/UE</w:t>
      </w:r>
      <w:r>
        <w:rPr>
          <w:rStyle w:val="FootnoteReference"/>
        </w:rPr>
        <w:footnoteReference w:id="4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Regulamento (UE) 2021/241 do Parlamento Europeu e do Conselho, de 12 de fevereiro de 2021, que cria o Mecanismo de Recuperação e Resiliência</w:t>
      </w:r>
      <w:r>
        <w:rPr>
          <w:rStyle w:val="FootnoteReference"/>
        </w:rPr>
        <w:footnoteReference w:id="5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a Diretiva (UE) 2023/970 do Parlamento Europeu e do Conselho, de 10 de maio de 2023, para reforçar a aplicação do princípio da igualdade de remuneração por trabalho igual ou de valor igual entre homens e mulheres através de transparência remuneratória e mecanismos que garantam a sua aplicação</w:t>
      </w:r>
      <w:r>
        <w:rPr>
          <w:rStyle w:val="FootnoteReference"/>
        </w:rPr>
        <w:footnoteReference w:id="6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a sua resolução, de 19 de maio de 2022, sobre as consequências sociais e económicas para a UE da guerra da Rússia contra a Ucrânia: reforçar a capacidade da UE para agir</w:t>
      </w:r>
      <w:r>
        <w:rPr>
          <w:rStyle w:val="FootnoteReference"/>
        </w:rPr>
        <w:footnoteReference w:id="7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a sua resolução, de 5 de julho de 2022, sobre a pobreza entre as mulheres na Europa</w:t>
      </w:r>
      <w:r>
        <w:rPr>
          <w:rStyle w:val="FootnoteReference"/>
        </w:rPr>
        <w:footnoteReference w:id="8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Relatório Especial do Tribunal de Contas Europeu, de 26 de maio de 2021, intitulado «Integração da perspetiva de género no orçamento da UE: é altura de transformar as palavras em ação»</w:t>
      </w:r>
      <w:r>
        <w:rPr>
          <w:rStyle w:val="FootnoteReference"/>
        </w:rPr>
        <w:footnoteReference w:id="9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a Recomendação (UE) 2020/1563 da Comissão, de 14 de outubro de 2020, sobre a pobreza energética</w:t>
      </w:r>
      <w:r>
        <w:rPr>
          <w:rStyle w:val="FootnoteReference"/>
        </w:rPr>
        <w:footnoteReference w:id="10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os dados da Agência Internacional de Energia relativos aos preços finais da energia e respetivos impostos</w:t>
      </w:r>
      <w:r>
        <w:rPr>
          <w:rStyle w:val="FootnoteReference"/>
        </w:rPr>
        <w:footnoteReference w:id="11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relatório do Fundo Monetário Internacional, de outubro de 2022, intitulado «The Fog of War Clouds the European Outlook» [A nuvem da guerra tolda as perspetivas europeias]</w:t>
      </w:r>
      <w:r>
        <w:rPr>
          <w:rStyle w:val="FootnoteReference"/>
        </w:rPr>
        <w:footnoteReference w:id="12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estudo de 2022 do Eurostat intitulado «Living conditions in Europe» [Condições de vida na Europa]</w:t>
      </w:r>
      <w:r>
        <w:rPr>
          <w:rStyle w:val="FootnoteReference"/>
        </w:rPr>
        <w:footnoteReference w:id="13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documento informativo do Eurostat, de 10 de fevereiro de 2022, intitulado «Energy prices on the rise in the euro area in 2021» [Aumento dos preços da energia na área do euro em 2021]</w:t>
      </w:r>
      <w:r>
        <w:rPr>
          <w:rStyle w:val="FootnoteReference"/>
        </w:rPr>
        <w:footnoteReference w:id="14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relatório da Eurofound, de 28 de outubro de 2022, intitulado «The cost-of-living crisis and energy poverty in the EU: Social impact and policy responses – Background paper» [A crise do custo de vida e a pobreza energética na UE: Impacto social e respostas políticas – Documento de referência]</w:t>
      </w:r>
      <w:r>
        <w:rPr>
          <w:rStyle w:val="FootnoteReference"/>
        </w:rPr>
        <w:footnoteReference w:id="15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os índices de igualdade de género de 2021 e 2022 do Instituto Europeu para a Igualdade de Género</w:t>
      </w:r>
      <w:r>
        <w:rPr>
          <w:rStyle w:val="FootnoteReference"/>
        </w:rPr>
        <w:footnoteReference w:id="16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seu inquérito Eurobarómetro do outono de 2022</w:t>
      </w:r>
      <w:r>
        <w:rPr>
          <w:rStyle w:val="FootnoteReference"/>
        </w:rPr>
        <w:footnoteReference w:id="17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estudo intitulado «Gender perspective on access to energy in the EU» [Perspetiva de género no acesso à energia na UE], publicado pela sua Direção-Geral das Políticas Internas da União em 18 de dezembro de 2017</w:t>
      </w:r>
      <w:r>
        <w:rPr>
          <w:rStyle w:val="FootnoteReference"/>
        </w:rPr>
        <w:footnoteReference w:id="18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briefing intitulado «Gender Aspects of Energy Poverty» [Dimensão de género na pobreza energética], publicado pela sua Direção-Geral das Políticas Internas da União em 1 de março de 2023</w:t>
      </w:r>
      <w:r>
        <w:rPr>
          <w:rStyle w:val="FootnoteReference"/>
        </w:rPr>
        <w:footnoteReference w:id="19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estudo intitulado «The Gender Dimension and Impact of the Fit for 55 Package» [A dimensão de género e o impacto do pacote Objetivo 55], publicado pela sua Direção-Geral das Políticas Internas da União em 6 de dezembro de 2022</w:t>
      </w:r>
      <w:r>
        <w:rPr>
          <w:rStyle w:val="FootnoteReference"/>
        </w:rPr>
        <w:footnoteReference w:id="20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briefing intitulado «Energy poverty in the EU» [Pobreza energética na UE], publicado pela sua Direção-Geral dos Serviços de Estudos do Parlamento Europeu em 18 de setembro de 2023</w:t>
      </w:r>
      <w:r>
        <w:rPr>
          <w:rStyle w:val="FootnoteReference"/>
        </w:rPr>
        <w:footnoteReference w:id="21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parecer da Comissão dos Direitos da Mulher e da Igualdade dos Géneros, de 12 de maio de 2022, sobre a proposta de diretiva do Parlamento Europeu e do Conselho relativa à eficiência energética,</w:t>
      </w:r>
    </w:p>
    <w:p>
      <w:pPr>
        <w:pStyle w:val="NormalHanging12a"/>
      </w:pPr>
      <w:r>
        <w:t>–</w:t>
      </w:r>
      <w:r>
        <w:tab/>
      </w:r>
      <w:r>
        <w:t>Tendo em conta o relatório da Comissão do Desenvolvimento, de 7 de abril de 2021, sobre o impacto das alterações climáticas nas populações vulneráveis em países em desenvolvimento e o parecer da Comissão dos Direitos das Mulheres e da Igualdade dos Géneros, de 2 de outubro de 2020,</w:t>
      </w:r>
    </w:p>
    <w:p>
      <w:pPr>
        <w:pStyle w:val="NormalHanging12a"/>
      </w:pPr>
      <w:r>
        <w:t>–</w:t>
      </w:r>
      <w:r>
        <w:tab/>
      </w:r>
      <w:r>
        <w:t>Tendo em conta a sua resolução, de 10 de fevereiro de 2021, sobre a redução das desigualdades, com especial destaque para a pobreza no trabalho</w:t>
      </w:r>
      <w:r>
        <w:rPr>
          <w:rStyle w:val="FootnoteReference"/>
        </w:rPr>
        <w:footnoteReference w:id="22"/>
      </w:r>
      <w:r>
        <w:t>,</w:t>
      </w:r>
    </w:p>
    <w:p>
      <w:pPr>
        <w:pStyle w:val="NormalHanging12a"/>
      </w:pPr>
      <w:r>
        <w:t>–</w:t>
      </w:r>
      <w:r>
        <w:tab/>
      </w:r>
      <w:r>
        <w:t>Tendo em conta o artigo 54.º do seu Regimento,</w:t>
      </w:r>
    </w:p>
    <w:p>
      <w:pPr>
        <w:pStyle w:val="NormalHanging12a"/>
      </w:pPr>
      <w:r>
        <w:t>–</w:t>
      </w:r>
      <w:r>
        <w:tab/>
      </w:r>
      <w:r>
        <w:t>Tendo em conta o relatório da Comissão dos Direitos das Mulheres e da Igualdade dos Géneros (A9-0000/2023),</w:t>
      </w:r>
    </w:p>
    <w:p>
      <w:pPr>
        <w:pStyle w:val="NormalHanging12a"/>
      </w:pPr>
      <w:r>
        <w:t>A.</w:t>
      </w:r>
      <w:r>
        <w:tab/>
      </w:r>
      <w:r>
        <w:t>Considerando que, desde 2021, a inflação aumentou acentuadamente, impulsionada sobretudo pelos elevados custos da energia e dos alimentos, e exacerbada pela guerra de agressão injustificada contra a Ucrânia; que não se prevê que os salários aumentem tão rapidamente como a inflação, criando assim uma crise do custo de vida; que esta crise ameaça gravemente os meios de subsistência, a saúde, o bem-estar e o acesso das mulheres à habitação, limitando simultaneamente o seu poder de compra e a sua capacidade de prover sustento;</w:t>
      </w:r>
    </w:p>
    <w:p>
      <w:pPr>
        <w:pStyle w:val="NormalHanging12a"/>
      </w:pPr>
      <w:r>
        <w:t>B.</w:t>
      </w:r>
      <w:r>
        <w:tab/>
      </w:r>
      <w:r>
        <w:t>Considerando que a Comissão adotou uma série de medidas em março de 2022, na sequência da Declaração de Versalhes, destinadas a apoiar a produção agrícola da Ucrânia, reforçar a resiliência da UE e atenuar o aumento dos preços dos alimentos para os consumidores europeus;</w:t>
      </w:r>
    </w:p>
    <w:p>
      <w:pPr>
        <w:pStyle w:val="NormalHanging12a"/>
      </w:pPr>
      <w:r>
        <w:t>C.</w:t>
      </w:r>
      <w:r>
        <w:tab/>
      </w:r>
      <w:r>
        <w:t>Considerando que as mulheres, em toda a sua diversidade, são desproporcionadamente afetadas pelas consequências da crise do custo de vida, uma vez que tendem a estar no segmento mais pobre da população, estão sobrerrepresentadas em empregos precários, têm rendimentos mais baixos em resultado das disparidades salariais e de pensões, e que ainda se espera que realizem a maior parte do trabalho de prestação de cuidados não remunerado, pelo que ficam com menos recursos para se protegerem contra o impacto negativo da crise;</w:t>
      </w:r>
    </w:p>
    <w:p>
      <w:pPr>
        <w:pStyle w:val="NormalHanging12a"/>
      </w:pPr>
      <w:r>
        <w:t>D.</w:t>
      </w:r>
      <w:r>
        <w:tab/>
      </w:r>
      <w:r>
        <w:t>Considerando que as alterações climáticas e as catástrofes relacionadas com o clima agravam a crise do custo de vida e o risco de pobreza; que os grupos que já vivem à margem da sociedade são os mais afetados pela volatilidade do sistema energético dos combustíveis fósseis, ao passo que as empresas do setor da energia e do setor alimentar estão a obter lucros recorde;</w:t>
      </w:r>
    </w:p>
    <w:p>
      <w:pPr>
        <w:pStyle w:val="NormalHanging12a"/>
      </w:pPr>
      <w:r>
        <w:t>E.</w:t>
      </w:r>
      <w:r>
        <w:tab/>
      </w:r>
      <w:r>
        <w:t>Considerando que a pobreza energética representa um enorme desafio para a UE, uma vez que entre 50 e 125 milhões de pessoas não conseguem suportar o custo de um conforto térmico adequado no interior das suas casas;</w:t>
      </w:r>
    </w:p>
    <w:p>
      <w:pPr>
        <w:pStyle w:val="NormalHanging12a"/>
      </w:pPr>
      <w:r>
        <w:t>F.</w:t>
      </w:r>
      <w:r>
        <w:tab/>
      </w:r>
      <w:r>
        <w:t>Considerando que as mulheres, em particular as famílias monoparentais e as que são vítimas de discriminação interseccional por razões de etnia, raça, estatuto migratório, orientação sexual, deficiência ou idade, são mais suscetíveis de cair na pobreza energética; que, portanto, a atual crise do custo de vida agravará a pobreza energética em razão do género na UE;</w:t>
      </w:r>
    </w:p>
    <w:p>
      <w:pPr>
        <w:pStyle w:val="NormalHanging12a"/>
      </w:pPr>
      <w:r>
        <w:t>G.</w:t>
      </w:r>
      <w:r>
        <w:tab/>
      </w:r>
      <w:r>
        <w:t>Considerando que são escassos os dados disponíveis e o conhecimento sobre as consequências da pobreza energética para as mulheres na UE; que o Observatório da Pobreza Energética da UE não faculta dados repartidos por género no conjunto de indicadores que disponibiliza ao público; que poucos Estados-Membros adotaram definições e indicadores de pobreza energética, e que estes normalmente não têm em conta o género;</w:t>
      </w:r>
    </w:p>
    <w:p>
      <w:pPr>
        <w:pStyle w:val="NormalHanging12a"/>
      </w:pPr>
      <w:r>
        <w:t>H.</w:t>
      </w:r>
      <w:r>
        <w:tab/>
      </w:r>
      <w:r>
        <w:t>Considerando que a Comissão não cumpriu o seu compromisso, estabelecido na Estratégia para a Igualdade de Género, de integrar a perspetiva de género em todas as principais iniciativas da Comissão, incluindo o Pacto Ecológico Europeu e as políticas conexas;</w:t>
      </w:r>
    </w:p>
    <w:p>
      <w:pPr>
        <w:pStyle w:val="NormalHanging12a"/>
      </w:pPr>
      <w:r>
        <w:t>I.</w:t>
      </w:r>
      <w:r>
        <w:tab/>
      </w:r>
      <w:r>
        <w:t>Considerando que a Comissão é obrigada a promover a igualdade de género nos termos dos Tratados; que, no entanto, o Tribunal de Contas Europeu considera que a perspetiva de género não foi integrada no orçamento da UE;</w:t>
      </w:r>
    </w:p>
    <w:p>
      <w:pPr>
        <w:pStyle w:val="NormalHanging12a"/>
      </w:pPr>
      <w:r>
        <w:t>J.</w:t>
      </w:r>
      <w:r>
        <w:tab/>
      </w:r>
      <w:r>
        <w:t>Considerando que as preocupações em matéria de igualdade de género estão, em grande medida, ausentes dos pilares da transição ecológica e da transformação digital do Mecanismo de Recuperação e Resiliência, o que representa uma oportunidade perdida para integrar eficazmente a igualdade de género nos objetivos climáticos e ambientais;</w:t>
      </w:r>
    </w:p>
    <w:p>
      <w:pPr>
        <w:pStyle w:val="NormalHanging12a"/>
      </w:pPr>
      <w:r>
        <w:t>K.</w:t>
      </w:r>
      <w:r>
        <w:tab/>
      </w:r>
      <w:r>
        <w:t>Considerando que não existe uma perspetiva de género nas políticas e medidas dos Estados-Membros e da UE destinadas a combater e atenuar os efeitos da crise do custo de vida; que cerca de dois terços das medidas introduzidas pelos Estados-Membros para atenuar o aumento das taxas de inflação não se destinam a grupos específicos em situações vulneráveis e fornecem apenas soluções a curto prazo, em vez de respostas que contribuirão para uma transição socialmente justa e ecológica;</w:t>
      </w:r>
    </w:p>
    <w:p>
      <w:pPr>
        <w:pStyle w:val="Normal12a24b"/>
      </w:pPr>
      <w:r>
        <w:rPr>
          <w:rStyle w:val="BoldItalic"/>
        </w:rPr>
        <w:t>Feminização da pobreza energética e respostas à crise sensíveis ao género</w:t>
      </w:r>
    </w:p>
    <w:p>
      <w:pPr>
        <w:pStyle w:val="NormalHanging12a"/>
      </w:pPr>
      <w:r>
        <w:t>1.</w:t>
      </w:r>
      <w:r>
        <w:tab/>
      </w:r>
      <w:r>
        <w:t>Insta a Comissão a cumprir o compromisso assumido pela presidente Ursula von der Leyen de promover a igualdade de género em todas as políticas; apela a um Pacto Ecológico Europeu e a uma transição justa e socialmente equitativa que funcione para todos, através da criação de uma estratégia interseccional transformadora em termos de género para combater a pobreza energética e do aumento do investimento público em habitação social energeticamente eficiente e a preços acessíveis;</w:t>
      </w:r>
    </w:p>
    <w:p>
      <w:pPr>
        <w:pStyle w:val="NormalHanging12a"/>
      </w:pPr>
      <w:r>
        <w:t>2.</w:t>
      </w:r>
      <w:r>
        <w:tab/>
      </w:r>
      <w:r>
        <w:t>Insta os Estados-Membros e a UE a garantirem urgentemente o acesso a alimentos e serviços públicos essenciais a preços acessíveis para os agregados familiares com baixos rendimentos e, em particular, para as pessoas que enfrentam discriminação interseccional; salienta que ninguém deve ter de congelar no pico do inverno ou de sofrer com calor excessivo nos meses de verão e insta os Estados-Membros e a UE a proibirem os cortes de energia;</w:t>
      </w:r>
    </w:p>
    <w:p>
      <w:pPr>
        <w:pStyle w:val="NormalHanging12a"/>
      </w:pPr>
      <w:r>
        <w:t>3.</w:t>
      </w:r>
      <w:r>
        <w:tab/>
      </w:r>
      <w:r>
        <w:t>Insta os Estados-Membros a aumentarem o investimento público em políticas que, direta ou indiretamente, visem combater os efeitos negativos da crise do custo de vida nas mulheres em toda a sua diversidade, garantir o acesso a serviços públicos de elevada qualidade no domínio dos cuidados, da educação, da habitação e da saúde, inclusive da saúde e dos direitos sexuais e reprodutivos, e proteger as vítimas de violência de género;</w:t>
      </w:r>
    </w:p>
    <w:p>
      <w:pPr>
        <w:pStyle w:val="NormalHanging12a"/>
      </w:pPr>
      <w:r>
        <w:t>4.</w:t>
      </w:r>
      <w:r>
        <w:tab/>
      </w:r>
      <w:r>
        <w:t>Insta a Comissão a avaliar e propor, se for caso disso, novos atos legislativos para combater a financeirização dos mercados da habitação e impedir que os especuladores tornem incomportáveis os custos da habitação;</w:t>
      </w:r>
    </w:p>
    <w:p>
      <w:pPr>
        <w:pStyle w:val="NormalHanging12a"/>
      </w:pPr>
      <w:r>
        <w:t>5.</w:t>
      </w:r>
      <w:r>
        <w:tab/>
      </w:r>
      <w:r>
        <w:t>Salienta que o acesso à eletricidade é fundamental para reduzir a pobreza e garantir uma participação plena e equitativa na sociedade; insta a UE e os Estados-Membros a reconhecerem o direito à energia;</w:t>
      </w:r>
    </w:p>
    <w:p>
      <w:pPr>
        <w:pStyle w:val="NormalHanging12a"/>
      </w:pPr>
      <w:r>
        <w:t>6.</w:t>
      </w:r>
      <w:r>
        <w:tab/>
      </w:r>
      <w:r>
        <w:t>Insta a Direção-Geral da Energia da Comissão a elaborar um plano de ação em matéria de igualdade de género que garanta que toda a legislação da UE no domínio da energia, incluindo o direito à partilha de energia a que se refere a Diretiva (UE) 2018/2001, integre a dimensão de género e preveja medidas e fundos específicos para combater a feminização da pobreza energética;</w:t>
      </w:r>
    </w:p>
    <w:p>
      <w:pPr>
        <w:pStyle w:val="NormalHanging12a"/>
      </w:pPr>
      <w:r>
        <w:t>7.</w:t>
      </w:r>
      <w:r>
        <w:tab/>
      </w:r>
      <w:r>
        <w:t>Insta a Comissão e os Estados-Membros a assegurarem a inclusão da perspetiva de género e da dimensão interseccional em todos os regimes de eficiência energética e de eletricidade renovável, a fim de apoiar os cidadãos mais afetados pela pobreza energética;</w:t>
      </w:r>
    </w:p>
    <w:p>
      <w:pPr>
        <w:pStyle w:val="NormalHanging12a"/>
      </w:pPr>
      <w:r>
        <w:t>8.</w:t>
      </w:r>
      <w:r>
        <w:tab/>
      </w:r>
      <w:r>
        <w:t>Insta a Comissão e os Estados-Membros a solicitarem ao Eurostat dados repartidos por género sobre a pobreza energética; solicita, neste contexto, ao Observatório da Pobreza Energética da UE que utilize esses dados para criar e selecionar indicadores específicos de género que permitam o desenvolvimento de políticas baseadas em dados concretos nesse domínio, em consulta com o Instituto Europeu para a Igualdade de Género, a Agência dos Direitos Fundamentais da União Europeia e a Agência Europeia do Ambiente;</w:t>
      </w:r>
    </w:p>
    <w:p>
      <w:pPr>
        <w:pStyle w:val="NormalHanging12a"/>
      </w:pPr>
      <w:r>
        <w:t>9.</w:t>
      </w:r>
      <w:r>
        <w:tab/>
      </w:r>
      <w:r>
        <w:t>Insta a Comissão a exigir que os Estados-Membros realizem avaliações de impacto em função do género no âmbito dos planos nacionais em matéria de energia e clima, nomeadamente aquando da comunicação de informações sobre a pobreza energética;</w:t>
      </w:r>
    </w:p>
    <w:p>
      <w:pPr>
        <w:pStyle w:val="Normal12a24b"/>
      </w:pPr>
      <w:r>
        <w:rPr>
          <w:rStyle w:val="BoldItalic"/>
        </w:rPr>
        <w:t>Rumo a uma transição ecológica inclusiva em termos de género</w:t>
      </w:r>
    </w:p>
    <w:p>
      <w:pPr>
        <w:pStyle w:val="NormalHanging12a"/>
      </w:pPr>
      <w:r>
        <w:t>10.</w:t>
      </w:r>
      <w:r>
        <w:tab/>
      </w:r>
      <w:r>
        <w:t>Recorda que a transição ecológica é necessária para evitar crises futuras graves e o aumento da pobreza; que, além disso, a transição ecológica só será socialmente equitativa se incluir uma perspetiva de género e garantir a igualdade de oportunidades para as mulheres e para as pessoas vítimas de discriminação interseccional; insta, por conseguinte, a Comissão a nomear um coordenador da UE para as questões de género e o clima, dotado de pessoal e financiamento suficiente, e a introduzir avaliações de impacto em função do género em todos os atos legislativos e políticas da UE, em particular nas iniciativas do Pacto Ecológico Europeu;</w:t>
      </w:r>
    </w:p>
    <w:p>
      <w:pPr>
        <w:pStyle w:val="NormalHanging12a"/>
      </w:pPr>
      <w:r>
        <w:t>11.</w:t>
      </w:r>
      <w:r>
        <w:tab/>
      </w:r>
      <w:r>
        <w:t>Salienta que as mulheres têm um papel estratégico a desempenhar na transição ecológica, uma vez que são intervenientes fundamentais no desenvolvimento de padrões de consumo e produção sustentáveis e ecológicos, bem como nas empresas e na elaboração de políticas;</w:t>
      </w:r>
    </w:p>
    <w:p>
      <w:pPr>
        <w:pStyle w:val="NormalHanging12a"/>
      </w:pPr>
      <w:r>
        <w:t>12.</w:t>
      </w:r>
      <w:r>
        <w:tab/>
      </w:r>
      <w:r>
        <w:t>Lamenta que as mulheres estejam significativamente sub-representadas nos principais cargos de elaboração de políticas em matéria de alterações climáticas e ambiente e insta a UE e os Estados-Membros a assegurarem uma representação equitativa e diversificada nos cargos de decisão das instituições da UE, dos organismos governamentais e das autoridades públicas a todos os níveis de governação;</w:t>
      </w:r>
    </w:p>
    <w:p>
      <w:pPr>
        <w:pStyle w:val="NormalHanging12a"/>
      </w:pPr>
      <w:r>
        <w:t>13.</w:t>
      </w:r>
      <w:r>
        <w:tab/>
      </w:r>
      <w:r>
        <w:t>Insta a Comissão a reduzir as disparidades de género no setor da energia e a assegurar que as mulheres tenham igualdade de acesso a cursos de formação sobre eficiência energética e a oportunidades de emprego emergentes no setor da energia;</w:t>
      </w:r>
    </w:p>
    <w:p>
      <w:pPr>
        <w:pStyle w:val="NormalHanging12a"/>
      </w:pPr>
      <w:r>
        <w:t>14.</w:t>
      </w:r>
      <w:r>
        <w:tab/>
      </w:r>
      <w:r>
        <w:t>Insta a Comissão e o Conselho a comprometerem-se com a orçamentação sensível ao género e a assegurarem a sua aplicação a todo o orçamento da UE e a plena aplicação das recomendações do Tribunal de Contas Europeu, nomeadamente na revisão intercalar do atual quadro financeiro plurianual e na execução do Mecanismo de Recuperação e Resiliência;</w:t>
      </w:r>
    </w:p>
    <w:p>
      <w:pPr>
        <w:pStyle w:val="NormalCenter12a"/>
      </w:pPr>
      <w:r>
        <w:t>°</w:t>
      </w:r>
    </w:p>
    <w:p>
      <w:pPr>
        <w:pStyle w:val="NormalCenter12a"/>
      </w:pPr>
      <w:r>
        <w:t>°</w:t>
      </w:r>
      <w:r>
        <w:tab/>
      </w:r>
      <w:r>
        <w:t>°</w:t>
      </w:r>
    </w:p>
    <w:p>
      <w:pPr>
        <w:pStyle w:val="NormalHanging12a"/>
      </w:pPr>
      <w:r>
        <w:t>15.</w:t>
      </w:r>
      <w:r>
        <w:tab/>
      </w:r>
      <w:r>
        <w:t>Encarrega a sua presidente de transmitir a presente resolução ao Conselho e à Comissão.</w:t>
      </w:r>
    </w:p>
    <w:p>
      <w:pPr>
        <w:pStyle w:val="NormalHanging12a"/>
        <w:sectPr>
          <w:footnotePr>
            <w:numRestart w:val="eachSect"/>
          </w:footnotePr>
          <w:type w:val="continuous"/>
          <w:pgSz w:w="11906" w:h="16838"/>
          <w:pgMar w:top="1134" w:right="1417" w:bottom="1417" w:left="1417" w:header="1134" w:footer="567" w:gutter="0"/>
          <w:cols w:num="1" w:space="720"/>
          <w:titlePg/>
          <w:docGrid w:linePitch="360"/>
        </w:sectPr>
      </w:pPr>
      <w:r>
        <w:br w:type="page"/>
      </w:r>
    </w:p>
    <w:p>
      <w:pPr>
        <w:pStyle w:val="PageHeading"/>
      </w:pPr>
      <w:bookmarkStart w:id="1" w:name="_Toc256000003"/>
      <w:r>
        <w:t>EXPOSIÇÃO DE MOTIVOS</w:t>
      </w:r>
      <w:bookmarkEnd w:id="1"/>
    </w:p>
    <w:p>
      <w:pPr>
        <w:pStyle w:val="Normal12a"/>
      </w:pPr>
      <w:r>
        <w:rPr>
          <w:rStyle w:val="Bold"/>
        </w:rPr>
        <w:t xml:space="preserve">O custo de vida e a crise energética: as mulheres são as mais afetadas </w:t>
      </w:r>
    </w:p>
    <w:p>
      <w:pPr>
        <w:pStyle w:val="Normal12a"/>
      </w:pPr>
      <w:r>
        <w:t>A Europa atravessa atualmente uma crise energética e de custo de vida quase sem precedentes na história recente. Em todo o continente, as pessoas estão a ter dificuldades em fazer face às despesas e a ter de escolher entre comida ou aquecimento.</w:t>
      </w:r>
    </w:p>
    <w:p>
      <w:pPr>
        <w:pStyle w:val="Normal12a"/>
      </w:pPr>
      <w:r>
        <w:t>No início de 2022, após a pandemia de COVID-19, a União Europeia estava determinada a «trabalhar, [...] tornar a Europa mais ecológica, mais digital e mais resiliente»</w:t>
      </w:r>
      <w:r>
        <w:rPr>
          <w:rStyle w:val="FootnoteReference"/>
        </w:rPr>
        <w:footnoteReference w:id="23"/>
      </w:r>
      <w:r>
        <w:t>. No entanto, em 24 de fevereiro, a Rússia invadiu a Ucrânia.</w:t>
      </w:r>
    </w:p>
    <w:p>
      <w:pPr>
        <w:pStyle w:val="Normal12a"/>
      </w:pPr>
      <w:r>
        <w:t xml:space="preserve">Para além do enorme sofrimento humano causado pela guerra da Rússia contra a Ucrânia e o seu povo, a guerra teve um grande impacto nas cadeias de abastecimento, provocando o aumento dos preços da energia e dos alimentos e a subida vertiginosa da inflação. Em 2022, as taxas de inflação levaram o </w:t>
      </w:r>
      <w:r>
        <w:t>Banco Central Europeu</w:t>
      </w:r>
      <w:r>
        <w:t xml:space="preserve"> a aumentar as taxas de juro pela primeira vez em 11 anos.</w:t>
      </w:r>
    </w:p>
    <w:p>
      <w:pPr>
        <w:pStyle w:val="Normal12a"/>
      </w:pPr>
      <w:r>
        <w:t>Infelizmente, o aumento da inflação ocorreu antes de os grupos sociais mais vulneráveis poderem recuperar da pandemia de COVID-19, o que agravou ainda mais as condições de vida de muitos cidadãos europeus.</w:t>
      </w:r>
    </w:p>
    <w:p>
      <w:pPr>
        <w:pStyle w:val="Normal12a"/>
      </w:pPr>
      <w:r>
        <w:t>Milhões de agregados familiares necessitam agora de ajuda devido a este aumento do custo de vida e ao aumento dos preços da energia. No entanto, se olharmos para a realidade dos números, a pobreza tem um rosto feminino.</w:t>
      </w:r>
    </w:p>
    <w:p>
      <w:pPr>
        <w:pStyle w:val="Normal12a"/>
      </w:pPr>
      <w:r>
        <w:t>As mulheres de toda a Europa enfrentam mais desafios socioeconómicos e níveis de pobreza mais elevados do que os homens. De um modo geral, as mulheres têm empregos mais precários, os seus salários são mais baixos e a probabilidade de se dedicarem ao cuidado não remunerado de crianças é maior. No que diz respeito ao acesso à educação, aos cuidados de saúde, ao emprego e aos serviços sociais, alguns grupos de mulheres enfrentam formas cruzadas de discriminação. Entre estas contam-se as mulheres com mais de 65 anos, as mulheres com deficiência e as mulheres pertencentes a minorias étnicas.</w:t>
      </w:r>
    </w:p>
    <w:p>
      <w:pPr>
        <w:pStyle w:val="Normal12a"/>
      </w:pPr>
      <w:r>
        <w:t>Desde a COVID-19, as desigualdades entre homens e mulheres aumentaram e a atual crise do custo de vida afeta desproporcionadamente as mulheres devido ao seu rendimento médio mais baixo, à pobreza e ineficiência habitacional e à dependência de prestações sociais. Em 2021, antes da crise, o número de mulheres que viviam abaixo do limiar de pobreza na UE excedia o dos homens em mais de 20 milhões. Se o atual ritmo de progresso se mantiver, serão necessários pelos menos 60 anos para a UE alcançar a igualdade de género</w:t>
      </w:r>
      <w:r>
        <w:rPr>
          <w:rStyle w:val="FootnoteReference"/>
        </w:rPr>
        <w:footnoteReference w:id="24"/>
      </w:r>
      <w:r>
        <w:t>.</w:t>
      </w:r>
    </w:p>
    <w:p>
      <w:pPr>
        <w:pStyle w:val="Normal12a"/>
      </w:pPr>
      <w:r>
        <w:rPr>
          <w:rStyle w:val="Bold"/>
        </w:rPr>
        <w:t>Ursula von der Leyen prometeu não deixar ninguém para trás, mas esqueceu-se do Pacto Ecológico</w:t>
      </w:r>
    </w:p>
    <w:p>
      <w:pPr>
        <w:pStyle w:val="Normal12a"/>
      </w:pPr>
      <w:r>
        <w:t>Sabemos que as mulheres correm um maior risco de cair na pobreza energética, ou seja, de não ter acesso a recursos energéticos a preços acessíveis. O problema é um desafio reconhecido ao nível da UE. De acordo com a Comissão Europeia, a pobreza energética é um problema generalizado em toda a Europa, uma vez que entre 50 e 125 milhões de pessoas não conseguem suportar o custo de um conforto térmico adequado no interior das suas casas.</w:t>
      </w:r>
    </w:p>
    <w:p>
      <w:pPr>
        <w:pStyle w:val="Normal12a"/>
      </w:pPr>
      <w:r>
        <w:t>No entanto, são raros os dados disponíveis sobre o impacto da pobreza energética em homens e mulheres na UE. Poucos Estados-Membros adotaram definições e indicadores de pobreza energética, e normalmente não têm em conta o género.</w:t>
      </w:r>
    </w:p>
    <w:p>
      <w:pPr>
        <w:pStyle w:val="Normal12a"/>
      </w:pPr>
      <w:r>
        <w:t xml:space="preserve">Já em 2016, o </w:t>
      </w:r>
      <w:r>
        <w:t>Parlamento Europeu</w:t>
      </w:r>
      <w:r>
        <w:t xml:space="preserve"> aprovou uma resolução sobre o acesso à energia, apelando à integração da dimensão de género em todas as políticas energéticas. Infelizmente, apesar dos numerosos apelos do </w:t>
      </w:r>
      <w:r>
        <w:t>Parlamento Europeu</w:t>
      </w:r>
      <w:r>
        <w:t xml:space="preserve"> e da promessa da presidente da Comissão, Ursula von der Leyen, de que o Pacto Ecológico Europeu não deixaria «ninguém para trás», os progressos foram escassos.</w:t>
      </w:r>
    </w:p>
    <w:p>
      <w:pPr>
        <w:pStyle w:val="Normal12a"/>
      </w:pPr>
      <w:r>
        <w:t>Apesar do compromisso da atual Comissão de integrar a perspetiva de género em todas as suas principais iniciativas, as ligações entre a igualdade de género e os domínios de intervenção do Pacto Ecológico Europeu, bem como no Mecanismo de Recuperação e Resiliência, são inadequadas.</w:t>
      </w:r>
    </w:p>
    <w:p>
      <w:pPr>
        <w:pStyle w:val="Normal12a"/>
      </w:pPr>
      <w:r>
        <w:t>Na prática, o que a Comissão Europeia apresentou até à data sobre o Pacto Ecológico pode ser descrito como uma transição ecológica financiada pela UE que não tem em conta a igualdade de género e ameaça aumentar as desigualdades existentes quer de género quer cruzadas.</w:t>
      </w:r>
    </w:p>
    <w:p>
      <w:pPr>
        <w:pStyle w:val="Normal12a"/>
      </w:pPr>
      <w:r>
        <w:t xml:space="preserve">O Relatório Especial 10/2021 do </w:t>
      </w:r>
      <w:r>
        <w:t>Tribunal de Contas Europeu</w:t>
      </w:r>
      <w:r>
        <w:t xml:space="preserve"> intitulado «Integração da perspetiva de género no orçamento da UE: é altura de transformar as palavras em ação» confirma igualmente que a Comissão não está a respeitar a sua obrigação decorrente dos tratados de promover a igualdade entre homens e mulheres em todos os domínios da elaboração e execução de políticas. O relatório conclui que, na elaboração de políticas, faltam frequentemente indicadores e dados repartidos por género, o que dificulta a análise da integração da perspetiva de género</w:t>
      </w:r>
      <w:r>
        <w:rPr>
          <w:rStyle w:val="FootnoteReference"/>
        </w:rPr>
        <w:footnoteReference w:id="25"/>
      </w:r>
      <w:r>
        <w:t>. Consequentemente, as iniciativas do Pacto Ecológico e o Mecanismo de Recuperação e Resiliência não garantem a igualdade de género.</w:t>
      </w:r>
    </w:p>
    <w:p>
      <w:pPr>
        <w:pStyle w:val="Normal12a"/>
      </w:pPr>
      <w:r>
        <w:t>Além disso, o Índice de Igualdade de Género de 2023 do EIGE, relativo à igualdade de género e ao Pacto Ecológico Europeu, destaca também a falta de dados de elevada qualidade e afirma que os indicadores atuais não são adequados à sua finalidade. Com demasiada frequência, os dados não são repartidos por género e os indicadores não são responsivos à dimensão de género. Por conseguinte, as estatísticas da UE disponíveis não medem as questões pertinentes de uma perspetiva de género interseccional.</w:t>
      </w:r>
    </w:p>
    <w:p>
      <w:pPr>
        <w:pStyle w:val="Normal12a"/>
      </w:pPr>
      <w:r>
        <w:t>A falta de dados concretos constitui um desafio fundamental para a Comissão, se esta quiser seriamente honrar o seu compromisso de «não deixar ninguém para trás». É necessário dispor de factos cruzados para integrar com êxito as diversas necessidades e preocupações tanto das mulheres como dos homens nas políticas de concretização do Pacto Ecológico Europeu. Este é um requisito indispensável para assegurar a igualdade de acesso ao financiamento historicamente sem precedentes e às grandes oportunidades que a transição ecológica oferece.</w:t>
      </w:r>
    </w:p>
    <w:p>
      <w:pPr>
        <w:pStyle w:val="Normal12a"/>
      </w:pPr>
      <w:r>
        <w:rPr>
          <w:rStyle w:val="Bold"/>
        </w:rPr>
        <w:t>O Pacto Ecológico deve dar prioridade à equidade social para combater a pobreza em razão do género</w:t>
      </w:r>
    </w:p>
    <w:p>
      <w:pPr>
        <w:pStyle w:val="Normal12a"/>
      </w:pPr>
      <w:r>
        <w:t>A Europa está novamente em modo de emergência, enfrentando uma importante crise energética devido à nossa dependência dos combustíveis fósseis e à volatilidade do mercado da energia.</w:t>
      </w:r>
    </w:p>
    <w:p>
      <w:pPr>
        <w:pStyle w:val="Normal12a"/>
      </w:pPr>
      <w:r>
        <w:t>Os aspetos sociais do Pacto Ecológico Europeu e das nossas políticas energéticas são cruciais para cumprir as metas climáticas da UE e atenuar os impactos socioeconómicos da guerra da Rússia contra a Ucrânia.</w:t>
      </w:r>
    </w:p>
    <w:p>
      <w:pPr>
        <w:pStyle w:val="Normal12a"/>
      </w:pPr>
      <w:r>
        <w:t>Atualmente, os cidadãos mais vulneráveis da UE estão a pagar o preço da volatilidade do nosso sistema energético dependente de combustíveis fósseis. A pobreza tem um rosto feminino e, já em 2021, antes da atual crise, o número de mulheres que viviam abaixo do limiar de pobreza na UE excedia o dos homens em mais de 20 milhões.</w:t>
      </w:r>
    </w:p>
    <w:p>
      <w:pPr>
        <w:pStyle w:val="Normal12a"/>
      </w:pPr>
      <w:r>
        <w:t xml:space="preserve">O </w:t>
      </w:r>
      <w:r>
        <w:t>Parlamento Europeu</w:t>
      </w:r>
      <w:r>
        <w:t xml:space="preserve"> fez várias declarações contundentes sobre a igualdade de género e a transição energética. Na sua resolução de 17 de fevereiro de 2022, o Parlamento reconheceu que as mulheres continuam a enfrentar obstáculos estruturais e culturais à participação em todos os aspetos da transição energética e climática</w:t>
      </w:r>
      <w:r>
        <w:rPr>
          <w:rStyle w:val="FootnoteReference"/>
        </w:rPr>
        <w:footnoteReference w:id="26"/>
      </w:r>
      <w:r>
        <w:t>.</w:t>
      </w:r>
    </w:p>
    <w:p>
      <w:pPr>
        <w:pStyle w:val="Normal12a"/>
      </w:pPr>
      <w:r>
        <w:t>Os problemas estruturais exigem soluções estruturais. Por conseguinte, o cruzamento de dados e uma abordagem responsiva à dimensão de género devem refletir-se na elaboração de políticas da UE para combater o aumento da pobreza em razão do género. A aplicação do Pacto Ecológico Europeu constitui uma oportunidade para cumprir o compromisso de integrar a abordagem de género e uma perspetiva interseccional em todas as atividades da UE, incluindo no processo de orçamentação da UE.</w:t>
      </w:r>
    </w:p>
    <w:p>
      <w:pPr>
        <w:pStyle w:val="Normal12a"/>
      </w:pPr>
      <w:r>
        <w:t xml:space="preserve">O relatório apresenta várias medidas para combater o aumento da pobreza em razão do género e reitera os inúmeros apelos do </w:t>
      </w:r>
      <w:r>
        <w:t>Parlamento Europeu</w:t>
      </w:r>
      <w:r>
        <w:t xml:space="preserve"> à Comissão para que cumpra a sua promessa de assegurar uma transição para a energia verde que funcione para todos.</w:t>
      </w:r>
    </w:p>
    <w:p>
      <w:pPr>
        <w:pStyle w:val="Normal12a"/>
      </w:pPr>
      <w:r>
        <w:t>Em conclusão, assegurar a equidade social da transição ecológica é um pré-requisito indispensável para o êxito do Pacto Ecológico e para alcançar a igualdade de género na União Europeia.</w:t>
      </w:r>
    </w:p>
    <w:p>
      <w:pPr>
        <w:pStyle w:val="Normal12a"/>
      </w:pPr>
    </w:p>
    <w:sectPr>
      <w:footnotePr>
        <w:numRestart w:val="eachSect"/>
      </w:footnotePr>
      <w:type w:val="continuous"/>
      <w:pgSz w:w="11906" w:h="16838"/>
      <w:pgMar w:top="1134" w:right="1417" w:bottom="1417" w:left="1417" w:header="1134" w:footer="567" w:gutter="0"/>
      <w:cols w:num="1"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752.947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  <w:r>
      <w:tab/>
    </w:r>
    <w:r>
      <w:fldChar w:fldCharType="begin"/>
    </w:r>
    <w:r>
      <w:instrText>PAGE</w:instrText>
    </w:r>
    <w:r>
      <w:fldChar w:fldCharType="separate"/>
    </w:r>
    <w:r>
      <w:t>12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  <w:r>
      <w:tab/>
    </w: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PR\1285514PT.docx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</w:p>
  <w:p>
    <w:pPr>
      <w:pStyle w:val="EPFooter2"/>
    </w:pPr>
    <w:r>
      <w:t>PT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PR\1285514PT.docx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  <w:r>
      <w:tab/>
    </w:r>
    <w:r>
      <w:fldChar w:fldCharType="begin"/>
    </w:r>
    <w:r>
      <w:instrText>PAGE</w:instrText>
    </w:r>
    <w:r>
      <w:fldChar w:fldCharType="separate"/>
    </w:r>
    <w:r>
      <w:t>11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  <w:r>
      <w:tab/>
    </w: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752.947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</w:p>
  <w:p>
    <w:pPr>
      <w:pStyle w:val="EPFooter2"/>
    </w:pPr>
    <w:r>
      <w:tab/>
    </w:r>
    <w:r>
      <w:tab/>
    </w:r>
    <w:r>
      <w:t>PT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PR\1285514PT.docx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  <w:r>
      <w:tab/>
    </w:r>
    <w:r>
      <w:tab/>
    </w: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752.947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</w:p>
  <w:p>
    <w:pPr>
      <w:pStyle w:val="EPFooter2"/>
    </w:pPr>
    <w:r>
      <w:t>PT</w:t>
    </w:r>
    <w:r>
      <w:tab/>
    </w:r>
    <w:r>
      <w:rPr>
        <w:rStyle w:val="EPFooter2Motto"/>
      </w:rPr>
      <w:t>Unida na diversidade</w:t>
    </w:r>
    <w:r>
      <w:tab/>
    </w:r>
    <w:r>
      <w:t>PT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id="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https://commission.europa.eu/strategy-and-policy/policies/justice-and-fundamental-rights/gender-equality/gender-equality-strategy_pt.</w:t>
      </w:r>
    </w:p>
  </w:footnote>
  <w:footnote w:id="1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>
          <w:rPr>
            <w:color w:val="0000FF"/>
            <w:u w:val="single" w:color="0000FF"/>
          </w:rPr>
          <w:t>JO L 211 de 14.8.2009, p. 94.</w:t>
        </w:r>
      </w:hyperlink>
    </w:p>
  </w:footnote>
  <w:footnote w:id="2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2" w:history="1">
        <w:r>
          <w:rPr>
            <w:color w:val="0000FF"/>
            <w:u w:val="single" w:color="0000FF"/>
          </w:rPr>
          <w:t>JO L 315 de 14.11.2012, p. 1.</w:t>
        </w:r>
      </w:hyperlink>
    </w:p>
  </w:footnote>
  <w:footnote w:id="3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3" w:history="1">
        <w:r>
          <w:rPr>
            <w:color w:val="0000FF"/>
            <w:u w:val="single" w:color="0000FF"/>
          </w:rPr>
          <w:t>JO L 328 de 21.12.2018, p. 82.</w:t>
        </w:r>
      </w:hyperlink>
    </w:p>
  </w:footnote>
  <w:footnote w:id="4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4" w:history="1">
        <w:r>
          <w:rPr>
            <w:color w:val="0000FF"/>
            <w:u w:val="single" w:color="0000FF"/>
          </w:rPr>
          <w:t>JO L 158 de 14.6.2019, p. 125.</w:t>
        </w:r>
      </w:hyperlink>
    </w:p>
  </w:footnote>
  <w:footnote w:id="5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5" w:history="1">
        <w:r>
          <w:rPr>
            <w:color w:val="0000FF"/>
            <w:u w:val="single" w:color="0000FF"/>
          </w:rPr>
          <w:t>JO L 57 de 18.2.2021, p. 17.</w:t>
        </w:r>
      </w:hyperlink>
    </w:p>
  </w:footnote>
  <w:footnote w:id="6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6" w:history="1">
        <w:r>
          <w:rPr>
            <w:color w:val="0000FF"/>
            <w:u w:val="single" w:color="0000FF"/>
          </w:rPr>
          <w:t>JO L 132 de 17.5.2023, p. 21.</w:t>
        </w:r>
      </w:hyperlink>
    </w:p>
  </w:footnote>
  <w:footnote w:id="7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7" w:history="1">
        <w:r>
          <w:rPr>
            <w:color w:val="0000FF"/>
            <w:u w:val="single" w:color="0000FF"/>
          </w:rPr>
          <w:t>JO C 479 de 16.12.2022, p. 75.</w:t>
        </w:r>
      </w:hyperlink>
    </w:p>
  </w:footnote>
  <w:footnote w:id="8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8" w:history="1">
        <w:r>
          <w:rPr>
            <w:color w:val="0000FF"/>
            <w:u w:val="single" w:color="0000FF"/>
          </w:rPr>
          <w:t>JO C 47 de 7.2.2023, p. 2.</w:t>
        </w:r>
      </w:hyperlink>
    </w:p>
  </w:footnote>
  <w:footnote w:id="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Tribunal de Contas Europeu, «Integração da perspetiva de género no orçamento da UE: é altura de transformar as palavras em ação», https://www.eca.europa.eu/Lists/ECADocuments/SR21_10/SR_Gender_mainstreaming_PT.pdf.</w:t>
      </w:r>
    </w:p>
  </w:footnote>
  <w:footnote w:id="10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9" w:history="1">
        <w:r>
          <w:rPr>
            <w:color w:val="0000FF"/>
            <w:u w:val="single" w:color="0000FF"/>
          </w:rPr>
          <w:t>JO L 357 de 27.10.2020, p. 35.</w:t>
        </w:r>
      </w:hyperlink>
    </w:p>
  </w:footnote>
  <w:footnote w:id="1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Agência Internacional da Energia, «End-Use Prices Data Explorer», 28 de abril de 2023, https://www.iea.org/data-and-statistics/data-tools/energy-prices-data-explorer?tab=Overview.</w:t>
      </w:r>
    </w:p>
  </w:footnote>
  <w:footnote w:id="1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Fundo Monetário Internacional, «The Fog of War Clouds the European Outlook», outubro de 2022, https://www.imf.org/-/media/Files/Publications/REO/EUR/2022/October/English/text.ashx.</w:t>
      </w:r>
    </w:p>
  </w:footnote>
  <w:footnote w:id="1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Eurostat, «Living conditions in Europe», 2022, https://ec.europa.eu/eurostat/statistics-explained/index.php?title=Living_conditions_in_Europe.</w:t>
      </w:r>
    </w:p>
  </w:footnote>
  <w:footnote w:id="1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Eurostat, «Energy prices on the rise in the euro area in 2021», 10 de fevereiro de 2022, https://ec.europa.eu/eurostat/web/products-eurostat-news/-/edn-20220210-2.</w:t>
      </w:r>
    </w:p>
  </w:footnote>
  <w:footnote w:id="1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Eurofound, «The cost-of-living crisis and energy poverty in the EU: Social impact and policy responses – Background paper», 28 de outubro de 2022, https://www.eurofound.europa.eu/sites/default/files/ef_publication/field_ef_document/ef22077en.pdf.</w:t>
      </w:r>
    </w:p>
  </w:footnote>
  <w:footnote w:id="1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Instituto Europeu para a Igualdade de Género, «Índice de Igualdade de Género de 2021», https://eige.europa.eu/gender-equality-index/2021 e «Índice de Igualdade de Género de 2022», https://eige.europa.eu/gender-equality-index/2022.</w:t>
      </w:r>
    </w:p>
  </w:footnote>
  <w:footnote w:id="1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União Europeia, «EP Autumn 2022 Survey: Parlemeter», janeiro de 2023, https://europa.eu/eurobarometer/surveys/detail/2932.</w:t>
      </w:r>
    </w:p>
  </w:footnote>
  <w:footnote w:id="18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Estudo – «Gender perspetive on access to energy in the EU», Parlamento Europeu, Direção-Geral das Políticas Internas, Departamento Temático C – Direitos dos Cidadãos e Assuntos Constitucionais, 18 de dezembro de 2017, https://www.europarl.europa.eu/RegData/etudes/STUD/2017/596816/IPOL_STU(2017)596816_EN.pdf.</w:t>
      </w:r>
    </w:p>
  </w:footnote>
  <w:footnote w:id="1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Briefing – «Gender Aspects of Energy Poverty», Parlamento Europeu, Direção-Geral das Políticas Internas, Departamento Temático C – Direitos dos Cidadãos e Assuntos Constitucionais, 1 de março de 2023, https://www.europarl.europa.eu/cmsdata/265960/Briefing_FEMM_IWD_2023_FINAL_EN.pdf.</w:t>
      </w:r>
    </w:p>
  </w:footnote>
  <w:footnote w:id="2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Estudo – «The Gender Dimension and Impact of the Fit for 55 Package», Parlamento Europeu, Direção-Geral das Políticas Internas da União, Departamento Temático C – Direitos dos Cidadãos e Assuntos Constitucionais, 6 de dezembro de 2023, https://www.europarl.europa.eu/RegData/etudes/STUD/2022/736899/IPOL_STU(2022)736899_EN.pdf.</w:t>
      </w:r>
    </w:p>
  </w:footnote>
  <w:footnote w:id="2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Briefing – «Energy poverty in the EU», Parlamento Europeu, Direção-Geral dos Serviços de Estudos do Parlamento Europeu, 18 de setembro de 2023, https://www.europarl.europa.eu/RegData/etudes/BRIE/2022/733583/EPRS_BRI(2022)733583_EN.pdf.</w:t>
      </w:r>
    </w:p>
  </w:footnote>
  <w:footnote w:id="22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10" w:history="1">
        <w:r>
          <w:rPr>
            <w:color w:val="0000FF"/>
            <w:u w:val="single" w:color="0000FF"/>
          </w:rPr>
          <w:t>JO C 465 de 17.11.2021, p. 62.</w:t>
        </w:r>
      </w:hyperlink>
    </w:p>
  </w:footnote>
  <w:footnote w:id="2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https://commission.europa.eu/strategy-and-policy/recovery-plan-europe_pt</w:t>
      </w:r>
    </w:p>
  </w:footnote>
  <w:footnote w:id="2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https://sdgwatcheurope.org/cost-of-living-crisis-exacerbates-poverty-for-women-in-europe/</w:t>
      </w:r>
    </w:p>
  </w:footnote>
  <w:footnote w:id="2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https://www.eca.europa.eu/pt/publications?did=58678</w:t>
      </w:r>
    </w:p>
  </w:footnote>
  <w:footnote w:id="2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https://www.europarl.europa.eu/doceo/document/TA-9-2022-02-17_PT.html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54581"/>
    <w:multiLevelType w:val="hybridMultilevel"/>
    <w:tmpl w:val="F16C6036"/>
    <w:lvl w:ilvl="0">
      <w:start w:val="1"/>
      <w:numFmt w:val="bullet"/>
      <w:pStyle w:val="Normal12a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C09CF"/>
    <w:multiLevelType w:val="hybridMultilevel"/>
    <w:tmpl w:val="0DAA9F68"/>
    <w:lvl w:ilvl="0">
      <w:start w:val="1"/>
      <w:numFmt w:val="bullet"/>
      <w:pStyle w:val="Normal12aBullet2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stylePaneFormatFilter w:val="3F01"/>
  <w:defaultTabStop w:val="720"/>
  <w:evenAndOddHeaders/>
  <w:noPunctuationKerning/>
  <w:characterSpacingControl w:val="doNotCompress"/>
  <w:footnotePr>
    <w:numRestart w:val="eachSect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pPr>
      <w:widowControl w:val="0"/>
    </w:pPr>
    <w:rPr>
      <w:snapToGrid w:val="0"/>
      <w:sz w:val="24"/>
      <w:lang w:eastAsia="en-US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Comma">
    <w:name w:val="EPComma"/>
    <w:basedOn w:val="Normal"/>
    <w:rsid w:val="006A5366"/>
    <w:pPr>
      <w:spacing w:before="480" w:after="240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TOCRight">
    <w:name w:val="TOC Right"/>
    <w:basedOn w:val="Normal"/>
    <w:rsid w:val="00E839D9"/>
    <w:pPr>
      <w:spacing w:after="240"/>
      <w:jc w:val="right"/>
    </w:pPr>
  </w:style>
  <w:style w:type="paragraph" w:customStyle="1" w:styleId="CoverDateRefPart">
    <w:name w:val="CoverDateRefPart"/>
    <w:basedOn w:val="Normal"/>
    <w:rsid w:val="00C5424C"/>
    <w:pPr>
      <w:spacing w:after="1200"/>
    </w:pPr>
  </w:style>
  <w:style w:type="paragraph" w:customStyle="1" w:styleId="EPName">
    <w:name w:val="EPName"/>
    <w:basedOn w:val="Normal"/>
    <w:rsid w:val="00D16E15"/>
    <w:pPr>
      <w:spacing w:before="80" w:after="80"/>
    </w:pPr>
    <w:rPr>
      <w:rFonts w:ascii="Arial Narrow" w:hAnsi="Arial Narrow" w:cs="Arial"/>
      <w:b/>
      <w:snapToGrid/>
      <w:sz w:val="32"/>
      <w:szCs w:val="22"/>
      <w:lang w:eastAsia="en-GB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NormalBold">
    <w:name w:val="NormalBold"/>
    <w:basedOn w:val="Normal"/>
    <w:rsid w:val="006A5366"/>
    <w:rPr>
      <w:b/>
    </w:rPr>
  </w:style>
  <w:style w:type="paragraph" w:customStyle="1" w:styleId="CoverReference">
    <w:name w:val="CoverReference"/>
    <w:basedOn w:val="Normal"/>
    <w:rsid w:val="00791131"/>
    <w:pPr>
      <w:spacing w:before="1080"/>
      <w:jc w:val="right"/>
    </w:pPr>
    <w:rPr>
      <w:rFonts w:ascii="Arial" w:hAnsi="Arial" w:cs="Arial"/>
      <w:b/>
    </w:rPr>
  </w:style>
  <w:style w:type="paragraph" w:customStyle="1" w:styleId="CoverNormal24a">
    <w:name w:val="CoverNormal24a"/>
    <w:basedOn w:val="Normal"/>
    <w:rsid w:val="00D20BEB"/>
    <w:pPr>
      <w:spacing w:after="480"/>
      <w:ind w:left="1417"/>
    </w:pPr>
  </w:style>
  <w:style w:type="paragraph" w:styleId="TOC1">
    <w:name w:val="toc 1"/>
    <w:basedOn w:val="Normal"/>
    <w:next w:val="Normal"/>
    <w:autoRedefine/>
    <w:uiPriority w:val="39"/>
    <w:rsid w:val="00E57F92"/>
    <w:pPr>
      <w:spacing w:after="240"/>
    </w:pPr>
  </w:style>
  <w:style w:type="paragraph" w:customStyle="1" w:styleId="TOCPage">
    <w:name w:val="TOC Page"/>
    <w:basedOn w:val="Normal"/>
    <w:next w:val="TOC1"/>
    <w:rsid w:val="004302F8"/>
    <w:pPr>
      <w:keepNext/>
      <w:spacing w:after="24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rsid w:val="00F03FCA"/>
    <w:pPr>
      <w:spacing w:after="480"/>
      <w:ind w:left="1418"/>
    </w:pPr>
    <w:rPr>
      <w:rFonts w:ascii="Arial" w:hAnsi="Arial"/>
      <w:b/>
      <w:sz w:val="48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customStyle="1" w:styleId="NormalHanging12a">
    <w:name w:val="NormalHanging12a"/>
    <w:basedOn w:val="Normal"/>
    <w:rsid w:val="00572801"/>
    <w:pPr>
      <w:widowControl/>
      <w:spacing w:after="240"/>
      <w:ind w:left="567" w:hanging="567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customStyle="1" w:styleId="PageHeading">
    <w:name w:val="PageHeading"/>
    <w:basedOn w:val="Normal"/>
    <w:rsid w:val="00F03FCA"/>
    <w:pPr>
      <w:keepNext/>
      <w:spacing w:after="480"/>
      <w:jc w:val="center"/>
    </w:pPr>
    <w:rPr>
      <w:rFonts w:ascii="Arial" w:hAnsi="Arial" w:cs="Arial"/>
      <w:b/>
    </w:r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TOCSubHeading">
    <w:name w:val="TOC SubHeading"/>
    <w:basedOn w:val="Normal"/>
    <w:rsid w:val="00F03FCA"/>
    <w:pPr>
      <w:spacing w:before="480" w:after="240"/>
    </w:pPr>
    <w:rPr>
      <w:b/>
    </w:rPr>
  </w:style>
  <w:style w:type="paragraph" w:customStyle="1" w:styleId="TOCTabLeader">
    <w:name w:val="TOC TabLeader"/>
    <w:basedOn w:val="Normal"/>
    <w:rsid w:val="00E839D9"/>
    <w:pPr>
      <w:tabs>
        <w:tab w:val="left" w:leader="dot" w:pos="5954"/>
      </w:tabs>
      <w:spacing w:after="240"/>
    </w:pPr>
  </w:style>
  <w:style w:type="paragraph" w:customStyle="1" w:styleId="CoverNormalHanging">
    <w:name w:val="CoverNormalHanging"/>
    <w:basedOn w:val="Normal"/>
    <w:rsid w:val="00BF1100"/>
    <w:pPr>
      <w:ind w:left="3686" w:hanging="2268"/>
    </w:pPr>
  </w:style>
  <w:style w:type="paragraph" w:styleId="TOCHeading">
    <w:name w:val="TOC Heading"/>
    <w:basedOn w:val="Normal"/>
    <w:next w:val="TOCPage"/>
    <w:rsid w:val="007F2104"/>
    <w:pPr>
      <w:keepNext/>
      <w:spacing w:before="240" w:after="240"/>
      <w:jc w:val="center"/>
    </w:pPr>
    <w:rPr>
      <w:rFonts w:ascii="Arial" w:hAnsi="Arial"/>
      <w:b/>
      <w:snapToGrid/>
      <w:lang w:eastAsia="en-GB"/>
    </w:rPr>
  </w:style>
  <w:style w:type="table" w:styleId="TableGrid">
    <w:name w:val="Table Grid"/>
    <w:basedOn w:val="TableNormal"/>
    <w:rsid w:val="00F73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F03FCA"/>
    <w:pPr>
      <w:jc w:val="center"/>
    </w:pPr>
    <w:rPr>
      <w:rFonts w:ascii="Arial" w:hAnsi="Arial" w:cs="Arial"/>
      <w:i/>
      <w:snapToGrid/>
      <w:sz w:val="22"/>
      <w:szCs w:val="22"/>
      <w:lang w:eastAsia="en-GB"/>
    </w:rPr>
  </w:style>
  <w:style w:type="paragraph" w:customStyle="1" w:styleId="LineTop">
    <w:name w:val="LineTop"/>
    <w:basedOn w:val="Normal"/>
    <w:next w:val="Normal"/>
    <w:rsid w:val="00F732B6"/>
    <w:pPr>
      <w:pBdr>
        <w:top w:val="single" w:sz="4" w:space="1" w:color="auto"/>
      </w:pBdr>
      <w:jc w:val="center"/>
    </w:pPr>
    <w:rPr>
      <w:rFonts w:ascii="Arial" w:hAnsi="Arial" w:cs="Arial"/>
      <w:snapToGrid/>
      <w:sz w:val="16"/>
      <w:szCs w:val="16"/>
      <w:lang w:eastAsia="en-GB"/>
    </w:rPr>
  </w:style>
  <w:style w:type="paragraph" w:customStyle="1" w:styleId="LineBottom">
    <w:name w:val="LineBottom"/>
    <w:basedOn w:val="Normal"/>
    <w:next w:val="Normal"/>
    <w:rsid w:val="00791131"/>
    <w:pPr>
      <w:pBdr>
        <w:bottom w:val="single" w:sz="4" w:space="1" w:color="auto"/>
      </w:pBdr>
      <w:spacing w:after="240"/>
      <w:jc w:val="center"/>
    </w:pPr>
    <w:rPr>
      <w:rFonts w:ascii="Arial" w:hAnsi="Arial" w:cs="Arial"/>
      <w:snapToGrid/>
      <w:sz w:val="16"/>
      <w:szCs w:val="16"/>
      <w:lang w:eastAsia="en-GB"/>
    </w:rPr>
  </w:style>
  <w:style w:type="paragraph" w:customStyle="1" w:styleId="EPTerm">
    <w:name w:val="EPTerm"/>
    <w:basedOn w:val="Normal"/>
    <w:next w:val="Normal"/>
    <w:rsid w:val="00D16E15"/>
    <w:pPr>
      <w:spacing w:after="80"/>
    </w:pPr>
    <w:rPr>
      <w:rFonts w:ascii="Arial" w:hAnsi="Arial" w:cs="Arial"/>
      <w:snapToGrid/>
      <w:sz w:val="20"/>
      <w:szCs w:val="22"/>
      <w:lang w:eastAsia="en-GB"/>
    </w:rPr>
  </w:style>
  <w:style w:type="paragraph" w:customStyle="1" w:styleId="EPLogo">
    <w:name w:val="EPLogo"/>
    <w:basedOn w:val="Normal"/>
    <w:qFormat/>
    <w:rsid w:val="00D16E15"/>
    <w:pPr>
      <w:jc w:val="right"/>
    </w:pPr>
    <w:rPr>
      <w:snapToGrid/>
      <w:lang w:eastAsia="en-GB"/>
    </w:rPr>
  </w:style>
  <w:style w:type="paragraph" w:customStyle="1" w:styleId="CoverRefPart">
    <w:name w:val="CoverRefPart"/>
    <w:basedOn w:val="Normal"/>
    <w:rsid w:val="00577455"/>
    <w:pPr>
      <w:jc w:val="right"/>
    </w:pPr>
    <w:rPr>
      <w:rFonts w:ascii="Arial" w:hAnsi="Arial"/>
    </w:rPr>
  </w:style>
  <w:style w:type="paragraph" w:customStyle="1" w:styleId="Subheading">
    <w:name w:val="Subheading"/>
    <w:basedOn w:val="Normal"/>
    <w:rsid w:val="0065571D"/>
    <w:pPr>
      <w:spacing w:before="480" w:after="240"/>
    </w:pPr>
    <w:rPr>
      <w:b/>
      <w:bCs/>
      <w:i/>
      <w:iCs/>
    </w:rPr>
  </w:style>
  <w:style w:type="paragraph" w:customStyle="1" w:styleId="EPFooter">
    <w:name w:val="EPFooter"/>
    <w:basedOn w:val="Normal"/>
    <w:rsid w:val="007C663F"/>
    <w:pPr>
      <w:tabs>
        <w:tab w:val="center" w:pos="4535"/>
        <w:tab w:val="right" w:pos="9071"/>
      </w:tabs>
      <w:spacing w:before="240" w:after="240"/>
    </w:pPr>
    <w:rPr>
      <w:sz w:val="22"/>
    </w:rPr>
  </w:style>
  <w:style w:type="paragraph" w:styleId="Header">
    <w:name w:val="header"/>
    <w:basedOn w:val="Normal"/>
    <w:link w:val="HeaderChar"/>
    <w:semiHidden/>
    <w:rsid w:val="007C66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791131"/>
    <w:rPr>
      <w:snapToGrid w:val="0"/>
      <w:sz w:val="24"/>
      <w:lang w:eastAsia="en-US"/>
    </w:rPr>
  </w:style>
  <w:style w:type="character" w:styleId="PageNumber">
    <w:name w:val="page number"/>
    <w:basedOn w:val="DefaultParagraphFont"/>
    <w:semiHidden/>
    <w:rsid w:val="00131752"/>
  </w:style>
  <w:style w:type="paragraph" w:customStyle="1" w:styleId="AmColumnHeading">
    <w:name w:val="AmColumnHeading"/>
    <w:basedOn w:val="Normal"/>
    <w:rsid w:val="00B47478"/>
    <w:pPr>
      <w:spacing w:after="240"/>
      <w:jc w:val="center"/>
    </w:pPr>
    <w:rPr>
      <w:i/>
      <w:snapToGrid/>
      <w:lang w:eastAsia="en-GB"/>
    </w:rPr>
  </w:style>
  <w:style w:type="paragraph" w:customStyle="1" w:styleId="AmCrossRef">
    <w:name w:val="AmCrossRef"/>
    <w:basedOn w:val="Normal"/>
    <w:rsid w:val="00B47478"/>
    <w:pPr>
      <w:spacing w:before="240" w:after="240"/>
      <w:jc w:val="center"/>
    </w:pPr>
    <w:rPr>
      <w:i/>
      <w:snapToGrid/>
      <w:lang w:eastAsia="en-GB"/>
    </w:rPr>
  </w:style>
  <w:style w:type="paragraph" w:customStyle="1" w:styleId="AmJustText">
    <w:name w:val="AmJustText"/>
    <w:basedOn w:val="Normal"/>
    <w:rsid w:val="00B47478"/>
    <w:pPr>
      <w:spacing w:after="240"/>
    </w:pPr>
    <w:rPr>
      <w:i/>
      <w:snapToGrid/>
      <w:lang w:eastAsia="en-GB"/>
    </w:rPr>
  </w:style>
  <w:style w:type="paragraph" w:customStyle="1" w:styleId="AmJustTitle">
    <w:name w:val="AmJustTitle"/>
    <w:basedOn w:val="Normal"/>
    <w:next w:val="AmJustText"/>
    <w:rsid w:val="00B47478"/>
    <w:pPr>
      <w:keepNext/>
      <w:spacing w:before="240" w:after="240"/>
      <w:jc w:val="center"/>
    </w:pPr>
    <w:rPr>
      <w:i/>
      <w:snapToGrid/>
      <w:lang w:eastAsia="en-GB"/>
    </w:rPr>
  </w:style>
  <w:style w:type="paragraph" w:customStyle="1" w:styleId="AmNumberTabs">
    <w:name w:val="AmNumberTabs"/>
    <w:basedOn w:val="Normal"/>
    <w:rsid w:val="00B47478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napToGrid/>
      <w:lang w:eastAsia="en-GB"/>
    </w:rPr>
  </w:style>
  <w:style w:type="paragraph" w:customStyle="1" w:styleId="AmOrLang">
    <w:name w:val="AmOrLang"/>
    <w:basedOn w:val="Normal"/>
    <w:rsid w:val="00B47478"/>
    <w:pPr>
      <w:spacing w:before="240" w:after="240"/>
      <w:jc w:val="right"/>
    </w:pPr>
    <w:rPr>
      <w:snapToGrid/>
      <w:lang w:eastAsia="en-GB"/>
    </w:rPr>
  </w:style>
  <w:style w:type="paragraph" w:customStyle="1" w:styleId="AnnexWPDate">
    <w:name w:val="AnnexWPDate"/>
    <w:basedOn w:val="Normal"/>
    <w:rsid w:val="00B47478"/>
    <w:pPr>
      <w:spacing w:before="240" w:after="480"/>
      <w:jc w:val="right"/>
    </w:pPr>
    <w:rPr>
      <w:snapToGrid/>
      <w:lang w:eastAsia="en-GB"/>
    </w:rPr>
  </w:style>
  <w:style w:type="paragraph" w:customStyle="1" w:styleId="AnnexWPDocType">
    <w:name w:val="AnnexWPDocType"/>
    <w:basedOn w:val="Normal"/>
    <w:rsid w:val="00B47478"/>
    <w:pPr>
      <w:spacing w:after="240"/>
      <w:jc w:val="center"/>
    </w:pPr>
    <w:rPr>
      <w:b/>
      <w:snapToGrid/>
      <w:lang w:eastAsia="en-GB"/>
    </w:rPr>
  </w:style>
  <w:style w:type="paragraph" w:customStyle="1" w:styleId="AnnexWPLogo">
    <w:name w:val="AnnexWPLogo"/>
    <w:basedOn w:val="Normal"/>
    <w:rsid w:val="00B47478"/>
    <w:pPr>
      <w:spacing w:before="120" w:after="120"/>
    </w:pPr>
    <w:rPr>
      <w:snapToGrid/>
      <w:lang w:eastAsia="en-GB"/>
    </w:rPr>
  </w:style>
  <w:style w:type="paragraph" w:customStyle="1" w:styleId="AnnexWPSmall">
    <w:name w:val="AnnexWPSmall"/>
    <w:basedOn w:val="Normal"/>
    <w:rsid w:val="00B47478"/>
    <w:rPr>
      <w:smallCaps/>
      <w:snapToGrid/>
      <w:sz w:val="20"/>
      <w:lang w:eastAsia="en-GB"/>
    </w:rPr>
  </w:style>
  <w:style w:type="paragraph" w:customStyle="1" w:styleId="AnnexWPTabs">
    <w:name w:val="AnnexWPTabs"/>
    <w:basedOn w:val="Normal"/>
    <w:rsid w:val="00B47478"/>
    <w:pPr>
      <w:tabs>
        <w:tab w:val="right" w:pos="3686"/>
        <w:tab w:val="left" w:pos="3827"/>
      </w:tabs>
    </w:pPr>
    <w:rPr>
      <w:b/>
      <w:snapToGrid/>
      <w:lang w:eastAsia="en-GB"/>
    </w:rPr>
  </w:style>
  <w:style w:type="paragraph" w:customStyle="1" w:styleId="AnnexWPTitle">
    <w:name w:val="AnnexWPTitle"/>
    <w:basedOn w:val="Normal"/>
    <w:rsid w:val="00B47478"/>
    <w:pPr>
      <w:spacing w:before="480"/>
    </w:pPr>
    <w:rPr>
      <w:b/>
      <w:snapToGrid/>
      <w:lang w:eastAsia="en-GB"/>
    </w:rPr>
  </w:style>
  <w:style w:type="paragraph" w:customStyle="1" w:styleId="AmHeadingConsam">
    <w:name w:val="AmHeadingConsam"/>
    <w:basedOn w:val="Normal"/>
    <w:next w:val="Normal"/>
    <w:rsid w:val="00B47478"/>
    <w:pPr>
      <w:spacing w:before="720" w:after="240"/>
      <w:jc w:val="center"/>
    </w:pPr>
    <w:rPr>
      <w:snapToGrid/>
      <w:lang w:eastAsia="en-GB"/>
    </w:rPr>
  </w:style>
  <w:style w:type="paragraph" w:customStyle="1" w:styleId="CoverNormal12a">
    <w:name w:val="CoverNormal12a"/>
    <w:basedOn w:val="Normal"/>
    <w:rsid w:val="00B47478"/>
    <w:pPr>
      <w:spacing w:after="240"/>
      <w:ind w:left="1418"/>
    </w:pPr>
    <w:rPr>
      <w:snapToGrid/>
      <w:lang w:eastAsia="en-GB"/>
    </w:rPr>
  </w:style>
  <w:style w:type="paragraph" w:customStyle="1" w:styleId="Confidential">
    <w:name w:val="Confidential"/>
    <w:basedOn w:val="Normal"/>
    <w:rsid w:val="00B47478"/>
    <w:pPr>
      <w:spacing w:before="120" w:after="120"/>
      <w:jc w:val="center"/>
    </w:pPr>
    <w:rPr>
      <w:rFonts w:ascii="Arial" w:hAnsi="Arial"/>
      <w:caps/>
      <w:snapToGrid/>
      <w:lang w:eastAsia="en-GB"/>
    </w:rPr>
  </w:style>
  <w:style w:type="paragraph" w:customStyle="1" w:styleId="CoverReferenceIMM">
    <w:name w:val="CoverReferenceIMM"/>
    <w:basedOn w:val="Normal"/>
    <w:rsid w:val="00B47478"/>
    <w:pPr>
      <w:spacing w:before="360"/>
      <w:jc w:val="right"/>
    </w:pPr>
    <w:rPr>
      <w:rFonts w:ascii="Arial" w:hAnsi="Arial"/>
      <w:b/>
      <w:snapToGrid/>
      <w:lang w:eastAsia="en-GB"/>
    </w:rPr>
  </w:style>
  <w:style w:type="paragraph" w:customStyle="1" w:styleId="CoverDate">
    <w:name w:val="CoverDate"/>
    <w:basedOn w:val="Normal"/>
    <w:rsid w:val="00B47478"/>
    <w:pPr>
      <w:spacing w:before="240" w:after="1200"/>
    </w:pPr>
    <w:rPr>
      <w:snapToGrid/>
      <w:lang w:eastAsia="en-GB"/>
    </w:rPr>
  </w:style>
  <w:style w:type="paragraph" w:customStyle="1" w:styleId="CoverDocType">
    <w:name w:val="CoverDocType"/>
    <w:basedOn w:val="Normal"/>
    <w:rsid w:val="00B47478"/>
    <w:pPr>
      <w:ind w:left="1418"/>
    </w:pPr>
    <w:rPr>
      <w:rFonts w:ascii="Arial" w:hAnsi="Arial"/>
      <w:b/>
      <w:snapToGrid/>
      <w:sz w:val="48"/>
      <w:lang w:eastAsia="en-GB"/>
    </w:rPr>
  </w:style>
  <w:style w:type="character" w:styleId="FootnoteReference">
    <w:name w:val="footnote reference"/>
    <w:rsid w:val="00B47478"/>
    <w:rPr>
      <w:vertAlign w:val="superscript"/>
    </w:rPr>
  </w:style>
  <w:style w:type="paragraph" w:customStyle="1" w:styleId="NormalBold12a">
    <w:name w:val="NormalBold12a"/>
    <w:basedOn w:val="Normal"/>
    <w:rsid w:val="00B47478"/>
    <w:pPr>
      <w:spacing w:after="240"/>
    </w:pPr>
    <w:rPr>
      <w:b/>
      <w:snapToGrid/>
      <w:lang w:eastAsia="en-GB"/>
    </w:rPr>
  </w:style>
  <w:style w:type="paragraph" w:customStyle="1" w:styleId="NormalCenter12a">
    <w:name w:val="NormalCenter12a"/>
    <w:basedOn w:val="Normal"/>
    <w:rsid w:val="00B47478"/>
    <w:pPr>
      <w:spacing w:after="240"/>
      <w:jc w:val="center"/>
    </w:pPr>
    <w:rPr>
      <w:snapToGrid/>
      <w:lang w:eastAsia="en-GB"/>
    </w:rPr>
  </w:style>
  <w:style w:type="paragraph" w:customStyle="1" w:styleId="Normal6a">
    <w:name w:val="Normal6a"/>
    <w:basedOn w:val="Normal"/>
    <w:rsid w:val="00B47478"/>
    <w:pPr>
      <w:spacing w:after="120"/>
    </w:pPr>
    <w:rPr>
      <w:snapToGrid/>
      <w:lang w:eastAsia="en-GB"/>
    </w:rPr>
  </w:style>
  <w:style w:type="paragraph" w:customStyle="1" w:styleId="NormalBold12b">
    <w:name w:val="NormalBold12b"/>
    <w:basedOn w:val="Normal"/>
    <w:rsid w:val="00B47478"/>
    <w:pPr>
      <w:spacing w:before="240"/>
    </w:pPr>
    <w:rPr>
      <w:b/>
      <w:snapToGrid/>
      <w:lang w:eastAsia="en-GB"/>
    </w:rPr>
  </w:style>
  <w:style w:type="paragraph" w:customStyle="1" w:styleId="Arial14CentreBold">
    <w:name w:val="Arial14CentreBold"/>
    <w:basedOn w:val="Normal"/>
    <w:qFormat/>
    <w:rsid w:val="00A75A20"/>
    <w:pPr>
      <w:jc w:val="center"/>
    </w:pPr>
    <w:rPr>
      <w:rFonts w:ascii="Arial" w:hAnsi="Arial" w:cs="Arial"/>
      <w:b/>
      <w:snapToGrid/>
      <w:sz w:val="28"/>
      <w:szCs w:val="28"/>
      <w:lang w:eastAsia="en-GB"/>
    </w:rPr>
  </w:style>
  <w:style w:type="character" w:customStyle="1" w:styleId="Bold">
    <w:name w:val="Bold"/>
    <w:uiPriority w:val="1"/>
    <w:rsid w:val="0065571D"/>
    <w:rPr>
      <w:b/>
    </w:rPr>
  </w:style>
  <w:style w:type="character" w:customStyle="1" w:styleId="BoldItalic">
    <w:name w:val="BoldItalic"/>
    <w:uiPriority w:val="1"/>
    <w:rsid w:val="0065571D"/>
    <w:rPr>
      <w:b/>
      <w:i/>
      <w:u w:val="none"/>
    </w:rPr>
  </w:style>
  <w:style w:type="character" w:customStyle="1" w:styleId="BoldItalicUnderline">
    <w:name w:val="BoldItalicUnderline"/>
    <w:uiPriority w:val="1"/>
    <w:rsid w:val="0065571D"/>
    <w:rPr>
      <w:b/>
      <w:i/>
      <w:u w:val="single"/>
    </w:rPr>
  </w:style>
  <w:style w:type="character" w:customStyle="1" w:styleId="BoldUnderline">
    <w:name w:val="BoldUnderline"/>
    <w:uiPriority w:val="1"/>
    <w:rsid w:val="0065571D"/>
    <w:rPr>
      <w:b/>
      <w:u w:val="single"/>
    </w:rPr>
  </w:style>
  <w:style w:type="paragraph" w:customStyle="1" w:styleId="CoverNormalLeft">
    <w:name w:val="CoverNormalLeft"/>
    <w:basedOn w:val="CoverNormal"/>
    <w:qFormat/>
    <w:rsid w:val="00A75A20"/>
    <w:pPr>
      <w:ind w:left="0"/>
    </w:pPr>
    <w:rPr>
      <w:snapToGrid/>
      <w:lang w:eastAsia="en-GB"/>
    </w:rPr>
  </w:style>
  <w:style w:type="paragraph" w:customStyle="1" w:styleId="EPFooter2Landscape">
    <w:name w:val="EPFooter2Landscape"/>
    <w:qFormat/>
    <w:rsid w:val="00A75A20"/>
    <w:pPr>
      <w:tabs>
        <w:tab w:val="center" w:pos="4536"/>
        <w:tab w:val="center" w:pos="9923"/>
        <w:tab w:val="right" w:pos="15026"/>
      </w:tabs>
    </w:pPr>
    <w:rPr>
      <w:rFonts w:ascii="Arial" w:hAnsi="Arial" w:cs="Arial"/>
      <w:b/>
      <w:sz w:val="48"/>
      <w:szCs w:val="22"/>
    </w:rPr>
  </w:style>
  <w:style w:type="character" w:customStyle="1" w:styleId="EPFooter2Motto">
    <w:name w:val="EPFooter2Motto"/>
    <w:uiPriority w:val="1"/>
    <w:qFormat/>
    <w:rsid w:val="002707F5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qFormat/>
    <w:rsid w:val="00A75A20"/>
    <w:pPr>
      <w:tabs>
        <w:tab w:val="center" w:pos="6804"/>
        <w:tab w:val="right" w:pos="15026"/>
      </w:tabs>
    </w:pPr>
    <w:rPr>
      <w:sz w:val="22"/>
    </w:rPr>
  </w:style>
  <w:style w:type="character" w:customStyle="1" w:styleId="Italic">
    <w:name w:val="Italic"/>
    <w:uiPriority w:val="1"/>
    <w:rsid w:val="0065571D"/>
    <w:rPr>
      <w:i/>
    </w:rPr>
  </w:style>
  <w:style w:type="character" w:customStyle="1" w:styleId="ItalicUnderline">
    <w:name w:val="ItalicUnderline"/>
    <w:uiPriority w:val="1"/>
    <w:rsid w:val="0065571D"/>
    <w:rPr>
      <w:i/>
      <w:u w:val="single"/>
    </w:rPr>
  </w:style>
  <w:style w:type="paragraph" w:customStyle="1" w:styleId="LegendSign">
    <w:name w:val="LegendSign"/>
    <w:basedOn w:val="Normal"/>
    <w:qFormat/>
    <w:rsid w:val="00A75A20"/>
    <w:pPr>
      <w:tabs>
        <w:tab w:val="right" w:pos="454"/>
        <w:tab w:val="left" w:pos="737"/>
      </w:tabs>
      <w:ind w:left="737" w:hanging="737"/>
    </w:pPr>
    <w:rPr>
      <w:snapToGrid/>
      <w:sz w:val="18"/>
      <w:lang w:eastAsia="en-GB"/>
    </w:rPr>
  </w:style>
  <w:style w:type="paragraph" w:customStyle="1" w:styleId="LegendStandard">
    <w:name w:val="LegendStandard"/>
    <w:basedOn w:val="LegendSign"/>
    <w:qFormat/>
    <w:rsid w:val="00A75A20"/>
    <w:pPr>
      <w:ind w:left="0" w:firstLine="0"/>
    </w:pPr>
  </w:style>
  <w:style w:type="paragraph" w:customStyle="1" w:styleId="LegendTitle">
    <w:name w:val="LegendTitle"/>
    <w:basedOn w:val="Normal"/>
    <w:qFormat/>
    <w:rsid w:val="00A75A20"/>
    <w:pPr>
      <w:spacing w:before="240" w:after="240"/>
    </w:pPr>
    <w:rPr>
      <w:b/>
      <w:i/>
      <w:snapToGrid/>
      <w:lang w:eastAsia="en-GB"/>
    </w:rPr>
  </w:style>
  <w:style w:type="character" w:customStyle="1" w:styleId="HideTermComment">
    <w:name w:val="HideTermComment"/>
    <w:uiPriority w:val="1"/>
    <w:qFormat/>
    <w:rsid w:val="00A75A20"/>
    <w:rPr>
      <w:rFonts w:ascii="Arial" w:hAnsi="Arial"/>
      <w:vanish/>
      <w:color w:val="0066CC"/>
      <w:sz w:val="18"/>
    </w:rPr>
  </w:style>
  <w:style w:type="character" w:customStyle="1" w:styleId="HideTerminTermComment">
    <w:name w:val="HideTerminTermComment"/>
    <w:basedOn w:val="HideTermComment"/>
    <w:uiPriority w:val="1"/>
    <w:qFormat/>
    <w:rsid w:val="00A75A20"/>
    <w:rPr>
      <w:rFonts w:ascii="Arial" w:hAnsi="Arial"/>
      <w:vanish/>
      <w:color w:val="538135" w:themeColor="accent6" w:themeShade="BF"/>
      <w:sz w:val="18"/>
    </w:rPr>
  </w:style>
  <w:style w:type="paragraph" w:customStyle="1" w:styleId="Normal12a">
    <w:name w:val="Normal12a"/>
    <w:basedOn w:val="Normal"/>
    <w:rsid w:val="00031EA2"/>
    <w:pPr>
      <w:spacing w:after="240"/>
    </w:pPr>
    <w:rPr>
      <w:snapToGrid/>
      <w:lang w:eastAsia="en-GB"/>
    </w:rPr>
  </w:style>
  <w:style w:type="paragraph" w:customStyle="1" w:styleId="Normal12b">
    <w:name w:val="Normal12b"/>
    <w:basedOn w:val="Normal"/>
    <w:qFormat/>
    <w:rsid w:val="00A75A20"/>
    <w:pPr>
      <w:spacing w:before="240"/>
    </w:pPr>
    <w:rPr>
      <w:snapToGrid/>
      <w:lang w:eastAsia="en-GB"/>
    </w:rPr>
  </w:style>
  <w:style w:type="paragraph" w:customStyle="1" w:styleId="NormalBoldUnderline24b">
    <w:name w:val="NormalBoldUnderline24b"/>
    <w:basedOn w:val="Normal"/>
    <w:qFormat/>
    <w:rsid w:val="001038F2"/>
    <w:pPr>
      <w:spacing w:before="480"/>
    </w:pPr>
    <w:rPr>
      <w:b/>
      <w:snapToGrid/>
      <w:u w:val="single"/>
      <w:lang w:eastAsia="en-GB"/>
    </w:rPr>
  </w:style>
  <w:style w:type="paragraph" w:customStyle="1" w:styleId="NormalBoldUnderline24b12a">
    <w:name w:val="NormalBoldUnderline24b12a"/>
    <w:basedOn w:val="NormalBoldUnderline24b"/>
    <w:qFormat/>
    <w:rsid w:val="00A75A20"/>
    <w:pPr>
      <w:spacing w:after="240"/>
    </w:pPr>
  </w:style>
  <w:style w:type="paragraph" w:customStyle="1" w:styleId="Normal12aBullet1">
    <w:name w:val="Normal12aBullet1"/>
    <w:basedOn w:val="Normal"/>
    <w:qFormat/>
    <w:rsid w:val="00A75A20"/>
    <w:pPr>
      <w:widowControl/>
      <w:numPr>
        <w:numId w:val="1"/>
      </w:numPr>
    </w:pPr>
    <w:rPr>
      <w:snapToGrid/>
      <w:lang w:eastAsia="en-GB"/>
    </w:rPr>
  </w:style>
  <w:style w:type="paragraph" w:customStyle="1" w:styleId="Normal12aBullet2">
    <w:name w:val="Normal12aBullet2"/>
    <w:basedOn w:val="Normal"/>
    <w:qFormat/>
    <w:rsid w:val="00A75A20"/>
    <w:pPr>
      <w:numPr>
        <w:numId w:val="2"/>
      </w:numPr>
    </w:pPr>
    <w:rPr>
      <w:snapToGrid/>
      <w:lang w:eastAsia="en-GB"/>
    </w:rPr>
  </w:style>
  <w:style w:type="paragraph" w:customStyle="1" w:styleId="NormalHanging12a1">
    <w:name w:val="NormalHanging12a1"/>
    <w:basedOn w:val="Normal"/>
    <w:qFormat/>
    <w:rsid w:val="00C668A5"/>
    <w:pPr>
      <w:spacing w:after="240"/>
      <w:ind w:left="992" w:hanging="425"/>
    </w:pPr>
    <w:rPr>
      <w:snapToGrid/>
      <w:lang w:eastAsia="en-GB"/>
    </w:rPr>
  </w:style>
  <w:style w:type="paragraph" w:customStyle="1" w:styleId="NormalHanging12a2">
    <w:name w:val="NormalHanging12a2"/>
    <w:basedOn w:val="NormalHanging12a1"/>
    <w:qFormat/>
    <w:rsid w:val="00A75A20"/>
    <w:pPr>
      <w:ind w:left="1417"/>
    </w:pPr>
  </w:style>
  <w:style w:type="paragraph" w:customStyle="1" w:styleId="NormalHanging12a3">
    <w:name w:val="NormalHanging12a3"/>
    <w:basedOn w:val="NormalHanging12a2"/>
    <w:qFormat/>
    <w:rsid w:val="00A75A20"/>
    <w:pPr>
      <w:ind w:left="1843"/>
    </w:pPr>
  </w:style>
  <w:style w:type="paragraph" w:customStyle="1" w:styleId="NormalHanging12a4">
    <w:name w:val="NormalHanging12a4"/>
    <w:basedOn w:val="NormalHanging12a3"/>
    <w:qFormat/>
    <w:rsid w:val="00A75A20"/>
    <w:pPr>
      <w:ind w:left="2268"/>
    </w:pPr>
  </w:style>
  <w:style w:type="paragraph" w:customStyle="1" w:styleId="NormalHanging12a5">
    <w:name w:val="NormalHanging12a5"/>
    <w:basedOn w:val="NormalHanging12a4"/>
    <w:qFormat/>
    <w:rsid w:val="00A75A20"/>
    <w:pPr>
      <w:ind w:left="2693"/>
    </w:pPr>
  </w:style>
  <w:style w:type="paragraph" w:customStyle="1" w:styleId="NormalHanging12a6">
    <w:name w:val="NormalHanging12a6"/>
    <w:basedOn w:val="NormalHanging12a5"/>
    <w:qFormat/>
    <w:rsid w:val="00A75A20"/>
    <w:pPr>
      <w:ind w:left="3118"/>
    </w:pPr>
  </w:style>
  <w:style w:type="paragraph" w:customStyle="1" w:styleId="NormalHanging12a7">
    <w:name w:val="NormalHanging12a7"/>
    <w:basedOn w:val="NormalHanging12a6"/>
    <w:qFormat/>
    <w:rsid w:val="00A75A20"/>
    <w:pPr>
      <w:ind w:left="3544"/>
    </w:pPr>
  </w:style>
  <w:style w:type="paragraph" w:customStyle="1" w:styleId="NormalHangingCenter">
    <w:name w:val="NormalHangingCenter"/>
    <w:basedOn w:val="Normal"/>
    <w:qFormat/>
    <w:rsid w:val="00BC0B6B"/>
    <w:pPr>
      <w:spacing w:after="240"/>
      <w:ind w:left="567" w:hanging="567"/>
      <w:jc w:val="center"/>
    </w:pPr>
    <w:rPr>
      <w:snapToGrid/>
      <w:lang w:eastAsia="en-GB"/>
    </w:rPr>
  </w:style>
  <w:style w:type="paragraph" w:customStyle="1" w:styleId="NormalHangingJustified">
    <w:name w:val="NormalHangingJustified"/>
    <w:basedOn w:val="Normal"/>
    <w:qFormat/>
    <w:rsid w:val="00BC0B6B"/>
    <w:pPr>
      <w:spacing w:after="240"/>
      <w:ind w:left="714" w:hanging="357"/>
      <w:jc w:val="both"/>
    </w:pPr>
    <w:rPr>
      <w:snapToGrid/>
      <w:lang w:eastAsia="en-GB"/>
    </w:rPr>
  </w:style>
  <w:style w:type="paragraph" w:customStyle="1" w:styleId="NormalUnderline24b12a">
    <w:name w:val="NormalUnderline24b12a"/>
    <w:basedOn w:val="EPComma"/>
    <w:qFormat/>
    <w:rsid w:val="00A75A20"/>
    <w:rPr>
      <w:snapToGrid/>
      <w:u w:val="single"/>
      <w:lang w:eastAsia="en-GB"/>
    </w:rPr>
  </w:style>
  <w:style w:type="paragraph" w:customStyle="1" w:styleId="Normal2">
    <w:name w:val="Normal2"/>
    <w:next w:val="Normal"/>
    <w:qFormat/>
    <w:rsid w:val="00A75A20"/>
    <w:pPr>
      <w:spacing w:line="120" w:lineRule="auto"/>
    </w:pPr>
    <w:rPr>
      <w:color w:val="000000"/>
      <w:sz w:val="4"/>
      <w:szCs w:val="24"/>
    </w:rPr>
  </w:style>
  <w:style w:type="character" w:customStyle="1" w:styleId="NormalBI">
    <w:name w:val="NormalBI"/>
    <w:basedOn w:val="DefaultParagraphFont"/>
    <w:uiPriority w:val="1"/>
    <w:qFormat/>
    <w:rsid w:val="00A75A20"/>
    <w:rPr>
      <w:rFonts w:ascii="Times New Roman" w:hAnsi="Times New Roman"/>
      <w:b/>
      <w:i/>
      <w:sz w:val="24"/>
    </w:rPr>
  </w:style>
  <w:style w:type="paragraph" w:customStyle="1" w:styleId="NormalBoldItalic6a">
    <w:name w:val="NormalBoldItalic6a"/>
    <w:basedOn w:val="Normal6a"/>
    <w:qFormat/>
    <w:rsid w:val="00A75A20"/>
    <w:rPr>
      <w:b/>
      <w:i/>
    </w:rPr>
  </w:style>
  <w:style w:type="paragraph" w:customStyle="1" w:styleId="NormalBoldItalicCenter6a">
    <w:name w:val="NormalBoldItalicCenter6a"/>
    <w:basedOn w:val="Normal6a"/>
    <w:qFormat/>
    <w:rsid w:val="00A75A20"/>
    <w:pPr>
      <w:jc w:val="center"/>
    </w:pPr>
    <w:rPr>
      <w:b/>
      <w:i/>
    </w:rPr>
  </w:style>
  <w:style w:type="paragraph" w:customStyle="1" w:styleId="NormalItalic6a">
    <w:name w:val="NormalItalic6a"/>
    <w:basedOn w:val="Normal6a"/>
    <w:qFormat/>
    <w:rsid w:val="00A75A20"/>
    <w:rPr>
      <w:i/>
    </w:rPr>
  </w:style>
  <w:style w:type="paragraph" w:customStyle="1" w:styleId="PageHeadingNotTOC">
    <w:name w:val="PageHeadingNotTOC"/>
    <w:basedOn w:val="PageHeading"/>
    <w:rsid w:val="00A75A20"/>
    <w:rPr>
      <w:rFonts w:cs="Times New Roman"/>
      <w:snapToGrid/>
      <w:lang w:eastAsia="en-GB"/>
    </w:rPr>
  </w:style>
  <w:style w:type="character" w:customStyle="1" w:styleId="Sub">
    <w:name w:val="Sub"/>
    <w:uiPriority w:val="1"/>
    <w:qFormat/>
    <w:rsid w:val="0065571D"/>
    <w:rPr>
      <w:vertAlign w:val="subscript"/>
    </w:rPr>
  </w:style>
  <w:style w:type="character" w:customStyle="1" w:styleId="SubBold">
    <w:name w:val="SubBold"/>
    <w:uiPriority w:val="1"/>
    <w:qFormat/>
    <w:rsid w:val="0065571D"/>
    <w:rPr>
      <w:b/>
      <w:vertAlign w:val="subscript"/>
    </w:rPr>
  </w:style>
  <w:style w:type="character" w:customStyle="1" w:styleId="SubBoldItalic">
    <w:name w:val="SubBoldItalic"/>
    <w:uiPriority w:val="1"/>
    <w:rsid w:val="0065571D"/>
    <w:rPr>
      <w:b/>
      <w:i/>
      <w:vertAlign w:val="subscript"/>
    </w:rPr>
  </w:style>
  <w:style w:type="character" w:customStyle="1" w:styleId="SubItalic">
    <w:name w:val="SubItalic"/>
    <w:uiPriority w:val="1"/>
    <w:qFormat/>
    <w:rsid w:val="0065571D"/>
    <w:rPr>
      <w:b/>
      <w:i/>
      <w:vertAlign w:val="subscript"/>
    </w:rPr>
  </w:style>
  <w:style w:type="character" w:customStyle="1" w:styleId="Sup">
    <w:name w:val="Sup"/>
    <w:uiPriority w:val="1"/>
    <w:rsid w:val="0065571D"/>
    <w:rPr>
      <w:vertAlign w:val="superscript"/>
    </w:rPr>
  </w:style>
  <w:style w:type="character" w:customStyle="1" w:styleId="SupBoldItalic">
    <w:name w:val="SupBoldItalic"/>
    <w:uiPriority w:val="1"/>
    <w:qFormat/>
    <w:rsid w:val="0065571D"/>
    <w:rPr>
      <w:b/>
      <w:i/>
      <w:vertAlign w:val="superscript"/>
    </w:rPr>
  </w:style>
  <w:style w:type="character" w:customStyle="1" w:styleId="Underline">
    <w:name w:val="Underline"/>
    <w:uiPriority w:val="1"/>
    <w:rsid w:val="0065571D"/>
    <w:rPr>
      <w:u w:val="single"/>
    </w:rPr>
  </w:style>
  <w:style w:type="paragraph" w:customStyle="1" w:styleId="NormalBoldCenter">
    <w:name w:val="NormalBoldCenter"/>
    <w:basedOn w:val="Normal"/>
    <w:rsid w:val="00880359"/>
    <w:pPr>
      <w:jc w:val="center"/>
    </w:pPr>
    <w:rPr>
      <w:b/>
      <w:snapToGrid/>
      <w:lang w:eastAsia="en-GB"/>
    </w:rPr>
  </w:style>
  <w:style w:type="paragraph" w:customStyle="1" w:styleId="ProcedureTable">
    <w:name w:val="ProcedureTable"/>
    <w:basedOn w:val="Normal"/>
    <w:rsid w:val="008572D4"/>
    <w:rPr>
      <w:snapToGrid/>
      <w:sz w:val="20"/>
      <w:lang w:eastAsia="en-GB"/>
    </w:rPr>
  </w:style>
  <w:style w:type="paragraph" w:customStyle="1" w:styleId="ProcedureTableBold">
    <w:name w:val="ProcedureTableBold"/>
    <w:basedOn w:val="Normal"/>
    <w:rsid w:val="008572D4"/>
    <w:rPr>
      <w:b/>
      <w:snapToGrid/>
      <w:sz w:val="20"/>
      <w:lang w:eastAsia="en-GB"/>
    </w:rPr>
  </w:style>
  <w:style w:type="paragraph" w:customStyle="1" w:styleId="NormalCenter">
    <w:name w:val="NormalCenter"/>
    <w:basedOn w:val="Normal"/>
    <w:rsid w:val="00314D1A"/>
    <w:pPr>
      <w:jc w:val="center"/>
    </w:pPr>
    <w:rPr>
      <w:snapToGrid/>
      <w:lang w:eastAsia="en-GB"/>
    </w:rPr>
  </w:style>
  <w:style w:type="character" w:customStyle="1" w:styleId="SubBoldItalicUnderline">
    <w:name w:val="SubBoldItalicUnderline"/>
    <w:uiPriority w:val="1"/>
    <w:rsid w:val="0065571D"/>
    <w:rPr>
      <w:b/>
      <w:i/>
      <w:u w:val="single"/>
      <w:vertAlign w:val="subscript"/>
    </w:rPr>
  </w:style>
  <w:style w:type="character" w:customStyle="1" w:styleId="SubBoldUnderline">
    <w:name w:val="SubBoldUnderline"/>
    <w:uiPriority w:val="1"/>
    <w:rsid w:val="0065571D"/>
    <w:rPr>
      <w:b/>
      <w:u w:val="single"/>
      <w:vertAlign w:val="subscript"/>
    </w:rPr>
  </w:style>
  <w:style w:type="character" w:customStyle="1" w:styleId="SubItalicUnderline">
    <w:name w:val="SubItalicUnderline"/>
    <w:uiPriority w:val="1"/>
    <w:rsid w:val="0065571D"/>
    <w:rPr>
      <w:i/>
      <w:u w:val="single"/>
      <w:vertAlign w:val="subscript"/>
    </w:rPr>
  </w:style>
  <w:style w:type="character" w:customStyle="1" w:styleId="SubUnderline">
    <w:name w:val="SubUnderline"/>
    <w:uiPriority w:val="1"/>
    <w:rsid w:val="0065571D"/>
    <w:rPr>
      <w:u w:val="single"/>
      <w:vertAlign w:val="subscript"/>
    </w:rPr>
  </w:style>
  <w:style w:type="character" w:customStyle="1" w:styleId="SupBold">
    <w:name w:val="SupBold"/>
    <w:uiPriority w:val="1"/>
    <w:rsid w:val="0065571D"/>
    <w:rPr>
      <w:b/>
      <w:vertAlign w:val="superscript"/>
    </w:rPr>
  </w:style>
  <w:style w:type="character" w:customStyle="1" w:styleId="SupBoldItalicUnderline">
    <w:name w:val="SupBoldItalicUnderline"/>
    <w:uiPriority w:val="1"/>
    <w:rsid w:val="0065571D"/>
    <w:rPr>
      <w:b/>
      <w:i/>
      <w:u w:val="single"/>
      <w:vertAlign w:val="superscript"/>
    </w:rPr>
  </w:style>
  <w:style w:type="character" w:customStyle="1" w:styleId="SupBoldUnderline">
    <w:name w:val="SupBoldUnderline"/>
    <w:uiPriority w:val="1"/>
    <w:rsid w:val="0065571D"/>
    <w:rPr>
      <w:b/>
      <w:u w:val="single"/>
      <w:vertAlign w:val="superscript"/>
    </w:rPr>
  </w:style>
  <w:style w:type="character" w:customStyle="1" w:styleId="SupItalic">
    <w:name w:val="SupItalic"/>
    <w:uiPriority w:val="1"/>
    <w:rsid w:val="0065571D"/>
    <w:rPr>
      <w:i/>
      <w:vertAlign w:val="superscript"/>
    </w:rPr>
  </w:style>
  <w:style w:type="character" w:customStyle="1" w:styleId="SupItalicUnderline">
    <w:name w:val="SupItalicUnderline"/>
    <w:uiPriority w:val="1"/>
    <w:rsid w:val="0065571D"/>
    <w:rPr>
      <w:i/>
      <w:u w:val="single"/>
      <w:vertAlign w:val="superscript"/>
    </w:rPr>
  </w:style>
  <w:style w:type="character" w:customStyle="1" w:styleId="SupUnderline">
    <w:name w:val="SupUnderline"/>
    <w:uiPriority w:val="1"/>
    <w:rsid w:val="0065571D"/>
    <w:rPr>
      <w:u w:val="single"/>
      <w:vertAlign w:val="superscript"/>
    </w:rPr>
  </w:style>
  <w:style w:type="paragraph" w:customStyle="1" w:styleId="Normal24a">
    <w:name w:val="Normal24a"/>
    <w:basedOn w:val="Normal"/>
    <w:rsid w:val="00B140D0"/>
    <w:pPr>
      <w:spacing w:after="480"/>
    </w:pPr>
    <w:rPr>
      <w:snapToGrid/>
      <w:lang w:eastAsia="en-GB"/>
    </w:rPr>
  </w:style>
  <w:style w:type="paragraph" w:customStyle="1" w:styleId="Normal12a24b">
    <w:name w:val="Normal12a24b"/>
    <w:basedOn w:val="Normal"/>
    <w:rsid w:val="00D46F6C"/>
    <w:pPr>
      <w:spacing w:before="36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numbering" Target="numbering.xml" /></Relationships>
</file>

<file path=word/_rels/footnotes.xml.rels>&#65279;<?xml version="1.0" encoding="utf-8" standalone="yes"?><Relationships xmlns="http://schemas.openxmlformats.org/package/2006/relationships"><Relationship Id="rId1" Type="http://schemas.openxmlformats.org/officeDocument/2006/relationships/hyperlink" Target="https://eur-lex.europa.eu/legal-content/EN/TXT/?uri=uriserv:OJ.L_.2009.211.01.0094.01.ENG" TargetMode="External" /><Relationship Id="rId10" Type="http://schemas.openxmlformats.org/officeDocument/2006/relationships/hyperlink" Target="https://eur-lex.europa.eu/legal-content/EN/TXT/?uri=uriserv:OJ.C_.2021.465.01.0062.01.ENG" TargetMode="External" /><Relationship Id="rId2" Type="http://schemas.openxmlformats.org/officeDocument/2006/relationships/hyperlink" Target="https://eur-lex.europa.eu/legal-content/EN/TXT/?uri=uriserv:OJ.L_.2012.315.01.0001.01.ENG" TargetMode="External" /><Relationship Id="rId3" Type="http://schemas.openxmlformats.org/officeDocument/2006/relationships/hyperlink" Target="https://eur-lex.europa.eu/legal-content/EN/TXT/?uri=uriserv:OJ.L_.2018.328.01.0082.01.ENG" TargetMode="External" /><Relationship Id="rId4" Type="http://schemas.openxmlformats.org/officeDocument/2006/relationships/hyperlink" Target="https://eur-lex.europa.eu/legal-content/EN/TXT/?uri=uriserv:OJ.L_.2019.158.01.0125.01.ENG" TargetMode="External" /><Relationship Id="rId5" Type="http://schemas.openxmlformats.org/officeDocument/2006/relationships/hyperlink" Target="https://eur-lex.europa.eu/legal-content/EN/TXT/?uri=uriserv:OJ.L_.2021.057.01.0017.01.ENG" TargetMode="External" /><Relationship Id="rId6" Type="http://schemas.openxmlformats.org/officeDocument/2006/relationships/hyperlink" Target="https://eur-lex.europa.eu/legal-content/EN/TXT/?uri=uriserv:OJ.L_.2023.132.01.0021.01.ENG" TargetMode="External" /><Relationship Id="rId7" Type="http://schemas.openxmlformats.org/officeDocument/2006/relationships/hyperlink" Target="https://eur-lex.europa.eu/legal-content/EN/TXT/?uri=uriserv:OJ.C_.2022.479.01.0075.01.ENG" TargetMode="External" /><Relationship Id="rId8" Type="http://schemas.openxmlformats.org/officeDocument/2006/relationships/hyperlink" Target="https://eur-lex.europa.eu/legal-content/EN/TXT/?uri=uriserv:OJ.C_.2023.047.01.0002.01.ENG" TargetMode="External" /><Relationship Id="rId9" Type="http://schemas.openxmlformats.org/officeDocument/2006/relationships/hyperlink" Target="https://eur-lex.europa.eu/legal-content/EN/TXT/?uri=uriserv:OJ.L_.2020.357.01.0035.01.ENG" TargetMode="Externa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12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1285514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DMXMLUID">
    <vt:lpwstr>20230927-092704-000049-171496</vt:lpwstr>
  </property>
  <property fmtid="{D5CDD505-2E9C-101B-9397-08002B2CF9AE}" pid="7" name="FooterPath">
    <vt:lpwstr>PR\1285514PT.doc</vt:lpwstr>
  </property>
  <property fmtid="{D5CDD505-2E9C-101B-9397-08002B2CF9AE}" pid="8" name="PE Number">
    <vt:lpwstr>752.947</vt:lpwstr>
  </property>
  <property fmtid="{D5CDD505-2E9C-101B-9397-08002B2CF9AE}" pid="9" name="UID">
    <vt:lpwstr>eu.europa.europarl-DIN1-2023-0000117549_01.07-pt-02.00_text-xml</vt:lpwstr>
  </property>
</Properties>
</file>