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Parlamentul European</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67912"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Comisia pentru drepturile femeilor și egalitatea de gen</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PROIECT DE RAPORT</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referitor la aspecte de gen ale creșterii costului vieții și ale impactului crizei energetice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Comisia pentru drepturile femeilor și egalitatea de gen</w:t>
      </w:r>
      <w:r>
        <w:rPr>
          <w:rStyle w:val="HideTWBExt"/>
        </w:rPr>
        <w:t>&lt;/</w:t>
      </w:r>
      <w:r>
        <w:rPr>
          <w:rStyle w:val="HideTWBExt"/>
        </w:rPr>
        <w:t>Commission</w:t>
      </w:r>
      <w:r>
        <w:rPr>
          <w:rStyle w:val="HideTWBExt"/>
        </w:rPr>
        <w:t>&gt;</w:t>
      </w:r>
    </w:p>
    <w:p>
      <w:pPr>
        <w:pStyle w:val="CoverNormal24a"/>
      </w:pPr>
      <w:r>
        <w:t>Raportoare</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CUPRINS</w:t>
      </w:r>
    </w:p>
    <w:p>
      <w:pPr>
        <w:pStyle w:val="TOCPage"/>
      </w:pPr>
      <w:r>
        <w:t>Pagina</w:t>
      </w:r>
    </w:p>
    <w:p>
      <w:pPr>
        <w:pStyle w:val="TOC1"/>
        <w:tabs>
          <w:tab w:val="right" w:leader="dot" w:pos="9062"/>
        </w:tabs>
        <w:rPr>
          <w:rFonts w:ascii="Calibri" w:hAnsi="Calibri"/>
          <w:noProof/>
          <w:sz w:val="22"/>
        </w:rPr>
      </w:pPr>
      <w:r>
        <w:fldChar w:fldCharType="begin"/>
      </w:r>
      <w:r>
        <w:instrText>TOC \t "PageHeading"</w:instrText>
      </w:r>
      <w:r>
        <w:fldChar w:fldCharType="separate"/>
      </w:r>
      <w:r>
        <w:t>PROPUNERE DE REZOLUȚIE A PARLAMENTULUI EUROPEAN</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EXPUNERE DE MOTIVE</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PROPUNERE DE REZOLUȚIE A PARLAMENTULUI EUROPEAN</w:t>
      </w:r>
      <w:bookmarkEnd w:id="0"/>
    </w:p>
    <w:p>
      <w:pPr>
        <w:pStyle w:val="NormalBold"/>
      </w:pPr>
      <w:r>
        <w:t>referitoare la aspecte de gen ale creșterii costului vieții și ale impactului crizei energetice</w:t>
      </w:r>
    </w:p>
    <w:p>
      <w:pPr>
        <w:pStyle w:val="NormalBold"/>
      </w:pPr>
      <w:r>
        <w:t>(2023/2115(INI))</w:t>
      </w:r>
    </w:p>
    <w:p>
      <w:pPr>
        <w:pStyle w:val="EPComma"/>
      </w:pPr>
      <w:r>
        <w:rPr>
          <w:rStyle w:val="Italic"/>
        </w:rPr>
        <w:t>Parlamentul European</w:t>
      </w:r>
      <w:r>
        <w:t>,</w:t>
      </w:r>
    </w:p>
    <w:p>
      <w:pPr>
        <w:pStyle w:val="NormalHanging12a"/>
      </w:pPr>
      <w:r>
        <w:t>–</w:t>
      </w:r>
      <w:r>
        <w:tab/>
      </w:r>
      <w:r>
        <w:t>având în vedere articolul 2 și articolul 3 alineatele (1) și (3) din Tratatul privind Uniunea Europeană,</w:t>
      </w:r>
    </w:p>
    <w:p>
      <w:pPr>
        <w:pStyle w:val="NormalHanging12a"/>
      </w:pPr>
      <w:r>
        <w:t>–</w:t>
      </w:r>
      <w:r>
        <w:tab/>
      </w:r>
      <w:r>
        <w:t>având în vedere articolele 8, 9, 10, 119, 122, 127, 151, articolul 153 alineatul (2), articolele 156, 157, 191 și 194 din Tratatul privind funcționarea Uniunii Europene,</w:t>
      </w:r>
    </w:p>
    <w:p>
      <w:pPr>
        <w:pStyle w:val="NormalHanging12a"/>
      </w:pPr>
      <w:r>
        <w:t>–</w:t>
      </w:r>
      <w:r>
        <w:tab/>
      </w:r>
      <w:r>
        <w:t>având în vedere Carta drepturilor fundamentale a Uniunii Europene și, în special, prevederile acesteia privind drepturile sociale și egalitatea între femei și bărbați,</w:t>
      </w:r>
    </w:p>
    <w:p>
      <w:pPr>
        <w:pStyle w:val="NormalHanging12a"/>
      </w:pPr>
      <w:r>
        <w:t>–</w:t>
      </w:r>
      <w:r>
        <w:tab/>
      </w:r>
      <w:r>
        <w:t>având în vedere Agenda 2030 pentru dezvoltare durabilă a Organizației Națiunilor Unite (ONU), principiul „a nu lăsa pe nimeni în urmă” și, în special, obiectivul de dezvoltare durabilă nr. 1, care vizează eradicarea sărăciei, obiectivul nr. 5 care vizează realizarea egalității de gen și îmbunătățirea condițiilor de viață ale femeilor și obiectivul nr. 8 care vizează obținerea unei creșteri economice durabile,</w:t>
      </w:r>
    </w:p>
    <w:p>
      <w:pPr>
        <w:pStyle w:val="NormalHanging12a"/>
      </w:pPr>
      <w:r>
        <w:t>–</w:t>
      </w:r>
      <w:r>
        <w:tab/>
      </w:r>
      <w:r>
        <w:t>având în vedere comunicarea Comisiei din 5 martie 2020 intitulată „O Uniune a egalității: Strategia privind egalitatea de gen 2020-2025” (COM(2020)0152)</w:t>
      </w:r>
      <w:r>
        <w:rPr>
          <w:rStyle w:val="FootnoteReference"/>
        </w:rPr>
        <w:footnoteReference w:id="0"/>
      </w:r>
      <w:r>
        <w:t>,</w:t>
      </w:r>
    </w:p>
    <w:p>
      <w:pPr>
        <w:pStyle w:val="NormalHanging12a"/>
      </w:pPr>
      <w:r>
        <w:t>–</w:t>
      </w:r>
      <w:r>
        <w:tab/>
      </w:r>
      <w:r>
        <w:t>având în vedere Declarația de la Versailles a șefilor de stat și de guvern din 11 martie 2022 și, în special, angajamentul de „a ne îmbunătăți securitatea alimentară prin reducerea dependenței noastre de importurile de produse agricole esențiale și de factori de producție agricolă esențiali, în special prin creșterea producției UE de proteine pe bază de plante”,</w:t>
      </w:r>
    </w:p>
    <w:p>
      <w:pPr>
        <w:pStyle w:val="NormalHanging12a"/>
      </w:pPr>
      <w:r>
        <w:t>–</w:t>
      </w:r>
      <w:r>
        <w:tab/>
      </w:r>
      <w:r>
        <w:t>având în vedere Directiva 2009/73/CE a Parlamentului European și a Consiliului din 13 iulie 2009 privind norme comune pentru piața internă în sectorul gazelor naturale și de abrogare a Directivei 2003/55/CE</w:t>
      </w:r>
      <w:r>
        <w:rPr>
          <w:rStyle w:val="FootnoteReference"/>
        </w:rPr>
        <w:footnoteReference w:id="1"/>
      </w:r>
      <w:r>
        <w:t>,</w:t>
      </w:r>
    </w:p>
    <w:p>
      <w:pPr>
        <w:pStyle w:val="NormalHanging12a"/>
      </w:pPr>
      <w:r>
        <w:t>–</w:t>
      </w:r>
      <w:r>
        <w:tab/>
      </w:r>
      <w:r>
        <w:t>având în vedere Directiva 2012/27/UE a Parlamentului European și a Consiliului din 25 octombrie 2012 privind eficiența energetică, de modificare a Directivelor 2009/125/CE și 2010/30/UE și de abrogare a Directivelor 2004/8/CE și 2006/32/CE</w:t>
      </w:r>
      <w:r>
        <w:rPr>
          <w:rStyle w:val="FootnoteReference"/>
        </w:rPr>
        <w:footnoteReference w:id="2"/>
      </w:r>
      <w:r>
        <w:t>,</w:t>
      </w:r>
    </w:p>
    <w:p>
      <w:pPr>
        <w:pStyle w:val="NormalHanging12a"/>
      </w:pPr>
      <w:r>
        <w:t>–</w:t>
      </w:r>
      <w:r>
        <w:tab/>
      </w:r>
      <w:r>
        <w:t>având în vedere Directiva (UE) 2018/2001 a Parlamentului European și a Consiliului din 11 decembrie 2018 privind promovarea utilizării energiei din surse regenerabile</w:t>
      </w:r>
      <w:r>
        <w:rPr>
          <w:rStyle w:val="FootnoteReference"/>
        </w:rPr>
        <w:footnoteReference w:id="3"/>
      </w:r>
      <w:r>
        <w:t>,</w:t>
      </w:r>
    </w:p>
    <w:p>
      <w:pPr>
        <w:pStyle w:val="NormalHanging12a"/>
      </w:pPr>
      <w:r>
        <w:t>–</w:t>
      </w:r>
      <w:r>
        <w:tab/>
      </w:r>
      <w:r>
        <w:t>având în vedere Directiva (UE) 2019/944 a Parlamentului European și a Consiliului din 5 iunie 2019 privind normele comune pentru piața internă de energie electrică și de modificare a Directivei 2012/27/UE</w:t>
      </w:r>
      <w:r>
        <w:rPr>
          <w:rStyle w:val="FootnoteReference"/>
        </w:rPr>
        <w:footnoteReference w:id="4"/>
      </w:r>
      <w:r>
        <w:t>,</w:t>
      </w:r>
    </w:p>
    <w:p>
      <w:pPr>
        <w:pStyle w:val="NormalHanging12a"/>
      </w:pPr>
      <w:r>
        <w:t>–</w:t>
      </w:r>
      <w:r>
        <w:tab/>
      </w:r>
      <w:r>
        <w:t>având în vedere Regulamentul (UE) 2021/241 al Parlamentului European și al Consiliului din 12 februarie 2021 de instituire a Mecanismului de redresare și reziliență</w:t>
      </w:r>
      <w:r>
        <w:rPr>
          <w:rStyle w:val="FootnoteReference"/>
        </w:rPr>
        <w:footnoteReference w:id="5"/>
      </w:r>
      <w:r>
        <w:t>,</w:t>
      </w:r>
    </w:p>
    <w:p>
      <w:pPr>
        <w:pStyle w:val="NormalHanging12a"/>
      </w:pPr>
      <w:r>
        <w:t>–</w:t>
      </w:r>
      <w:r>
        <w:tab/>
      </w:r>
      <w:r>
        <w:t>având în vedere Directiva (UE) 2023/970 a Parlamentului European și a Consiliului din 10 mai 2023 de consolidare a aplicării principiului egalității de remunerare pentru aceeași muncă sau pentru o muncă de aceeași valoare între bărbați și femei prin transparență salarială și mecanisme de asigurare a respectării legii</w:t>
      </w:r>
      <w:r>
        <w:rPr>
          <w:rStyle w:val="FootnoteReference"/>
        </w:rPr>
        <w:footnoteReference w:id="6"/>
      </w:r>
      <w:r>
        <w:t>,</w:t>
      </w:r>
    </w:p>
    <w:p>
      <w:pPr>
        <w:pStyle w:val="NormalHanging12a"/>
      </w:pPr>
      <w:r>
        <w:t>–</w:t>
      </w:r>
      <w:r>
        <w:tab/>
      </w:r>
      <w:r>
        <w:t>având în vedere rezoluția sa din 19 mai 2022 referitoare la consecințele sociale și economice ale războiului rus din Ucraina pentru UE – consolidarea capacității de acțiune a UE</w:t>
      </w:r>
      <w:r>
        <w:rPr>
          <w:rStyle w:val="FootnoteReference"/>
        </w:rPr>
        <w:footnoteReference w:id="7"/>
      </w:r>
      <w:r>
        <w:t>,</w:t>
      </w:r>
    </w:p>
    <w:p>
      <w:pPr>
        <w:pStyle w:val="NormalHanging12a"/>
      </w:pPr>
      <w:r>
        <w:t>–</w:t>
      </w:r>
      <w:r>
        <w:tab/>
      </w:r>
      <w:r>
        <w:t>având în vedere rezoluția sa din 5 iulie 2022 referitoare la sărăcia femeilor în Europa</w:t>
      </w:r>
      <w:r>
        <w:rPr>
          <w:rStyle w:val="FootnoteReference"/>
        </w:rPr>
        <w:footnoteReference w:id="8"/>
      </w:r>
      <w:r>
        <w:t>,</w:t>
      </w:r>
    </w:p>
    <w:p>
      <w:pPr>
        <w:pStyle w:val="NormalHanging12a"/>
      </w:pPr>
      <w:r>
        <w:t>–</w:t>
      </w:r>
      <w:r>
        <w:tab/>
      </w:r>
      <w:r>
        <w:t>având în vedere raportul special din 26 mai 2021 al Curții de Conturi Europene intitulat „Integrarea perspectivei de gen în bugetul UE: este timpul ca vorbele să se transforme în fapte”</w:t>
      </w:r>
      <w:r>
        <w:rPr>
          <w:rStyle w:val="FootnoteReference"/>
        </w:rPr>
        <w:footnoteReference w:id="9"/>
      </w:r>
      <w:r>
        <w:t>,</w:t>
      </w:r>
    </w:p>
    <w:p>
      <w:pPr>
        <w:pStyle w:val="NormalHanging12a"/>
      </w:pPr>
      <w:r>
        <w:t>–</w:t>
      </w:r>
      <w:r>
        <w:tab/>
      </w:r>
      <w:r>
        <w:t>având în vedere Recomandarea (UE) 2020/1563 a Comisiei din 14 octombrie 2020 privind sărăcia energetică</w:t>
      </w:r>
      <w:r>
        <w:rPr>
          <w:rStyle w:val="FootnoteReference"/>
        </w:rPr>
        <w:footnoteReference w:id="10"/>
      </w:r>
      <w:r>
        <w:t>,</w:t>
      </w:r>
    </w:p>
    <w:p>
      <w:pPr>
        <w:pStyle w:val="NormalHanging12a"/>
      </w:pPr>
      <w:r>
        <w:t>–</w:t>
      </w:r>
      <w:r>
        <w:tab/>
      </w:r>
      <w:r>
        <w:t>având în vedere datele Agenției Internaționale a Energiei privind prețurile la energie și impozitele aplicabile utilizatorilor finali</w:t>
      </w:r>
      <w:r>
        <w:rPr>
          <w:rStyle w:val="FootnoteReference"/>
        </w:rPr>
        <w:footnoteReference w:id="11"/>
      </w:r>
      <w:r>
        <w:t>,</w:t>
      </w:r>
    </w:p>
    <w:p>
      <w:pPr>
        <w:pStyle w:val="NormalHanging12a"/>
      </w:pPr>
      <w:r>
        <w:t>–</w:t>
      </w:r>
      <w:r>
        <w:tab/>
      </w:r>
      <w:r>
        <w:t>având în vedere raportul Fondului Monetar Internațional din octombrie 2022 intitulat „The Fog of War Clouds the European Outlook” (Norii războiului plutesc deasupra perspectivei europene)</w:t>
      </w:r>
      <w:r>
        <w:rPr>
          <w:rStyle w:val="FootnoteReference"/>
        </w:rPr>
        <w:footnoteReference w:id="12"/>
      </w:r>
      <w:r>
        <w:t>,</w:t>
      </w:r>
    </w:p>
    <w:p>
      <w:pPr>
        <w:pStyle w:val="NormalHanging12a"/>
      </w:pPr>
      <w:r>
        <w:t>–</w:t>
      </w:r>
      <w:r>
        <w:tab/>
      </w:r>
      <w:r>
        <w:t>având în vedere studiul Eurostat din 2022 intitulat „Living conditions in Europe” (Condițiile de viață în Europa)</w:t>
      </w:r>
      <w:r>
        <w:rPr>
          <w:rStyle w:val="FootnoteReference"/>
        </w:rPr>
        <w:footnoteReference w:id="13"/>
      </w:r>
      <w:r>
        <w:t>,</w:t>
      </w:r>
    </w:p>
    <w:p>
      <w:pPr>
        <w:pStyle w:val="NormalHanging12a"/>
      </w:pPr>
      <w:r>
        <w:t>–</w:t>
      </w:r>
      <w:r>
        <w:tab/>
      </w:r>
      <w:r>
        <w:t>având în vedere documentul de informare al Eurostat din 10 februarie 2022 intitulat „Energy prices on the rise in the euro area in 2021” (Prețurile la energie în creștere în zona euro în 2021)</w:t>
      </w:r>
      <w:r>
        <w:rPr>
          <w:rStyle w:val="FootnoteReference"/>
        </w:rPr>
        <w:footnoteReference w:id="14"/>
      </w:r>
      <w:r>
        <w:t>,</w:t>
      </w:r>
    </w:p>
    <w:p>
      <w:pPr>
        <w:pStyle w:val="NormalHanging12a"/>
      </w:pPr>
      <w:r>
        <w:t>–</w:t>
      </w:r>
      <w:r>
        <w:tab/>
      </w:r>
      <w:r>
        <w:t>având în vedere raportul Eurofound din 28 octombrie 2022 intitulat „The cost-of-living crisis and energy poverty in the EU: Social impact and policy responses – Background paper” (Criza costului vieții și sărăcia energetică în UE: Impactul social și răspunsurile politice – document de informare)</w:t>
      </w:r>
      <w:r>
        <w:rPr>
          <w:rStyle w:val="FootnoteReference"/>
        </w:rPr>
        <w:footnoteReference w:id="15"/>
      </w:r>
      <w:r>
        <w:t>,</w:t>
      </w:r>
    </w:p>
    <w:p>
      <w:pPr>
        <w:pStyle w:val="NormalHanging12a"/>
      </w:pPr>
      <w:r>
        <w:t>–</w:t>
      </w:r>
      <w:r>
        <w:tab/>
      </w:r>
      <w:r>
        <w:t>având în vedere indicele egalității de gen pe 2021 și 2022 al Institutului European pentru Egalitatea de Șanse între Femei și Bărbați</w:t>
      </w:r>
      <w:r>
        <w:rPr>
          <w:rStyle w:val="FootnoteReference"/>
        </w:rPr>
        <w:footnoteReference w:id="16"/>
      </w:r>
      <w:r>
        <w:t>,</w:t>
      </w:r>
    </w:p>
    <w:p>
      <w:pPr>
        <w:pStyle w:val="NormalHanging12a"/>
      </w:pPr>
      <w:r>
        <w:t>–</w:t>
      </w:r>
      <w:r>
        <w:tab/>
      </w:r>
      <w:r>
        <w:t>având în vedere sondajul său Eurobarometru din toamna anului 2022</w:t>
      </w:r>
      <w:r>
        <w:rPr>
          <w:rStyle w:val="FootnoteReference"/>
        </w:rPr>
        <w:footnoteReference w:id="17"/>
      </w:r>
      <w:r>
        <w:t>,</w:t>
      </w:r>
    </w:p>
    <w:p>
      <w:pPr>
        <w:pStyle w:val="NormalHanging12a"/>
      </w:pPr>
      <w:r>
        <w:t>–</w:t>
      </w:r>
      <w:r>
        <w:tab/>
      </w:r>
      <w:r>
        <w:t>având în vedere studiul intitulat „Gender perspective on access to energy in the EU” (Perspectivă de gen asupra accesului la energie în UE), publicat de Direcția sa Generală Politici Interne ale Uniunii la 18 decembrie 2017</w:t>
      </w:r>
      <w:r>
        <w:rPr>
          <w:rStyle w:val="FootnoteReference"/>
        </w:rPr>
        <w:footnoteReference w:id="18"/>
      </w:r>
      <w:r>
        <w:t>,</w:t>
      </w:r>
    </w:p>
    <w:p>
      <w:pPr>
        <w:pStyle w:val="NormalHanging12a"/>
      </w:pPr>
      <w:r>
        <w:t>–</w:t>
      </w:r>
      <w:r>
        <w:tab/>
      </w:r>
      <w:r>
        <w:t>având în vedere nota de informare intitulată „Gender Aspects of Energy Poverty” (Aspecte de gen ale sărăciei energetice), publicată de Direcția Generală Politici Interne ale Uniunii la 1 martie 2023</w:t>
      </w:r>
      <w:r>
        <w:rPr>
          <w:rStyle w:val="FootnoteReference"/>
        </w:rPr>
        <w:footnoteReference w:id="19"/>
      </w:r>
      <w:r>
        <w:t>,</w:t>
      </w:r>
    </w:p>
    <w:p>
      <w:pPr>
        <w:pStyle w:val="NormalHanging12a"/>
      </w:pPr>
      <w:r>
        <w:t>–</w:t>
      </w:r>
      <w:r>
        <w:tab/>
      </w:r>
      <w:r>
        <w:t>având în vedere studiul intitulat „The Gender Dimension and Impact of the Fit for 55 Package” (Dimensiunea de gen și impactul pachetului legislativ „Pregătiți pentru 55”), publicat de Direcția sa Generală Politici Interne ale Uniunii la 6 decembrie 2022</w:t>
      </w:r>
      <w:r>
        <w:rPr>
          <w:rStyle w:val="FootnoteReference"/>
        </w:rPr>
        <w:footnoteReference w:id="20"/>
      </w:r>
      <w:r>
        <w:t>,</w:t>
      </w:r>
    </w:p>
    <w:p>
      <w:pPr>
        <w:pStyle w:val="NormalHanging12a"/>
      </w:pPr>
      <w:r>
        <w:t>–</w:t>
      </w:r>
      <w:r>
        <w:tab/>
      </w:r>
      <w:r>
        <w:t>având în vedere nota de informare intitulată „Energy poverty in the EU” (Sărăcia energetică în UE), publicată de Direcția Generală Servicii de Cercetare Parlamentară la 18 septembrie 2023</w:t>
      </w:r>
      <w:r>
        <w:rPr>
          <w:rStyle w:val="FootnoteReference"/>
        </w:rPr>
        <w:footnoteReference w:id="21"/>
      </w:r>
      <w:r>
        <w:t>,</w:t>
      </w:r>
    </w:p>
    <w:p>
      <w:pPr>
        <w:pStyle w:val="NormalHanging12a"/>
      </w:pPr>
      <w:r>
        <w:t>–</w:t>
      </w:r>
      <w:r>
        <w:tab/>
      </w:r>
      <w:r>
        <w:t>având în vedere avizul din 12 mai 2022 al Comisiei pentru drepturile femeii și egalitatea de gen referitor la propunerea de directivă a Parlamentului European și a Consiliului privind eficiența energetică,</w:t>
      </w:r>
    </w:p>
    <w:p>
      <w:pPr>
        <w:pStyle w:val="NormalHanging12a"/>
      </w:pPr>
      <w:r>
        <w:t>–</w:t>
      </w:r>
      <w:r>
        <w:tab/>
      </w:r>
      <w:r>
        <w:t>având în vedere raportul din 7 aprilie 2021 al Comisiei pentru dezvoltare privind impactul schimbărilor climatice asupra populațiilor vulnerabile din țările în curs de dezvoltare și avizul Comisiei pentru drepturile femeii și egalitatea de gen din 2 octombrie 2020,</w:t>
      </w:r>
    </w:p>
    <w:p>
      <w:pPr>
        <w:pStyle w:val="NormalHanging12a"/>
      </w:pPr>
      <w:r>
        <w:t>–</w:t>
      </w:r>
      <w:r>
        <w:tab/>
      </w:r>
      <w:r>
        <w:t>având în vedere rezoluția sa din 10 februarie 2021 referitoare la reducerea inegalităților, cu accent special asupra sărăciei persoanelor încadrate în muncă</w:t>
      </w:r>
      <w:r>
        <w:rPr>
          <w:rStyle w:val="FootnoteReference"/>
        </w:rPr>
        <w:footnoteReference w:id="22"/>
      </w:r>
      <w:r>
        <w:t>,</w:t>
      </w:r>
    </w:p>
    <w:p>
      <w:pPr>
        <w:pStyle w:val="NormalHanging12a"/>
      </w:pPr>
      <w:r>
        <w:t>–</w:t>
      </w:r>
      <w:r>
        <w:tab/>
      </w:r>
      <w:r>
        <w:t>având în vedere articolul 54 din Regulamentul său de procedură,</w:t>
      </w:r>
    </w:p>
    <w:p>
      <w:pPr>
        <w:pStyle w:val="NormalHanging12a"/>
      </w:pPr>
      <w:r>
        <w:t>–</w:t>
      </w:r>
      <w:r>
        <w:tab/>
      </w:r>
      <w:r>
        <w:t>având în vedere raportul Comisiei pentru drepturile femeii și egalitatea de gen (A9-0000/2023),</w:t>
      </w:r>
    </w:p>
    <w:p>
      <w:pPr>
        <w:pStyle w:val="NormalHanging12a"/>
      </w:pPr>
      <w:r>
        <w:t>A.</w:t>
      </w:r>
      <w:r>
        <w:tab/>
      </w:r>
      <w:r>
        <w:t>întrucât, începând din 2021, inflația a cunoscut o creștere pronunțată, în principal din cauza costurilor ridicate ale energiei și alimentelor și fiind exacerbată de războiul de agresiune nejustificat împotriva Ucrainei; întrucât se preconizează că salariile nu vor crește la fel de rapid ca inflația, creând astfel o criză a costului vieții; întrucât această criză amenință grav mijloacele de subzistență, sănătatea, bunăstarea și accesul femeilor la locuințe, limitându-le în același timp puterea de cumpărare și capacitatea lor de a cumpăra alimente;</w:t>
      </w:r>
    </w:p>
    <w:p>
      <w:pPr>
        <w:pStyle w:val="NormalHanging12a"/>
      </w:pPr>
      <w:r>
        <w:t>B.</w:t>
      </w:r>
      <w:r>
        <w:tab/>
      </w:r>
      <w:r>
        <w:t>întrucât, în martie 2022, Comisia a adoptat o serie de măsuri în urma Declarației de la Versailles, menite să sprijine producția agricolă a Ucrainei, să consolideze reziliența UE și să atenueze creșterea prețurilor la alimente pentru consumatorii europeni;</w:t>
      </w:r>
    </w:p>
    <w:p>
      <w:pPr>
        <w:pStyle w:val="NormalHanging12a"/>
      </w:pPr>
      <w:r>
        <w:t>C.</w:t>
      </w:r>
      <w:r>
        <w:tab/>
      </w:r>
      <w:r>
        <w:t>întrucât femeile, în toată diversitatea lor, sunt afectate disproporționat de consecințele crizei costului vieții, deoarece fac parte, de regulă, din păturile cele mai sărace ale populației, sunt reprezentate majoritar în locuri de muncă precare, au venituri mai mici ca urmare a diferențelor de remunerare și de pensii și se preconizează că vor desfășura și pe viitor cea mai mare parte a activităților de îngrijire neremunerate, ceea ce le lasă cu mai puține resurse pentru a se proteja împotriva impactului negativ al crizei;</w:t>
      </w:r>
    </w:p>
    <w:p>
      <w:pPr>
        <w:pStyle w:val="NormalHanging12a"/>
      </w:pPr>
      <w:r>
        <w:t>D.</w:t>
      </w:r>
      <w:r>
        <w:tab/>
      </w:r>
      <w:r>
        <w:t>întrucât schimbările climatice și dezastrele legate de climă exacerbează criza costului vieții și riscul de sărăcie; întrucât grupurile care trăiesc deja la limită sunt cel mai grav afectate de volatilitatea sistemului energetic bazat pe combustibili fosili, în timp ce întreprinderile energetice și alimentare realizează profituri record;</w:t>
      </w:r>
    </w:p>
    <w:p>
      <w:pPr>
        <w:pStyle w:val="NormalHanging12a"/>
      </w:pPr>
      <w:r>
        <w:t>E.</w:t>
      </w:r>
      <w:r>
        <w:tab/>
      </w:r>
      <w:r>
        <w:t>întrucât sărăcia energetică reprezintă o provocare uriașă pentru UE, câtă vreme între 50 și 125 de milioane de persoane nu își pot permite un confort termic adecvat în locuință;</w:t>
      </w:r>
    </w:p>
    <w:p>
      <w:pPr>
        <w:pStyle w:val="NormalHanging12a"/>
      </w:pPr>
      <w:r>
        <w:t>F.</w:t>
      </w:r>
      <w:r>
        <w:tab/>
      </w:r>
      <w:r>
        <w:t>întrucât femeile, în special mamele singure și cele care se confruntă cu discriminarea intersecțională pe motive de etnie, rasă, statut de migrant, orientare sexuală, dizabilitate sau vârstă, sunt mai susceptibile să se confrunte cu sărăcia energetică; întrucât acest lucru înseamnă că actuala criză a costului vieții va exacerba sărăcia energetică genderizată în UE;</w:t>
      </w:r>
    </w:p>
    <w:p>
      <w:pPr>
        <w:pStyle w:val="NormalHanging12a"/>
      </w:pPr>
      <w:r>
        <w:t>G.</w:t>
      </w:r>
      <w:r>
        <w:tab/>
      </w:r>
      <w:r>
        <w:t>întrucât există puține informații sau date disponibile cu privire la impactul sărăciei energetice asupra femeilor din UE; întrucât Observatorul sărăciei energetice al UE nu oferă în setul său de indicatori accesibili în mod public date dezagregate în funcție de gen; întrucât doar câteva state membre au adoptat definiții ale sărăciei energetice și ale indicatorilor sărăciei energetice, care, de obicei, nu iau în considerare dimensiunea de gen;</w:t>
      </w:r>
    </w:p>
    <w:p>
      <w:pPr>
        <w:pStyle w:val="NormalHanging12a"/>
      </w:pPr>
      <w:r>
        <w:t>H.</w:t>
      </w:r>
      <w:r>
        <w:tab/>
      </w:r>
      <w:r>
        <w:t>întrucât Comisia nu și-a respectat angajamentul stabilit în Strategia privind egalitatea de gen de a integra o perspectivă de gen în toate inițiativele majore ale Comisiei, inclusiv în Pactul verde european și în politicile conexe;</w:t>
      </w:r>
    </w:p>
    <w:p>
      <w:pPr>
        <w:pStyle w:val="NormalHanging12a"/>
      </w:pPr>
      <w:r>
        <w:t>I.</w:t>
      </w:r>
      <w:r>
        <w:tab/>
      </w:r>
      <w:r>
        <w:t>întrucât Comisia este obligată să promoveze egalitatea de gen în temeiul tratatelor; întrucât, cu toate acestea, Curtea de Conturi Europeană consideră că o perspectivă de gen nu a fost integrată în bugetul UE;</w:t>
      </w:r>
    </w:p>
    <w:p>
      <w:pPr>
        <w:pStyle w:val="NormalHanging12a"/>
      </w:pPr>
      <w:r>
        <w:t>J.</w:t>
      </w:r>
      <w:r>
        <w:tab/>
      </w:r>
      <w:r>
        <w:t>întrucât preocupările legate de egalitatea de gen lipsesc în mare măsură din pilonii tranziției verzi și transformării digitale ai Mecanismului de redresare și reziliență, ceea ce reprezintă o oportunitate ratată de a integra efectiv egalitatea de gen în obiectivele climatice și de mediu;</w:t>
      </w:r>
    </w:p>
    <w:p>
      <w:pPr>
        <w:pStyle w:val="NormalHanging12a"/>
      </w:pPr>
      <w:r>
        <w:t>K.</w:t>
      </w:r>
      <w:r>
        <w:tab/>
      </w:r>
      <w:r>
        <w:t>întrucât din politicile și măsurile statelor membre și ale UE menite să contracareze și să atenueze efectele crizei costului vieții lipsește o perspectivă de gen; întrucât aproximativ două treimi din măsurile introduse de statele membre pentru a atenua creșterea ratelor inflației nu vizează anumite grupuri aflate în situații vulnerabile și oferă doar soluții pe termen scurt în locul unor răspunsuri care vor contribui la o tranziție verde și echitabilă din punct de vedere social,</w:t>
      </w:r>
    </w:p>
    <w:p>
      <w:pPr>
        <w:pStyle w:val="Normal12a24b"/>
      </w:pPr>
      <w:r>
        <w:rPr>
          <w:rStyle w:val="BoldItalic"/>
        </w:rPr>
        <w:t>Feminizarea sărăciei energetice și răspunsurile de gen la criză</w:t>
      </w:r>
    </w:p>
    <w:p>
      <w:pPr>
        <w:pStyle w:val="NormalHanging12a"/>
      </w:pPr>
      <w:r>
        <w:t>1.</w:t>
      </w:r>
      <w:r>
        <w:tab/>
      </w:r>
      <w:r>
        <w:t>invită Comisia să respecte angajamentul asumat de președinta von der Leyen de a promova egalitatea de gen în toate procesele de elaborare a politicilor; solicită un Pact verde european și o tranziție justă și echitabilă din punct de vedere social, care să funcționeze pentru toți, prin elaborarea unei strategii intersecționale transformatoare din perspectiva genului pentru a aborda sărăcia energetică și prin creșterea investițiilor publice în locuințe sociale, accesibile ca preț și eficiente din punct de vedere energetic;</w:t>
      </w:r>
    </w:p>
    <w:p>
      <w:pPr>
        <w:pStyle w:val="NormalHanging12a"/>
      </w:pPr>
      <w:r>
        <w:t>2.</w:t>
      </w:r>
      <w:r>
        <w:tab/>
      </w:r>
      <w:r>
        <w:t>invită statele membre și UE să garanteze de urgență utilități și alimente la prețuri accesibile pentru gospodăriile cu venituri mici și, în special, pentru persoanele care se confruntă cu discriminare intersecțională; subliniază că nimeni nu ar trebui să înghețe în toiul iernii sau să sufere din cauza căldurii excesive în lunile de vară și solicită statelor membre și UE să interzică deconectările de la rețeaua de energie electrică;</w:t>
      </w:r>
    </w:p>
    <w:p>
      <w:pPr>
        <w:pStyle w:val="NormalHanging12a"/>
      </w:pPr>
      <w:r>
        <w:t>3.</w:t>
      </w:r>
      <w:r>
        <w:tab/>
      </w:r>
      <w:r>
        <w:t>invită statele membre să majoreze investițiile publice în politici care urmăresc, direct sau indirect, să contracareze efectele negative ale crizei costului vieții asupra femeilor în toată diversitatea lor, să garanteze accesul la servicii publice de înaltă calitate pentru îngrijire, educație, sănătate, inclusiv sănătatea sexuală și reproductivă și drepturile aferente, precum și locuințe și să protejeze victimele violenței de gen;</w:t>
      </w:r>
    </w:p>
    <w:p>
      <w:pPr>
        <w:pStyle w:val="NormalHanging12a"/>
      </w:pPr>
      <w:r>
        <w:t>4.</w:t>
      </w:r>
      <w:r>
        <w:tab/>
      </w:r>
      <w:r>
        <w:t>invită Comisia să evalueze și să propună, după caz, noi acte legislative pentru a contracara financiarizarea piețelor imobiliare și pentru a împiedica speculatorii să facă inaccesibilă achiziționarea unei locuințe;</w:t>
      </w:r>
    </w:p>
    <w:p>
      <w:pPr>
        <w:pStyle w:val="NormalHanging12a"/>
      </w:pPr>
      <w:r>
        <w:t>5.</w:t>
      </w:r>
      <w:r>
        <w:tab/>
      </w:r>
      <w:r>
        <w:t>subliniază că accesul la energie electrică joacă un rol fundamental în reducerea sărăciei și în asigurarea unei participări depline și egale în societate; solicită UE și statelor membre să recunoască dreptul la energie;</w:t>
      </w:r>
    </w:p>
    <w:p>
      <w:pPr>
        <w:pStyle w:val="NormalHanging12a"/>
      </w:pPr>
      <w:r>
        <w:t>6.</w:t>
      </w:r>
      <w:r>
        <w:tab/>
      </w:r>
      <w:r>
        <w:t>invită Direcția Generală Energie a Comisiei să elaboreze un plan de acțiune pentru egalitatea de gen care să garanteze că întreaga legislație a UE în domeniul energiei, inclusiv dreptul la partajarea energiei, astfel cum se menționează în Directiva (UE) 2018/2001, integrează dimensiunea de gen și elaborează măsuri specifice și fonduri specifice pentru a combate feminizarea sărăciei energetice;</w:t>
      </w:r>
    </w:p>
    <w:p>
      <w:pPr>
        <w:pStyle w:val="NormalHanging12a"/>
      </w:pPr>
      <w:r>
        <w:t>7.</w:t>
      </w:r>
      <w:r>
        <w:tab/>
      </w:r>
      <w:r>
        <w:t>invită Comisia și statele membre să asigure includerea dimensiunii de gen și a dimensiunilor intersecționale în toate schemele de eficiență energetică și de energie electrică din surse regenerabile, astfel încât să sprijine cetățenii cei mai afectați de sărăcia energetică;</w:t>
      </w:r>
    </w:p>
    <w:p>
      <w:pPr>
        <w:pStyle w:val="NormalHanging12a"/>
      </w:pPr>
      <w:r>
        <w:t>8.</w:t>
      </w:r>
      <w:r>
        <w:tab/>
      </w:r>
      <w:r>
        <w:t>invită Comisia și statele membre să solicite Eurostat date defalcate în funcție de gen privind sărăcia energetică; invită, în acest sens, Observatorul european al sărăciei energetice să utilizeze aceste date pentru a elabora și a selecta indicatori specifici de gen care să permită elaborarea de politici bazate pe date concrete în acest domeniu, în consultare cu Institutul European pentru Egalitatea de Șanse între Femei și Bărbați, cu Agenția pentru Drepturi Fundamentale a Uniunii Europene și cu Agenția Europeană de Mediu;</w:t>
      </w:r>
    </w:p>
    <w:p>
      <w:pPr>
        <w:pStyle w:val="NormalHanging12a"/>
      </w:pPr>
      <w:r>
        <w:t>9.</w:t>
      </w:r>
      <w:r>
        <w:tab/>
      </w:r>
      <w:r>
        <w:t>invită Comisia să solicite statelor membre să efectueze evaluări ale impactului de gen în planurile energetice și climatice naționale, inclusiv atunci când raportează cu privire la sărăcia energetică;</w:t>
      </w:r>
    </w:p>
    <w:p>
      <w:pPr>
        <w:pStyle w:val="Normal12a24b"/>
      </w:pPr>
      <w:r>
        <w:rPr>
          <w:rStyle w:val="BoldItalic"/>
        </w:rPr>
        <w:t>Către o tranziție verde favorabilă incluziunii din punctul de vedere al genului</w:t>
      </w:r>
    </w:p>
    <w:p>
      <w:pPr>
        <w:pStyle w:val="NormalHanging12a"/>
      </w:pPr>
      <w:r>
        <w:t>10.</w:t>
      </w:r>
      <w:r>
        <w:tab/>
      </w:r>
      <w:r>
        <w:t>reamintește că tranziția verde este necesară pentru a evita crizele viitoare grave și creșterea sărăciei; reamintește, de asemenea, că tranziția verde va fi echitabilă din punct de vedere social numai dacă include o perspectivă de gen și garantează egalitatea de șanse pentru femei și pentru persoanele care se confruntă cu discriminarea intersecțională; invită, prin urmare, Comisia să numească un coordonator al UE pentru aspectele legate de gen și climă, cu personal și finanțare suficiente, și să introducă evaluări ale impactului de gen în toate politicile și legislația UE, în special în inițiativele Pactului verde european;</w:t>
      </w:r>
    </w:p>
    <w:p>
      <w:pPr>
        <w:pStyle w:val="NormalHanging12a"/>
      </w:pPr>
      <w:r>
        <w:t>11.</w:t>
      </w:r>
      <w:r>
        <w:tab/>
      </w:r>
      <w:r>
        <w:t>subliniază că femeile joacă un rol strategic în tranziția verde, deoarece sunt actori-cheie în dezvoltarea unor modele de consum și de producție sustenabile și ecologice, precum și în mediul de afaceri și în elaborarea politicilor;</w:t>
      </w:r>
    </w:p>
    <w:p>
      <w:pPr>
        <w:pStyle w:val="NormalHanging12a"/>
      </w:pPr>
      <w:r>
        <w:t>12.</w:t>
      </w:r>
      <w:r>
        <w:tab/>
      </w:r>
      <w:r>
        <w:t>regretă faptul că femeile sunt în mod semnificativ subreprezentate în pozițiile-cheie de elaborare a politicilor privind schimbările climatice și mediul și solicită UE și statelor membre să asigure o reprezentare egală și diversificată în pozițiile decizionale în cadrul instituțiilor UE, al organismelor guvernamentale și al autorităților publice de la toate nivelurile de guvernanță;</w:t>
      </w:r>
    </w:p>
    <w:p>
      <w:pPr>
        <w:pStyle w:val="NormalHanging12a"/>
      </w:pPr>
      <w:r>
        <w:t>13.</w:t>
      </w:r>
      <w:r>
        <w:tab/>
      </w:r>
      <w:r>
        <w:t>invită Comisia să reducă disparitatea de gen în sectorul energetic și să se asigure că femeile au acces egal la cursuri de formare privind eficiența energetică și la noile oportunități de angajare în sectorul energetic;</w:t>
      </w:r>
    </w:p>
    <w:p>
      <w:pPr>
        <w:pStyle w:val="NormalHanging12a"/>
      </w:pPr>
      <w:r>
        <w:t>14.</w:t>
      </w:r>
      <w:r>
        <w:tab/>
      </w:r>
      <w:r>
        <w:t>invită Comisia și Consiliul să se angajeze să integreze dimensiunea de gen în buget și să se asigure că aceasta se aplică întregului buget al UE, precum și că recomandările Curții de Conturi Europene sunt puse în aplicare pe deplin, inclusiv în evaluarea la jumătatea perioadei a actualului cadru financiar multianual și în punerea în aplicare a Mecanismului de redresare și reziliență;</w:t>
      </w:r>
    </w:p>
    <w:p>
      <w:pPr>
        <w:pStyle w:val="NormalCenter12a"/>
      </w:pPr>
      <w:r>
        <w:t>°</w:t>
      </w:r>
    </w:p>
    <w:p>
      <w:pPr>
        <w:pStyle w:val="NormalCenter12a"/>
      </w:pPr>
      <w:r>
        <w:t>°</w:t>
      </w:r>
      <w:r>
        <w:tab/>
      </w:r>
      <w:r>
        <w:t>°</w:t>
      </w:r>
    </w:p>
    <w:p>
      <w:pPr>
        <w:pStyle w:val="NormalHanging12a"/>
      </w:pPr>
      <w:r>
        <w:t>15.</w:t>
      </w:r>
      <w:r>
        <w:tab/>
      </w:r>
      <w:r>
        <w:t>încredințează Președintei sarcina de a transmite prezenta rezoluție Consiliului și Comisiei.</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EXPUNERE DE MOTIVE</w:t>
      </w:r>
      <w:bookmarkEnd w:id="1"/>
    </w:p>
    <w:p>
      <w:pPr>
        <w:pStyle w:val="Normal12a"/>
      </w:pPr>
      <w:r>
        <w:rPr>
          <w:rStyle w:val="Bold"/>
        </w:rPr>
        <w:t xml:space="preserve">Costul vieții și criza energetică – femeile sunt cel mai grav afectate </w:t>
      </w:r>
    </w:p>
    <w:p>
      <w:pPr>
        <w:pStyle w:val="Normal12a"/>
      </w:pPr>
      <w:r>
        <w:t>În prezent, Europa se confruntă cu o criză a costului vieții și a energiei într-o măsură aproape fără precedent în istoria recentă. Pe întregul continent, oamenii se străduiesc să facă față cheltuielilor și trebuie să aleagă între „a se încălzi sau a avea ce pune pe masă”.</w:t>
      </w:r>
    </w:p>
    <w:p>
      <w:pPr>
        <w:pStyle w:val="Normal12a"/>
      </w:pPr>
      <w:r>
        <w:t>La începutul anului 2022, după pandemia de COVID-19, Uniunea Europeană s-a orientat înspre „a trece la acțiune, a face Europa mai verde, mai digitală și mai rezilientă”</w:t>
      </w:r>
      <w:r>
        <w:rPr>
          <w:rStyle w:val="FootnoteReference"/>
        </w:rPr>
        <w:footnoteReference w:id="23"/>
      </w:r>
      <w:r>
        <w:t>. Cu toate acestea, la 24 februarie, Rusia a invadat Ucraina.</w:t>
      </w:r>
    </w:p>
    <w:p>
      <w:pPr>
        <w:pStyle w:val="Normal12a"/>
      </w:pPr>
      <w:r>
        <w:t xml:space="preserve">Pe lângă suferința umană enormă cauzată de războiul purtat de Rusia împotriva Ucrainei și a poporului ucrainean, războiul a avut un impact masiv asupra lanțurilor de aprovizionare, provocând creșterea prețurilor la energie și alimente și creșterea inflației. În 2022, ratele inflației au determinat </w:t>
      </w:r>
      <w:r>
        <w:t>Banca Centrală Europeană</w:t>
      </w:r>
      <w:r>
        <w:t xml:space="preserve"> să majoreze dobânzile pentru prima oară în 11 ani.</w:t>
      </w:r>
    </w:p>
    <w:p>
      <w:pPr>
        <w:pStyle w:val="Normal12a"/>
      </w:pPr>
      <w:r>
        <w:t>Din păcate, creșterea inflației a survenit înainte ca grupurile sociale cele mai vulnerabile să se poată redresa în urma pandemiei de COVID-19, iar acest lucru a agravat și mai mult condițiile de viață ale multor cetățeni europeni.</w:t>
      </w:r>
    </w:p>
    <w:p>
      <w:pPr>
        <w:pStyle w:val="Normal12a"/>
      </w:pPr>
      <w:r>
        <w:t>Milioane de gospodării au în prezent nevoie de ajutor din cauza acestei creșteri a costului vieții și a creșterii prețurilor la energie. În spatele cifrelor însă, sărăcia are chipul unei femei.</w:t>
      </w:r>
    </w:p>
    <w:p>
      <w:pPr>
        <w:pStyle w:val="Normal12a"/>
      </w:pPr>
      <w:r>
        <w:t>Femeile din întreaga Europă se confruntă cu mai multe provocări socioeconomice și cu niveluri de sărăcie mai ridicate decât bărbații. În general, femeile au locuri de muncă mai precare, cu salarii mai mici și fac mai des muncă neremunerată de îngrijire a copiilor. În ceea ce privește accesul la educație, asistență medicală, locuri de muncă și servicii sociale, unele grupuri de femei se confruntă cu forme de discriminare intersecționale. Printre acestea se numără femeile cu vârsta de peste 65 de ani, femeile cu dizabilități și femeile care aparțin minorităților etnice.</w:t>
      </w:r>
    </w:p>
    <w:p>
      <w:pPr>
        <w:pStyle w:val="Normal12a"/>
      </w:pPr>
      <w:r>
        <w:t>De la pandemia de COVID-19, inegalitățile dintre bărbați și femei au crescut, iar actuala criză a costului vieții afectează în mod disproporționat femeile din cauza venitului lor mediu mai scăzut, a locuințelor precare și ineficiente și a dependenței de ajutoarele sociale. În 2021, înainte de criză, cu peste 20 de milioane de femei mai multe decât bărbați trăiau sub indicele sărăciei în UE. În ritmul actual al progreselor, UE se află la o distanță de cel puțin 60 de ani de realizarea egalității de gen</w:t>
      </w:r>
      <w:r>
        <w:rPr>
          <w:rStyle w:val="FootnoteReference"/>
        </w:rPr>
        <w:footnoteReference w:id="24"/>
      </w:r>
      <w:r>
        <w:t>.</w:t>
      </w:r>
    </w:p>
    <w:p>
      <w:pPr>
        <w:pStyle w:val="Normal12a"/>
      </w:pPr>
      <w:r>
        <w:rPr>
          <w:rStyle w:val="Bold"/>
        </w:rPr>
        <w:t>Ursula von der Leyen a promis „să nu lase pe nimeni în urmă”, dar a uitat Pactul verde</w:t>
      </w:r>
    </w:p>
    <w:p>
      <w:pPr>
        <w:pStyle w:val="Normal12a"/>
      </w:pPr>
      <w:r>
        <w:t>Știm că femeile sunt expuse unui risc mai mare de a se confrunta cu sărăcia energetică, adică cu lipsa accesului la resurse energetice la prețuri accesibile. Problema este o provocare recunoscută la nivelul UE. Potrivit Comisiei Europene, „sărăcia energetică este o problemă deosebit de răspândită în Europa, deoarece între 50 și 125 de milioane de persoane nu își pot permite un confort termic adecvat în locuință”.</w:t>
      </w:r>
    </w:p>
    <w:p>
      <w:pPr>
        <w:pStyle w:val="Normal12a"/>
      </w:pPr>
      <w:r>
        <w:t>Cu toate acestea, există puține informații sau date disponibile despre impactul sărăciei energetice asupra femeilor din UE. Doar câteva state membre au adoptat definiții ale sărăciei energetice și ale indicatorilor sărăciei energetice, dar nu iau, de obicei, în considerare dimensiunea de gen.</w:t>
      </w:r>
    </w:p>
    <w:p>
      <w:pPr>
        <w:pStyle w:val="Normal12a"/>
      </w:pPr>
      <w:r>
        <w:t xml:space="preserve">Deja în 2016, </w:t>
      </w:r>
      <w:r>
        <w:t>Parlamentul European</w:t>
      </w:r>
      <w:r>
        <w:t xml:space="preserve"> a adoptat o rezoluție privind accesul la energie, în care solicita o dimensiune de gen în toate politicile energetice. Din păcate, s-au înregistrat puține progrese, în pofida numeroaselor apeluri ale </w:t>
      </w:r>
      <w:r>
        <w:t>Parlamentului European</w:t>
      </w:r>
      <w:r>
        <w:t xml:space="preserve"> și a promisiunii președintei Comisiei, Ursula von der Leyen, că Pactul verde european nu va lăsa „pe nimeni în urmă”.</w:t>
      </w:r>
    </w:p>
    <w:p>
      <w:pPr>
        <w:pStyle w:val="Normal12a"/>
      </w:pPr>
      <w:r>
        <w:t>În pofida angajamentului actualei Comisii de a integra dimensiunea de gen în toate inițiativele sale majore, legăturile dintre egalitatea de gen și domeniile de politică ale Pactului verde european, precum și în Mecanismul de redresare și reziliență, sunt inadecvate.</w:t>
      </w:r>
    </w:p>
    <w:p>
      <w:pPr>
        <w:pStyle w:val="Normal12a"/>
      </w:pPr>
      <w:r>
        <w:t>În practică, ceea ce Comisia Europeană a realizat până în prezent cu privire la Pactul verde poate fi descris ca o tranziție verde, finanțată de UE, care nu ține cont de dimensiunea de gen, amenințând să amplifice inegalitățile de gen existente și care se intersectează.</w:t>
      </w:r>
    </w:p>
    <w:p>
      <w:pPr>
        <w:pStyle w:val="Normal12a"/>
      </w:pPr>
      <w:r>
        <w:t xml:space="preserve">Raportul special nr. 10/2021 al </w:t>
      </w:r>
      <w:r>
        <w:t>Curții de Conturi Europene</w:t>
      </w:r>
      <w:r>
        <w:t xml:space="preserve"> </w:t>
      </w:r>
      <w:r>
        <w:rPr>
          <w:rStyle w:val="Italic"/>
        </w:rPr>
        <w:t>Integrarea perspectivei de gen în bugetul UE: este timpul ca vorbele să se transforme în fapte</w:t>
      </w:r>
      <w:r>
        <w:t xml:space="preserve"> confirmă și el faptul că Comisia nu își respectă obligația care îi revine în temeiul tratatelor de a promova egalitatea de gen în toate domeniile de elaborare și punere în aplicare a politicilor. Raportul concluzionează că indicatorii și datele defalcate în funcție de gen lipsesc adesea din elaborarea politicilor ceea ce împiedică analiza integrării perspectivei de gen</w:t>
      </w:r>
      <w:r>
        <w:rPr>
          <w:rStyle w:val="FootnoteReference"/>
        </w:rPr>
        <w:footnoteReference w:id="25"/>
      </w:r>
      <w:r>
        <w:t>. În consecință, inițiativele Pactului verde și Mecanismul de redresare și reziliență nu asigură egalitatea de gen.</w:t>
      </w:r>
    </w:p>
    <w:p>
      <w:pPr>
        <w:pStyle w:val="Normal12a"/>
      </w:pPr>
      <w:r>
        <w:t xml:space="preserve">În plus, </w:t>
      </w:r>
      <w:r>
        <w:rPr>
          <w:rStyle w:val="Italic"/>
        </w:rPr>
        <w:t>Indicele egalității de gen 2023</w:t>
      </w:r>
      <w:r>
        <w:t xml:space="preserve"> al EIGE:</w:t>
      </w:r>
      <w:r>
        <w:rPr>
          <w:rStyle w:val="Italic"/>
        </w:rPr>
        <w:t xml:space="preserve"> Egalitatea de gen și Pactul verde european</w:t>
      </w:r>
      <w:r>
        <w:t xml:space="preserve"> subliniază, de asemenea, lipsa unor date de înaltă calitate și afirmă că indicatorii actuali nu sunt adecvați scopului. De prea multe ori, datele nu sunt defalcate în funcție de gen, iar indicatorii nu țin seama de dimensiunea de gen. În consecință, statisticile UE disponibile nu măsoară aspecte care sunt relevante dintr-o perspectivă intersecțională de gen.</w:t>
      </w:r>
    </w:p>
    <w:p>
      <w:pPr>
        <w:pStyle w:val="Normal12a"/>
      </w:pPr>
      <w:r>
        <w:t>Lipsa de dovezi este o provocare majoră pentru Comisie dacă aceasta își ia în serios angajamentului de „a nu lăsa pe nimeni în urmă”. O intersectare a faptelor este necesară pentru integrarea cu succes a diferitelor nevoi și preocupări atât ale femeilor, cât și ale bărbaților în politicile de punere în aplicare a Pactului verde european. Acest lucru este imperativ pentru a asigura accesul egal la finanțarea necorelată din punct de vedere istoric și la marile oportunități pe care le oferă tranziția verde.</w:t>
      </w:r>
    </w:p>
    <w:p>
      <w:pPr>
        <w:pStyle w:val="Normal12a"/>
      </w:pPr>
      <w:r>
        <w:rPr>
          <w:rStyle w:val="Bold"/>
        </w:rPr>
        <w:t>Pactul verde trebuie să acorde prioritate echității sociale pentru a aborda sărăcia genderizată</w:t>
      </w:r>
    </w:p>
    <w:p>
      <w:pPr>
        <w:pStyle w:val="Normal12a"/>
      </w:pPr>
      <w:r>
        <w:t>Europa funcționează din nou în mod de urgență, confruntându-se cu o criză energetică semnificativă din cauza dependenței noastre de combustibilii fosili și a volatilității pieței energiei.</w:t>
      </w:r>
    </w:p>
    <w:p>
      <w:pPr>
        <w:pStyle w:val="Normal12a"/>
      </w:pPr>
      <w:r>
        <w:t>Aspectele sociale ale Pactului verde european și politicile noastre energetice sunt esențiale pentru îndeplinirea obiectivelor climatice ale UE și pentru atenuarea impactului socioeconomic al războiului Rusiei împotriva Ucrainei.</w:t>
      </w:r>
    </w:p>
    <w:p>
      <w:pPr>
        <w:pStyle w:val="Normal12a"/>
      </w:pPr>
      <w:r>
        <w:t>În prezent, cei mai vulnerabili cetățeni ai UE plătesc prețul pentru volatilitatea sistemului nostru energetic dependent de combustibili fosili. Sărăcia are chipul unei femei și deja în 2021, înainte de criză, cu peste 20 de milioane de femei mai multe decât bărbați trăiau sub indicele sărăciei în UE.</w:t>
      </w:r>
    </w:p>
    <w:p>
      <w:pPr>
        <w:pStyle w:val="Normal12a"/>
      </w:pPr>
      <w:r>
        <w:t>Parlamentul European</w:t>
      </w:r>
      <w:r>
        <w:t xml:space="preserve"> a făcut mai multe declarații puternice privind egalitatea de gen și tranziția energetică. În rezoluția sa din 17 februarie 2022, Parlamentul a recunoscut că femeile se confruntă în continuare cu obstacole structurale și culturale în calea participării la toate aspectele legate de realizarea tranziției energetice și climatice</w:t>
      </w:r>
      <w:r>
        <w:rPr>
          <w:rStyle w:val="FootnoteReference"/>
        </w:rPr>
        <w:footnoteReference w:id="26"/>
      </w:r>
      <w:r>
        <w:t>.</w:t>
      </w:r>
    </w:p>
    <w:p>
      <w:pPr>
        <w:pStyle w:val="Normal12a"/>
      </w:pPr>
      <w:r>
        <w:t>Problemele structurale necesită soluții structurale. Prin urmare, datele care se intersectează și o abordare care ține cont de dimensiunea de gen trebuie să se reflecte în procesul de elaborare a politicilor UE pentru a contracara creșterea sărăciei genderizate. Punerea în aplicare a Pactului verde european oferă o oportunitate de a îndeplini angajamentul de a integra dimensiunea de gen și o perspectivă intersecțională în toate activitățile UE, inclusiv în procesul bugetar al UE.</w:t>
      </w:r>
    </w:p>
    <w:p>
      <w:pPr>
        <w:pStyle w:val="Normal12a"/>
      </w:pPr>
      <w:r>
        <w:t xml:space="preserve">Raportul prezintă mai multe măsuri de combatere a creșterii sărăciei genderizate și reiterează numeroasele apeluri adresate de </w:t>
      </w:r>
      <w:r>
        <w:t>Parlamentul European</w:t>
      </w:r>
      <w:r>
        <w:t xml:space="preserve"> Comisiei de a -și respecta promisiunea de a asigura o tranziție energetică care să funcționeze pentru toți.</w:t>
      </w:r>
    </w:p>
    <w:p>
      <w:pPr>
        <w:pStyle w:val="Normal12a"/>
      </w:pPr>
      <w:r>
        <w:t>În concluzie, asigurarea unei tranziții verzi echitabile din punct de vedere social este o condiție prealabilă absolută pentru succesul Pactului verde și pentru realizarea egalității de gen în Uniunea Europeană.</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PR\1285514RO.docx</w:t>
    </w:r>
    <w:r>
      <w:rPr>
        <w:rStyle w:val="HideTWBExt"/>
      </w:rPr>
      <w:t>&lt;/</w:t>
    </w:r>
    <w:r>
      <w:rPr>
        <w:rStyle w:val="HideTWBExt"/>
      </w:rPr>
      <w:t>PathFdR</w:t>
    </w:r>
    <w:r>
      <w:rPr>
        <w:rStyle w:val="HideTWBExt"/>
      </w:rPr>
      <w:t>&gt;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PR\1285514RO.docx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PR\1285514RO.docx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RO</w:t>
    </w:r>
    <w:r>
      <w:tab/>
    </w:r>
    <w:r>
      <w:rPr>
        <w:rStyle w:val="EPFooter2Motto"/>
      </w:rPr>
      <w:t>Unită în diversitate</w:t>
    </w:r>
    <w:r>
      <w:tab/>
    </w:r>
    <w:r>
      <w:t>RO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https://commission.europa.eu/strategy-and-policy/policies/justice-and-fundamental-rights/gender-equality/gender-equality-strategy_ro.</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JO L 211, 14.8.2009, p.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JO L 315, 14.11.2012, p.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JO L 328, 21.12.2018, p.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JO L 158, 14.6.2019, p.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JO L 57, 18.2.2021, p.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JO L 132, 17.5.2023, p.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JO C 479, 16.12.2022, p.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JO C 47, 7.2.2023, p. 2.</w:t>
        </w:r>
      </w:hyperlink>
    </w:p>
  </w:footnote>
  <w:footnote w:id="9">
    <w:p>
      <w:pPr>
        <w:pStyle w:val="FootnoteText"/>
      </w:pPr>
      <w:r>
        <w:rPr>
          <w:rStyle w:val="FootnoteReference"/>
        </w:rPr>
        <w:footnoteRef/>
      </w:r>
      <w:r>
        <w:t xml:space="preserve"> </w:t>
      </w:r>
      <w:r>
        <w:t>Curtea de Conturi Europeană, „Integrarea perspectivei de gen în bugetul UE: este timpul ca vorbele să se transforme în fapte”, 26 mai 2021, https://www.eca.europa.eu/Lists/ECADocuments/SR21_10/SR_Gender_mainstreaming_RO.pdf.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JO L 357, 27.10.2020, p. 35.</w:t>
        </w:r>
      </w:hyperlink>
    </w:p>
  </w:footnote>
  <w:footnote w:id="11">
    <w:p>
      <w:pPr>
        <w:pStyle w:val="FootnoteText"/>
      </w:pPr>
      <w:r>
        <w:rPr>
          <w:rStyle w:val="FootnoteReference"/>
        </w:rPr>
        <w:footnoteRef/>
      </w:r>
      <w:r>
        <w:t xml:space="preserve"> </w:t>
      </w:r>
      <w:r>
        <w:t>Agenția Internațională a Energiei, „End-Use Prices Data Explorer” (Instrument de analiză a datelor privind prețurile la utilizatorii finali), 28 aprilie 2023, https://www.iea.org/data-and-statistics/data-tools/energy-prices-data-explorer?tab=Overview.</w:t>
      </w:r>
    </w:p>
  </w:footnote>
  <w:footnote w:id="12">
    <w:p>
      <w:pPr>
        <w:pStyle w:val="FootnoteText"/>
      </w:pPr>
      <w:r>
        <w:rPr>
          <w:rStyle w:val="FootnoteReference"/>
        </w:rPr>
        <w:footnoteRef/>
      </w:r>
      <w:r>
        <w:t xml:space="preserve"> </w:t>
      </w:r>
      <w:r>
        <w:t>Fondul Monetar Internațional, „The Fog of War Clouds the European Outlook”, octombrie 2022, https://www.imf.org/-/media/Files/Publications/REO/EUR/2022/October/English/text.ashx.</w:t>
      </w:r>
    </w:p>
  </w:footnote>
  <w:footnote w:id="13">
    <w:p>
      <w:pPr>
        <w:pStyle w:val="FootnoteText"/>
      </w:pPr>
      <w:r>
        <w:rPr>
          <w:rStyle w:val="FootnoteReference"/>
        </w:rPr>
        <w:footnoteRef/>
      </w:r>
      <w:r>
        <w:t xml:space="preserve"> </w:t>
      </w:r>
      <w:r>
        <w:t>Eurostat, „Living conditions in Europe”,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10 februarie 2022, https://ec.europa.eu/eurostat/web/products-eurostat-news/-/edn-20220210-2.</w:t>
      </w:r>
    </w:p>
  </w:footnote>
  <w:footnote w:id="15">
    <w:p>
      <w:pPr>
        <w:pStyle w:val="FootnoteText"/>
      </w:pPr>
      <w:r>
        <w:rPr>
          <w:rStyle w:val="FootnoteReference"/>
        </w:rPr>
        <w:footnoteRef/>
      </w:r>
      <w:r>
        <w:t xml:space="preserve"> </w:t>
      </w:r>
      <w:r>
        <w:t>Eurofound, „The cost-of-living crisis and energy poverty in the EU: Social impact and policy responses – Background paper”, 28 octombrie 2022, https://www.eurofound.europa.eu/sites/default/files/ef_publication/field_ef_document/ef22077en.pdf.</w:t>
      </w:r>
    </w:p>
  </w:footnote>
  <w:footnote w:id="16">
    <w:p>
      <w:pPr>
        <w:pStyle w:val="FootnoteText"/>
      </w:pPr>
      <w:r>
        <w:rPr>
          <w:rStyle w:val="FootnoteReference"/>
        </w:rPr>
        <w:footnoteRef/>
      </w:r>
      <w:r>
        <w:t xml:space="preserve"> </w:t>
      </w:r>
      <w:r>
        <w:t>Institutul European pentru Egalitatea de Șanse între Femei și Bărbați, „Indicele egalității de gen 2021”, https://eige.europa.eu/gender-equality-index/2021 și „Indicele egalității de gen 2022”, https://eige.europa.eu/gender-equality-index/2022.</w:t>
      </w:r>
    </w:p>
  </w:footnote>
  <w:footnote w:id="17">
    <w:p>
      <w:pPr>
        <w:pStyle w:val="FootnoteText"/>
      </w:pPr>
      <w:r>
        <w:rPr>
          <w:rStyle w:val="FootnoteReference"/>
        </w:rPr>
        <w:footnoteRef/>
      </w:r>
      <w:r>
        <w:t xml:space="preserve"> </w:t>
      </w:r>
      <w:r>
        <w:t>Uniunea Europeană, „Sondajul PE din toamna anului 2022: Parlametru”, ianuarie 2023, https://europa.eu/eurobarometer/surveys/detail/2932.</w:t>
      </w:r>
    </w:p>
  </w:footnote>
  <w:footnote w:id="18">
    <w:p>
      <w:pPr>
        <w:pStyle w:val="FootnoteText"/>
      </w:pPr>
      <w:r>
        <w:rPr>
          <w:rStyle w:val="FootnoteReference"/>
        </w:rPr>
        <w:footnoteRef/>
      </w:r>
      <w:r>
        <w:t xml:space="preserve"> </w:t>
      </w:r>
      <w:r>
        <w:t>Studiu – „Gender perspective on access to energy in the EU”, Parlamentul European, Direcția Generală Politici Interne, Departamentul tematic C – Drepturile cetățenilor și afaceri constituționale, 18 decembrie 2017, https://www.europarl.europa.eu/RegData/etudes/STUD/2017/596816/IPOL_STU(2017)596816_EN.pdf.</w:t>
      </w:r>
    </w:p>
  </w:footnote>
  <w:footnote w:id="19">
    <w:p>
      <w:pPr>
        <w:pStyle w:val="FootnoteText"/>
      </w:pPr>
      <w:r>
        <w:rPr>
          <w:rStyle w:val="FootnoteReference"/>
        </w:rPr>
        <w:footnoteRef/>
      </w:r>
      <w:r>
        <w:t xml:space="preserve"> </w:t>
      </w:r>
      <w:r>
        <w:t>Notă de informare – „Gender Aspects of Energy Poverty”, Parlamentul European, Direcția Generală Politici Interne ale Uniunii, Departamentul tematic C – Drepturile cetățenilor și afaceri constituționale, 1 martie 2023, https://www.europarl.europa.eu/cmsdata/265960/Briefing_FEMM_IWD_2023_FINAL_EN.pdf.</w:t>
      </w:r>
    </w:p>
  </w:footnote>
  <w:footnote w:id="20">
    <w:p>
      <w:pPr>
        <w:pStyle w:val="FootnoteText"/>
      </w:pPr>
      <w:r>
        <w:rPr>
          <w:rStyle w:val="FootnoteReference"/>
        </w:rPr>
        <w:footnoteRef/>
      </w:r>
      <w:r>
        <w:t xml:space="preserve"> </w:t>
      </w:r>
      <w:r>
        <w:t>Studiu – „The Gender Dimension and Impact of the Fit for 55 Package”, Parlamentul European, Direcția Generală Politici Interne ale Uniunii, Departamentul tematic C – Drepturile cetățenilor și afaceri constituționale, 6 decembrie 2023, https://www.europarl.europa.eu/RegData/etudes/STUD/2022/736899/IPOL_STU(2022)736899_EN.pdf.</w:t>
      </w:r>
    </w:p>
  </w:footnote>
  <w:footnote w:id="21">
    <w:p>
      <w:pPr>
        <w:pStyle w:val="FootnoteText"/>
      </w:pPr>
      <w:r>
        <w:rPr>
          <w:rStyle w:val="FootnoteReference"/>
        </w:rPr>
        <w:footnoteRef/>
      </w:r>
      <w:r>
        <w:t xml:space="preserve"> </w:t>
      </w:r>
      <w:r>
        <w:t>Notă de informare – „Energy poverty in the EU”, Parlamentul European, Direcția Generală Servicii de Cercetare Parlamentară, 18 septembrie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JO C 465, 17.11.2021, p. 62.</w:t>
        </w:r>
      </w:hyperlink>
    </w:p>
  </w:footnote>
  <w:footnote w:id="23">
    <w:p>
      <w:pPr>
        <w:pStyle w:val="FootnoteText"/>
      </w:pPr>
      <w:r>
        <w:rPr>
          <w:rStyle w:val="FootnoteReference"/>
        </w:rPr>
        <w:footnoteRef/>
      </w:r>
      <w:r>
        <w:t xml:space="preserve"> </w:t>
      </w:r>
      <w:r>
        <w:t>https://commission.europa.eu/strategy-and-policy/recovery-plan-europe_ro</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https://www.eca.europa.eu/ro/publications?did=58678</w:t>
      </w:r>
    </w:p>
  </w:footnote>
  <w:footnote w:id="26">
    <w:p>
      <w:pPr>
        <w:pStyle w:val="FootnoteText"/>
      </w:pPr>
      <w:r>
        <w:rPr>
          <w:rStyle w:val="FootnoteReference"/>
        </w:rPr>
        <w:footnoteRef/>
      </w:r>
      <w:r>
        <w:t xml:space="preserve"> </w:t>
      </w:r>
      <w:r>
        <w:t>https://www.europarl.europa.eu/doceo/document/TA-9-2022-02-17_RO.html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20230927-114407-000279-749922</vt:lpwstr>
  </property>
  <property fmtid="{D5CDD505-2E9C-101B-9397-08002B2CF9AE}" pid="7" name="FooterPath">
    <vt:lpwstr>PR\1285514RO.doc</vt:lpwstr>
  </property>
  <property fmtid="{D5CDD505-2E9C-101B-9397-08002B2CF9AE}" pid="8" name="PE Number">
    <vt:lpwstr>752.947</vt:lpwstr>
  </property>
  <property fmtid="{D5CDD505-2E9C-101B-9397-08002B2CF9AE}" pid="9" name="UID">
    <vt:lpwstr>eu.europa.europarl-DIN1-2023-0000117549_01.07-ro-01.00_text-xml</vt:lpwstr>
  </property>
</Properties>
</file>