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775025" w:rsidRPr="00D22767" w:rsidTr="00C85D0F">
        <w:trPr>
          <w:trHeight w:hRule="exact" w:val="1418"/>
        </w:trPr>
        <w:tc>
          <w:tcPr>
            <w:tcW w:w="6804" w:type="dxa"/>
            <w:shd w:val="clear" w:color="auto" w:fill="auto"/>
            <w:vAlign w:val="center"/>
          </w:tcPr>
          <w:p w:rsidR="00775025" w:rsidRPr="00D22767" w:rsidRDefault="00960264" w:rsidP="00C85D0F">
            <w:pPr>
              <w:pStyle w:val="EPName"/>
            </w:pPr>
            <w:bookmarkStart w:id="0" w:name="_GoBack"/>
            <w:bookmarkEnd w:id="0"/>
            <w:r w:rsidRPr="00D22767">
              <w:t>Parlament Europejski</w:t>
            </w:r>
          </w:p>
          <w:p w:rsidR="00775025" w:rsidRPr="00D22767" w:rsidRDefault="006A23C7" w:rsidP="006A23C7">
            <w:pPr>
              <w:pStyle w:val="EPTerm"/>
            </w:pPr>
            <w:r w:rsidRPr="00D22767">
              <w:t>2019-2024</w:t>
            </w:r>
          </w:p>
        </w:tc>
        <w:tc>
          <w:tcPr>
            <w:tcW w:w="2268" w:type="dxa"/>
            <w:shd w:val="clear" w:color="auto" w:fill="auto"/>
          </w:tcPr>
          <w:p w:rsidR="00775025" w:rsidRPr="00D22767" w:rsidRDefault="00775025" w:rsidP="00C85D0F">
            <w:pPr>
              <w:pStyle w:val="EPLogo"/>
            </w:pPr>
            <w:r w:rsidRPr="00D22767">
              <w:rPr>
                <w:noProof/>
                <w:lang w:eastAsia="pl-PL"/>
              </w:rPr>
              <w:drawing>
                <wp:inline distT="0" distB="0" distL="0" distR="0" wp14:anchorId="4B8BE00E" wp14:editId="501F4E6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F62566" w:rsidRPr="00D22767" w:rsidRDefault="00F62566" w:rsidP="00F62566">
      <w:pPr>
        <w:pStyle w:val="LineTop"/>
      </w:pPr>
    </w:p>
    <w:p w:rsidR="00F62566" w:rsidRPr="00D22767" w:rsidRDefault="00F62566" w:rsidP="00F62566">
      <w:pPr>
        <w:pStyle w:val="EPBody"/>
      </w:pPr>
      <w:r w:rsidRPr="00D22767">
        <w:rPr>
          <w:rStyle w:val="HideTWBExt"/>
        </w:rPr>
        <w:t>&lt;</w:t>
      </w:r>
      <w:r w:rsidRPr="00D22767">
        <w:rPr>
          <w:rStyle w:val="HideTWBExt"/>
          <w:i w:val="0"/>
        </w:rPr>
        <w:t>Commission</w:t>
      </w:r>
      <w:r w:rsidRPr="00D22767">
        <w:rPr>
          <w:rStyle w:val="HideTWBExt"/>
        </w:rPr>
        <w:t>&gt;</w:t>
      </w:r>
      <w:r w:rsidRPr="00D22767">
        <w:rPr>
          <w:rStyle w:val="HideTWBInt"/>
        </w:rPr>
        <w:t>{FEMM}</w:t>
      </w:r>
      <w:r w:rsidRPr="00D22767">
        <w:t>Komisja Praw Kobiet i Równouprawnienia</w:t>
      </w:r>
      <w:r w:rsidRPr="00D22767">
        <w:rPr>
          <w:rStyle w:val="HideTWBExt"/>
        </w:rPr>
        <w:t>&lt;/</w:t>
      </w:r>
      <w:r w:rsidRPr="00D22767">
        <w:rPr>
          <w:rStyle w:val="HideTWBExt"/>
          <w:i w:val="0"/>
        </w:rPr>
        <w:t>Commission</w:t>
      </w:r>
      <w:r w:rsidRPr="00D22767">
        <w:rPr>
          <w:rStyle w:val="HideTWBExt"/>
        </w:rPr>
        <w:t>&gt;</w:t>
      </w:r>
    </w:p>
    <w:p w:rsidR="00F62566" w:rsidRPr="00D22767" w:rsidRDefault="00F62566" w:rsidP="00F62566">
      <w:pPr>
        <w:pStyle w:val="LineBottom"/>
      </w:pPr>
    </w:p>
    <w:p w:rsidR="00C30AE5" w:rsidRPr="00D22767" w:rsidRDefault="00C30AE5">
      <w:pPr>
        <w:pStyle w:val="CoverReference"/>
      </w:pPr>
      <w:r w:rsidRPr="00D22767">
        <w:rPr>
          <w:rStyle w:val="HideTWBExt"/>
          <w:b w:val="0"/>
        </w:rPr>
        <w:t>&lt;RefProc&gt;</w:t>
      </w:r>
      <w:r w:rsidRPr="00D22767">
        <w:t>2022/0401</w:t>
      </w:r>
      <w:r w:rsidRPr="00D22767">
        <w:rPr>
          <w:rStyle w:val="HideTWBExt"/>
          <w:b w:val="0"/>
        </w:rPr>
        <w:t>&lt;/RefProc&gt;&lt;RefTypeProc&gt;</w:t>
      </w:r>
      <w:r w:rsidRPr="00D22767">
        <w:t>(APP)</w:t>
      </w:r>
      <w:r w:rsidRPr="00D22767">
        <w:rPr>
          <w:rStyle w:val="HideTWBExt"/>
          <w:b w:val="0"/>
        </w:rPr>
        <w:t>&lt;/RefTypeProc&gt;</w:t>
      </w:r>
    </w:p>
    <w:p w:rsidR="00C30AE5" w:rsidRPr="00D22767" w:rsidRDefault="00C30AE5">
      <w:pPr>
        <w:pStyle w:val="CoverDate"/>
      </w:pPr>
      <w:r w:rsidRPr="00D22767">
        <w:rPr>
          <w:rStyle w:val="HideTWBExt"/>
        </w:rPr>
        <w:t>&lt;Date&gt;</w:t>
      </w:r>
      <w:r w:rsidRPr="00D22767">
        <w:rPr>
          <w:rStyle w:val="HideTWBInt"/>
        </w:rPr>
        <w:t>{23/02/2024}</w:t>
      </w:r>
      <w:r w:rsidRPr="00D22767">
        <w:t>23.2.2024</w:t>
      </w:r>
      <w:r w:rsidRPr="00D22767">
        <w:rPr>
          <w:rStyle w:val="HideTWBExt"/>
        </w:rPr>
        <w:t>&lt;/Date&gt;</w:t>
      </w:r>
    </w:p>
    <w:p w:rsidR="00C30AE5" w:rsidRPr="00D22767" w:rsidRDefault="00C30AE5">
      <w:pPr>
        <w:pStyle w:val="CoverDocType"/>
      </w:pPr>
      <w:r w:rsidRPr="00D22767">
        <w:rPr>
          <w:rStyle w:val="HideTWBExt"/>
          <w:b w:val="0"/>
        </w:rPr>
        <w:t>&lt;RefProcLect&gt;</w:t>
      </w:r>
      <w:r w:rsidRPr="00D22767">
        <w:t>***</w:t>
      </w:r>
      <w:r w:rsidRPr="00D22767">
        <w:rPr>
          <w:rStyle w:val="HideTWBExt"/>
          <w:b w:val="0"/>
        </w:rPr>
        <w:t>&lt;/RefProcLect&gt;</w:t>
      </w:r>
    </w:p>
    <w:p w:rsidR="00C30AE5" w:rsidRPr="00D22767" w:rsidRDefault="00C30AE5">
      <w:pPr>
        <w:pStyle w:val="CoverDocType24a"/>
      </w:pPr>
      <w:r w:rsidRPr="00D22767">
        <w:rPr>
          <w:rStyle w:val="HideTWBExt"/>
          <w:b w:val="0"/>
        </w:rPr>
        <w:t>&lt;TitreType&gt;</w:t>
      </w:r>
      <w:r w:rsidRPr="00D22767">
        <w:t>PROJEKT ZALECENIA</w:t>
      </w:r>
      <w:r w:rsidRPr="00D22767">
        <w:rPr>
          <w:rStyle w:val="HideTWBExt"/>
          <w:b w:val="0"/>
        </w:rPr>
        <w:t>&lt;/TitreType&gt;</w:t>
      </w:r>
    </w:p>
    <w:p w:rsidR="00C30AE5" w:rsidRPr="00D22767" w:rsidRDefault="00C30AE5">
      <w:pPr>
        <w:pStyle w:val="CoverNormal"/>
      </w:pPr>
      <w:r w:rsidRPr="00D22767">
        <w:rPr>
          <w:rStyle w:val="HideTWBExt"/>
        </w:rPr>
        <w:t>&lt;Titre&gt;</w:t>
      </w:r>
      <w:r w:rsidRPr="00D22767">
        <w:t>w sprawie projektu dyrektywy Rady w sprawie norm dotyczących funkcjonowania organów ds. równości w obszarze równego traktowania osób bez względu na pochodzenie rasowe lub etniczne, równego traktowania osób w dziedzinie zatrudnienia i pracy bez względu na wyznawaną religię lub światopogląd, niepełnosprawność, wiek lub orientację seksualną, równego traktowania kobiet i mężczyzn w sprawach zabezpieczenia społecznego oraz w zakresie dostępu do towarów i usług oraz dostarczania towarów i usług, oraz w sprawie zmiany dyrektyw 2000/43/WE i 2004/113/WE</w:t>
      </w:r>
      <w:r w:rsidRPr="00D22767">
        <w:rPr>
          <w:rStyle w:val="HideTWBExt"/>
        </w:rPr>
        <w:t>&lt;/Titre&gt;</w:t>
      </w:r>
    </w:p>
    <w:p w:rsidR="00C30AE5" w:rsidRPr="00D22767" w:rsidRDefault="00C30AE5">
      <w:pPr>
        <w:pStyle w:val="CoverNormal24a"/>
      </w:pPr>
      <w:r w:rsidRPr="00D22767">
        <w:rPr>
          <w:rStyle w:val="HideTWBExt"/>
        </w:rPr>
        <w:t>&lt;DocRef&gt;</w:t>
      </w:r>
      <w:r w:rsidRPr="00D22767">
        <w:t>(10788/2023 – C9</w:t>
      </w:r>
      <w:r w:rsidRPr="00D22767">
        <w:noBreakHyphen/>
        <w:t>0031/2024 – 2022/0401(APP))</w:t>
      </w:r>
      <w:r w:rsidRPr="00D22767">
        <w:rPr>
          <w:rStyle w:val="HideTWBExt"/>
        </w:rPr>
        <w:t>&lt;/DocRef&gt;</w:t>
      </w:r>
    </w:p>
    <w:p w:rsidR="00C30AE5" w:rsidRPr="00D22767" w:rsidRDefault="00C30AE5">
      <w:pPr>
        <w:pStyle w:val="CoverNormal24a"/>
      </w:pPr>
      <w:r w:rsidRPr="00D22767">
        <w:rPr>
          <w:rStyle w:val="HideTWBExt"/>
        </w:rPr>
        <w:t>&lt;Commission&gt;</w:t>
      </w:r>
      <w:r w:rsidRPr="00D22767">
        <w:rPr>
          <w:rStyle w:val="HideTWBInt"/>
        </w:rPr>
        <w:t>{FEMM}</w:t>
      </w:r>
      <w:r w:rsidRPr="00D22767">
        <w:t>Komisja Praw Kobiet i Równouprawnienia</w:t>
      </w:r>
      <w:r w:rsidRPr="00D22767">
        <w:rPr>
          <w:rStyle w:val="HideTWBExt"/>
        </w:rPr>
        <w:t>&lt;/Commission&gt;</w:t>
      </w:r>
    </w:p>
    <w:p w:rsidR="00C30AE5" w:rsidRPr="00D22767" w:rsidRDefault="00960264">
      <w:pPr>
        <w:pStyle w:val="CoverNormal24a"/>
      </w:pPr>
      <w:r w:rsidRPr="00D22767">
        <w:t xml:space="preserve">Sprawozdawczyni: </w:t>
      </w:r>
      <w:r w:rsidRPr="00D22767">
        <w:rPr>
          <w:rStyle w:val="HideTWBExt"/>
        </w:rPr>
        <w:t>&lt;Depute&gt;</w:t>
      </w:r>
      <w:r w:rsidRPr="00D22767">
        <w:t>Sirpa Pietikäinen</w:t>
      </w:r>
      <w:r w:rsidRPr="00D22767">
        <w:rPr>
          <w:rStyle w:val="HideTWBExt"/>
        </w:rPr>
        <w:t>&lt;/Depute&gt;</w:t>
      </w:r>
    </w:p>
    <w:p w:rsidR="00E0654E" w:rsidRPr="00D22767" w:rsidRDefault="00E0654E" w:rsidP="002E40B4">
      <w:pPr>
        <w:pStyle w:val="CoverNormal"/>
      </w:pPr>
    </w:p>
    <w:p w:rsidR="006A23C7" w:rsidRPr="00D22767" w:rsidRDefault="00C30AE5" w:rsidP="00016E55">
      <w:r w:rsidRPr="00D22767">
        <w:br w:type="page"/>
      </w:r>
      <w:fldSimple w:instr=" TITLE  \* MERGEFORMAT ">
        <w:r w:rsidR="008974CF">
          <w:t>PR_APP</w:t>
        </w:r>
      </w:fldSimple>
    </w:p>
    <w:p w:rsidR="006A23C7" w:rsidRPr="00D22767" w:rsidRDefault="006A23C7" w:rsidP="00016E55"/>
    <w:p w:rsidR="006A23C7" w:rsidRPr="00D22767" w:rsidRDefault="006A23C7" w:rsidP="00016E55"/>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6A23C7" w:rsidRPr="00D22767">
        <w:tc>
          <w:tcPr>
            <w:tcW w:w="5811" w:type="dxa"/>
          </w:tcPr>
          <w:p w:rsidR="006A23C7" w:rsidRPr="00D22767" w:rsidRDefault="006A23C7" w:rsidP="00016E55">
            <w:pPr>
              <w:pStyle w:val="Lgendetitre"/>
            </w:pPr>
            <w:r w:rsidRPr="00D22767">
              <w:t>Objaśnienie używanych znaków</w:t>
            </w:r>
          </w:p>
        </w:tc>
      </w:tr>
      <w:tr w:rsidR="006A23C7" w:rsidRPr="00D22767" w:rsidTr="004247A2">
        <w:trPr>
          <w:cantSplit/>
          <w:trHeight w:val="1807"/>
        </w:trPr>
        <w:tc>
          <w:tcPr>
            <w:tcW w:w="5811" w:type="dxa"/>
            <w:tcBorders>
              <w:bottom w:val="single" w:sz="4" w:space="0" w:color="auto"/>
            </w:tcBorders>
          </w:tcPr>
          <w:p w:rsidR="006A23C7" w:rsidRPr="00D22767" w:rsidRDefault="006A23C7" w:rsidP="00717061">
            <w:pPr>
              <w:pStyle w:val="Lgendesigne"/>
            </w:pPr>
            <w:r w:rsidRPr="00D22767">
              <w:tab/>
              <w:t>*</w:t>
            </w:r>
            <w:r w:rsidRPr="00D22767">
              <w:tab/>
              <w:t>Procedura konsultacji</w:t>
            </w:r>
          </w:p>
          <w:p w:rsidR="006A23C7" w:rsidRPr="00D22767" w:rsidRDefault="006A23C7" w:rsidP="00717061">
            <w:pPr>
              <w:pStyle w:val="Lgendesigne"/>
            </w:pPr>
            <w:r w:rsidRPr="00D22767">
              <w:tab/>
              <w:t>***</w:t>
            </w:r>
            <w:r w:rsidRPr="00D22767">
              <w:tab/>
              <w:t>Procedura zgody</w:t>
            </w:r>
          </w:p>
          <w:p w:rsidR="006A23C7" w:rsidRPr="00D22767" w:rsidRDefault="006A23C7" w:rsidP="00717061">
            <w:pPr>
              <w:pStyle w:val="Lgendesigne"/>
            </w:pPr>
            <w:r w:rsidRPr="00D22767">
              <w:tab/>
              <w:t>***I</w:t>
            </w:r>
            <w:r w:rsidRPr="00D22767">
              <w:tab/>
              <w:t>Zwykła procedura ustawodawcza (pierwsze czytanie)</w:t>
            </w:r>
          </w:p>
          <w:p w:rsidR="006A23C7" w:rsidRPr="00D22767" w:rsidRDefault="006A23C7" w:rsidP="00717061">
            <w:pPr>
              <w:pStyle w:val="Lgendesigne"/>
            </w:pPr>
            <w:r w:rsidRPr="00D22767">
              <w:tab/>
              <w:t>***II</w:t>
            </w:r>
            <w:r w:rsidRPr="00D22767">
              <w:tab/>
              <w:t>Zwykła procedura ustawodawcza (drugie czytanie)</w:t>
            </w:r>
          </w:p>
          <w:p w:rsidR="006A23C7" w:rsidRPr="00D22767" w:rsidRDefault="006A23C7" w:rsidP="00717061">
            <w:pPr>
              <w:pStyle w:val="Lgendesigne"/>
            </w:pPr>
            <w:r w:rsidRPr="00D22767">
              <w:tab/>
              <w:t>***III</w:t>
            </w:r>
            <w:r w:rsidRPr="00D22767">
              <w:tab/>
              <w:t>Zwykła procedura ustawodawcza (trzecie czytanie)</w:t>
            </w:r>
          </w:p>
          <w:p w:rsidR="006A23C7" w:rsidRPr="00D22767" w:rsidRDefault="006A23C7" w:rsidP="00717061">
            <w:pPr>
              <w:pStyle w:val="Lgendestandard"/>
            </w:pPr>
          </w:p>
          <w:p w:rsidR="006A23C7" w:rsidRPr="00D22767" w:rsidRDefault="006A23C7" w:rsidP="00717061">
            <w:pPr>
              <w:pStyle w:val="Lgendestandard"/>
            </w:pPr>
            <w:r w:rsidRPr="00D22767">
              <w:t>(Wskazana procedura opiera się na podstawie prawnej zaproponowanej w projekcie aktu.)</w:t>
            </w:r>
          </w:p>
          <w:p w:rsidR="006A23C7" w:rsidRPr="00D22767" w:rsidRDefault="006A23C7" w:rsidP="00B837B7">
            <w:pPr>
              <w:pStyle w:val="Lgendestandard"/>
            </w:pPr>
          </w:p>
        </w:tc>
      </w:tr>
    </w:tbl>
    <w:p w:rsidR="006A23C7" w:rsidRPr="00D22767" w:rsidRDefault="006A23C7" w:rsidP="00016E55"/>
    <w:p w:rsidR="00C30AE5" w:rsidRPr="00D22767" w:rsidRDefault="00C30AE5" w:rsidP="00C1545A">
      <w:pPr>
        <w:widowControl/>
        <w:tabs>
          <w:tab w:val="center" w:pos="4677"/>
        </w:tabs>
      </w:pPr>
    </w:p>
    <w:p w:rsidR="00C30AE5" w:rsidRPr="00D22767" w:rsidRDefault="00C30AE5">
      <w:pPr>
        <w:pStyle w:val="TOCHeading"/>
      </w:pPr>
      <w:r w:rsidRPr="00D22767">
        <w:br w:type="page"/>
      </w:r>
      <w:r w:rsidRPr="00D22767">
        <w:lastRenderedPageBreak/>
        <w:t>SPIS TREŚCI</w:t>
      </w:r>
    </w:p>
    <w:p w:rsidR="00C30AE5" w:rsidRPr="00D22767" w:rsidRDefault="00960264">
      <w:pPr>
        <w:pStyle w:val="TOCPage"/>
      </w:pPr>
      <w:r w:rsidRPr="00D22767">
        <w:t>Strona</w:t>
      </w:r>
    </w:p>
    <w:p w:rsidR="008974CF" w:rsidRDefault="00753033">
      <w:pPr>
        <w:pStyle w:val="TOC1"/>
        <w:tabs>
          <w:tab w:val="right" w:leader="dot" w:pos="9060"/>
        </w:tabs>
        <w:rPr>
          <w:rFonts w:asciiTheme="minorHAnsi" w:eastAsiaTheme="minorEastAsia" w:hAnsiTheme="minorHAnsi" w:cstheme="minorBidi"/>
          <w:noProof/>
          <w:sz w:val="22"/>
          <w:szCs w:val="22"/>
          <w:lang w:eastAsia="pl-PL"/>
        </w:rPr>
      </w:pPr>
      <w:r w:rsidRPr="00D22767">
        <w:rPr>
          <w:b/>
        </w:rPr>
        <w:fldChar w:fldCharType="begin"/>
      </w:r>
      <w:r w:rsidRPr="00D22767">
        <w:rPr>
          <w:b/>
        </w:rPr>
        <w:instrText xml:space="preserve"> TOC \t "PageHeading</w:instrText>
      </w:r>
      <w:r w:rsidR="00300AD0" w:rsidRPr="00D22767">
        <w:rPr>
          <w:b/>
        </w:rPr>
        <w:instrText>;</w:instrText>
      </w:r>
      <w:r w:rsidRPr="00D22767">
        <w:rPr>
          <w:b/>
        </w:rPr>
        <w:instrText xml:space="preserve">1" </w:instrText>
      </w:r>
      <w:r w:rsidRPr="00D22767">
        <w:rPr>
          <w:b/>
        </w:rPr>
        <w:fldChar w:fldCharType="separate"/>
      </w:r>
      <w:r w:rsidR="008974CF">
        <w:rPr>
          <w:noProof/>
        </w:rPr>
        <w:t>PROJEKT REZOLUCJI USTAWODAWCZEJ PARLAMENTU EUROPEJSKIEGO</w:t>
      </w:r>
      <w:r w:rsidR="008974CF">
        <w:rPr>
          <w:noProof/>
        </w:rPr>
        <w:tab/>
      </w:r>
      <w:r w:rsidR="008974CF">
        <w:rPr>
          <w:noProof/>
        </w:rPr>
        <w:fldChar w:fldCharType="begin"/>
      </w:r>
      <w:r w:rsidR="008974CF">
        <w:rPr>
          <w:noProof/>
        </w:rPr>
        <w:instrText xml:space="preserve"> PAGEREF _Toc160611961 \h </w:instrText>
      </w:r>
      <w:r w:rsidR="008974CF">
        <w:rPr>
          <w:noProof/>
        </w:rPr>
      </w:r>
      <w:r w:rsidR="008974CF">
        <w:rPr>
          <w:noProof/>
        </w:rPr>
        <w:fldChar w:fldCharType="separate"/>
      </w:r>
      <w:r w:rsidR="008974CF">
        <w:rPr>
          <w:noProof/>
        </w:rPr>
        <w:t>5</w:t>
      </w:r>
      <w:r w:rsidR="008974CF">
        <w:rPr>
          <w:noProof/>
        </w:rPr>
        <w:fldChar w:fldCharType="end"/>
      </w:r>
    </w:p>
    <w:p w:rsidR="008974CF" w:rsidRDefault="008974CF">
      <w:pPr>
        <w:pStyle w:val="TOC1"/>
        <w:tabs>
          <w:tab w:val="right" w:leader="dot" w:pos="9060"/>
        </w:tabs>
        <w:rPr>
          <w:rFonts w:asciiTheme="minorHAnsi" w:eastAsiaTheme="minorEastAsia" w:hAnsiTheme="minorHAnsi" w:cstheme="minorBidi"/>
          <w:noProof/>
          <w:sz w:val="22"/>
          <w:szCs w:val="22"/>
          <w:lang w:eastAsia="pl-PL"/>
        </w:rPr>
      </w:pPr>
      <w:r>
        <w:rPr>
          <w:noProof/>
        </w:rPr>
        <w:t>UZASADNIENIE</w:t>
      </w:r>
      <w:r>
        <w:rPr>
          <w:noProof/>
        </w:rPr>
        <w:tab/>
      </w:r>
      <w:r>
        <w:rPr>
          <w:noProof/>
        </w:rPr>
        <w:fldChar w:fldCharType="begin"/>
      </w:r>
      <w:r>
        <w:rPr>
          <w:noProof/>
        </w:rPr>
        <w:instrText xml:space="preserve"> PAGEREF _Toc160611962 \h </w:instrText>
      </w:r>
      <w:r>
        <w:rPr>
          <w:noProof/>
        </w:rPr>
      </w:r>
      <w:r>
        <w:rPr>
          <w:noProof/>
        </w:rPr>
        <w:fldChar w:fldCharType="separate"/>
      </w:r>
      <w:r>
        <w:rPr>
          <w:noProof/>
        </w:rPr>
        <w:t>6</w:t>
      </w:r>
      <w:r>
        <w:rPr>
          <w:noProof/>
        </w:rPr>
        <w:fldChar w:fldCharType="end"/>
      </w:r>
    </w:p>
    <w:p w:rsidR="008974CF" w:rsidRDefault="008974CF">
      <w:pPr>
        <w:pStyle w:val="TOC1"/>
        <w:tabs>
          <w:tab w:val="right" w:leader="dot" w:pos="9060"/>
        </w:tabs>
        <w:rPr>
          <w:rFonts w:asciiTheme="minorHAnsi" w:eastAsiaTheme="minorEastAsia" w:hAnsiTheme="minorHAnsi" w:cstheme="minorBidi"/>
          <w:noProof/>
          <w:sz w:val="22"/>
          <w:szCs w:val="22"/>
          <w:lang w:eastAsia="pl-PL"/>
        </w:rPr>
      </w:pPr>
      <w:r>
        <w:rPr>
          <w:noProof/>
        </w:rPr>
        <w:t>ZAŁĄCZNIK: PODMIOTY LUB OSOBY, OD KTÓRYCH SPRAWOZDAWCZYNI OTRZYMAŁA INFORMACJE</w:t>
      </w:r>
      <w:r>
        <w:rPr>
          <w:noProof/>
        </w:rPr>
        <w:tab/>
      </w:r>
      <w:r>
        <w:rPr>
          <w:noProof/>
        </w:rPr>
        <w:fldChar w:fldCharType="begin"/>
      </w:r>
      <w:r>
        <w:rPr>
          <w:noProof/>
        </w:rPr>
        <w:instrText xml:space="preserve"> PAGEREF _Toc160611963 \h </w:instrText>
      </w:r>
      <w:r>
        <w:rPr>
          <w:noProof/>
        </w:rPr>
      </w:r>
      <w:r>
        <w:rPr>
          <w:noProof/>
        </w:rPr>
        <w:fldChar w:fldCharType="separate"/>
      </w:r>
      <w:r>
        <w:rPr>
          <w:noProof/>
        </w:rPr>
        <w:t>9</w:t>
      </w:r>
      <w:r>
        <w:rPr>
          <w:noProof/>
        </w:rPr>
        <w:fldChar w:fldCharType="end"/>
      </w:r>
    </w:p>
    <w:p w:rsidR="00C30AE5" w:rsidRPr="00D22767" w:rsidRDefault="00753033" w:rsidP="00E17125">
      <w:r w:rsidRPr="00D22767">
        <w:rPr>
          <w:b/>
        </w:rPr>
        <w:fldChar w:fldCharType="end"/>
      </w:r>
    </w:p>
    <w:p w:rsidR="00C30AE5" w:rsidRPr="00D22767" w:rsidRDefault="00C30AE5" w:rsidP="00D93935">
      <w:pPr>
        <w:pStyle w:val="PageHeading"/>
      </w:pPr>
      <w:r w:rsidRPr="00D22767">
        <w:br w:type="page"/>
      </w:r>
      <w:r w:rsidRPr="00D22767">
        <w:lastRenderedPageBreak/>
        <w:br w:type="page"/>
      </w:r>
      <w:bookmarkStart w:id="1" w:name="_Toc160611961"/>
      <w:r w:rsidRPr="00D22767">
        <w:lastRenderedPageBreak/>
        <w:t>PROJEKT REZOLUCJI USTAWODAWCZEJ PARLAMENTU EUROPEJSKIEGO</w:t>
      </w:r>
      <w:bookmarkEnd w:id="1"/>
    </w:p>
    <w:p w:rsidR="00C30AE5" w:rsidRPr="00D22767" w:rsidRDefault="00960264">
      <w:pPr>
        <w:pStyle w:val="NormalBold"/>
      </w:pPr>
      <w:r w:rsidRPr="00D22767">
        <w:t>w sprawie projektu dyrektywy Rady w sprawie norm dotyczących funkcjonowania organów ds. równości w obszarze równego traktowania osób bez względu na pochodzenie rasowe lub etniczne, równego traktowania osób w dziedzinie zatrudnienia i pracy bez względu na wyznawaną religię lub światopogląd, niepełnosprawność, wiek lub orientację seksualną, równego traktowania kobiet i mężczyzn w sprawach zabezpieczenia społecznego oraz w zakresie dostępu do towarów i usług oraz dostarczania towarów i usług, oraz w sprawie zmiany dyrektyw 2000/43/WE i 2004/113/WE</w:t>
      </w:r>
    </w:p>
    <w:p w:rsidR="00C30AE5" w:rsidRPr="00D22767" w:rsidRDefault="00960264" w:rsidP="002C558C">
      <w:pPr>
        <w:pStyle w:val="NormalBold12a"/>
      </w:pPr>
      <w:r w:rsidRPr="00D22767">
        <w:t>(10788/1/2023 – C9</w:t>
      </w:r>
      <w:r w:rsidRPr="00D22767">
        <w:noBreakHyphen/>
        <w:t>0031/2024 – 2022/0401(APP))</w:t>
      </w:r>
    </w:p>
    <w:p w:rsidR="00C30AE5" w:rsidRPr="00D22767" w:rsidRDefault="00960264" w:rsidP="002C558C">
      <w:pPr>
        <w:pStyle w:val="NormalBold"/>
      </w:pPr>
      <w:r w:rsidRPr="00D22767">
        <w:t>(Specjalna procedura ustawodawcza – zgoda)</w:t>
      </w:r>
    </w:p>
    <w:p w:rsidR="00C30AE5" w:rsidRPr="00D22767" w:rsidRDefault="00960264" w:rsidP="00063FC3">
      <w:pPr>
        <w:pStyle w:val="EPComma"/>
      </w:pPr>
      <w:r w:rsidRPr="00D22767">
        <w:rPr>
          <w:i/>
        </w:rPr>
        <w:t>Parlament Europejski</w:t>
      </w:r>
      <w:r w:rsidRPr="00D22767">
        <w:t>,</w:t>
      </w:r>
    </w:p>
    <w:p w:rsidR="00C30AE5" w:rsidRPr="00D22767" w:rsidRDefault="00C30AE5">
      <w:pPr>
        <w:pStyle w:val="NormalHanging12a"/>
      </w:pPr>
      <w:r w:rsidRPr="00D22767">
        <w:t>–</w:t>
      </w:r>
      <w:r w:rsidRPr="00D22767">
        <w:tab/>
        <w:t>uwzględniając projekt dyrektywy Rady (10788/1/2023),</w:t>
      </w:r>
    </w:p>
    <w:p w:rsidR="00C30AE5" w:rsidRPr="00D22767" w:rsidRDefault="00C30AE5">
      <w:pPr>
        <w:pStyle w:val="NormalHanging12a"/>
      </w:pPr>
      <w:r w:rsidRPr="00D22767">
        <w:t>–</w:t>
      </w:r>
      <w:r w:rsidRPr="00D22767">
        <w:tab/>
        <w:t>uwzględniając wniosek o wyrażenie zgody przedstawiony przez Radę na mocy art. 19 ust. 1 Traktatu o funkcjonowaniu Unii Europejskiej (C9</w:t>
      </w:r>
      <w:r w:rsidRPr="00D22767">
        <w:noBreakHyphen/>
        <w:t>0031/2024),</w:t>
      </w:r>
    </w:p>
    <w:p w:rsidR="00C30AE5" w:rsidRPr="00D22767" w:rsidRDefault="00C30AE5">
      <w:pPr>
        <w:pStyle w:val="NormalHanging12a"/>
      </w:pPr>
      <w:r w:rsidRPr="00D22767">
        <w:t>–</w:t>
      </w:r>
      <w:r w:rsidRPr="00D22767">
        <w:tab/>
        <w:t>uwzględniając art. 105 ust. 1 i 4 Regulaminu,</w:t>
      </w:r>
    </w:p>
    <w:p w:rsidR="00C30AE5" w:rsidRPr="00D22767" w:rsidRDefault="00C30AE5">
      <w:pPr>
        <w:pStyle w:val="NormalHanging12a"/>
      </w:pPr>
      <w:r w:rsidRPr="00D22767">
        <w:t>–</w:t>
      </w:r>
      <w:r w:rsidRPr="00D22767">
        <w:tab/>
        <w:t>uwzględniając zalecenie Komisji Praw Kobiet i Równouprawnienia (A9</w:t>
      </w:r>
      <w:r w:rsidRPr="00D22767">
        <w:noBreakHyphen/>
        <w:t>0000/2024),</w:t>
      </w:r>
    </w:p>
    <w:p w:rsidR="00C30AE5" w:rsidRPr="00D22767" w:rsidRDefault="00C30AE5">
      <w:pPr>
        <w:pStyle w:val="NormalHanging12a"/>
      </w:pPr>
      <w:r w:rsidRPr="00D22767">
        <w:t>1.</w:t>
      </w:r>
      <w:r w:rsidRPr="00D22767">
        <w:tab/>
        <w:t>wyraża zgodę na projekt dyrektywy Rady;</w:t>
      </w:r>
    </w:p>
    <w:p w:rsidR="00E04F40" w:rsidRPr="00D22767" w:rsidRDefault="00C30AE5">
      <w:pPr>
        <w:pStyle w:val="NormalHanging12a"/>
        <w:sectPr w:rsidR="00E04F40" w:rsidRPr="00D22767" w:rsidSect="00D22767">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r w:rsidRPr="00D22767">
        <w:t>2.</w:t>
      </w:r>
      <w:r w:rsidRPr="00D22767">
        <w:tab/>
        <w:t>zobowiązuje swoją przewodniczącą do przekazania stanowiska Parlamentu Radzie i Komisji oraz parlamentom narodowym.</w:t>
      </w:r>
    </w:p>
    <w:p w:rsidR="00C30AE5" w:rsidRPr="00D22767" w:rsidRDefault="00E04F40" w:rsidP="00E04F40">
      <w:pPr>
        <w:pStyle w:val="PageHeading"/>
      </w:pPr>
      <w:bookmarkStart w:id="2" w:name="_Toc160611962"/>
      <w:r w:rsidRPr="00D22767">
        <w:lastRenderedPageBreak/>
        <w:t>UZASADNIENIE</w:t>
      </w:r>
      <w:bookmarkEnd w:id="2"/>
    </w:p>
    <w:p w:rsidR="00E04F40" w:rsidRPr="00D22767" w:rsidRDefault="00E04F40" w:rsidP="00E04F40">
      <w:r w:rsidRPr="00D22767">
        <w:t>Krajowe organy ds. równości to organizacje publiczne, które promują równe traktowanie w każdym państwie członkowskim Unii Europejskiej poprzez udzielanie niezależnej pomocy ofiarom dyskryminacji, podejmowanie czynności lub reprezentowanie ofiar w sądzie, prowadzenie niezależnych badań i dochodzeń, publikowanie niezależnych sprawozdań, gromadzenie danych, podnoszenie świadomości i wydawanie zaleceń w kwestiach związanych z dyskryminacją. Są one do tego prawnie zobowiązane w przypadku dyskryminacji z jakichkolwiek względów określonych w art. 19 TFUE, w tym ze względu na płeć, rasę i pochodzenie etniczne, wiek, orientację seksualną, religię lub przekonania oraz niepełnosprawność. Organy ds. równości są do tego również zobowiązane w przypadku dyskryminacji z wielu przyczyn jednocześnie i dyskryminacji krzyżowej. Aby odzwierciedlić przemiany zachodzące w społeczeństwie i zapewnić zgodność z orzecznictwem TSUE, zakres zasady równego traktowania mężczyzn i kobiet nie może ograniczać się do dyskryminacji ze względu na fakt, że dana osoba jest takiej czy innej płci. Należy zatem wziąć pod uwagę dyskryminację krzyżową i z wielu przyczyn jednocześnie.</w:t>
      </w:r>
    </w:p>
    <w:p w:rsidR="00E04F40" w:rsidRPr="00D22767" w:rsidRDefault="00E04F40" w:rsidP="00E04F40"/>
    <w:p w:rsidR="00E04F40" w:rsidRPr="00D22767" w:rsidRDefault="00E04F40" w:rsidP="00E04F40">
      <w:r w:rsidRPr="00D22767">
        <w:t xml:space="preserve">Organy ds. równości są głównymi podmiotami, jeśli chodzi o przeciwdziałanie dyskryminacji w UE, a ich zdolności do udzielania pomocy ofiarom dyskryminacji i promowania przeciwdziałania dyskryminacji w UE wymagają zarówno wzmocnienia, jak i wsparcia. Wartości Unii Europejskiej, w tym równość, mogą stać się rzeczywistością tylko wtedy, gdy zostaną właściwie wdrożone w praktyce. Dlatego też dyrektywa ta jest ważna. Przyczynia się bowiem do realizacji celów Traktatów nie tylko w teorii, ale również w praktyce. </w:t>
      </w:r>
    </w:p>
    <w:p w:rsidR="00E04F40" w:rsidRPr="00D22767" w:rsidRDefault="00E04F40" w:rsidP="00E04F40"/>
    <w:p w:rsidR="00E04F40" w:rsidRPr="00D22767" w:rsidRDefault="00E04F40" w:rsidP="00E04F40">
      <w:r w:rsidRPr="00D22767">
        <w:t>Ze względu na swoją szczególną rolę organy ds. równości są również zaangażowane w sprawy związane z miejscem pracy. W tej szczególnej sytuacji organy ds. równości powinny zawsze szanować autonomię, kompetencje i prerogatywy partnerów społecznych, a także uznane kompetencje wszystkich właściwych agencji rządowych, w tym inspektoratów pracy, sądów krajowych lub trybunałów ustawowych, zgodnie z prawem krajowym i praktykami krajowymi.</w:t>
      </w:r>
    </w:p>
    <w:p w:rsidR="00E04F40" w:rsidRPr="00D22767" w:rsidRDefault="00E04F40" w:rsidP="00E04F40"/>
    <w:p w:rsidR="00E04F40" w:rsidRPr="00D22767" w:rsidRDefault="00E04F40" w:rsidP="00E04F40">
      <w:r w:rsidRPr="00D22767">
        <w:t>Pierwsze organy ds. równości ustanowiono dyrektywą w sprawie równości rasowej (2000/43/WE). W trzech innych dyrektywach dotyczących równości organom ds. równości powierzono te same zadania w dziedzinach objętych zakresem tych dyrektyw, a mianowicie: w dyrektywie w sprawie równego traktowania kobiet i mężczyzn w zakresie dostępu do towarów i usług (2004/113/WE), w dyrektywie w sprawie równego traktowania kobiet i mężczyzn w dziedzinie zatrudnienia (2006/54/WE) oraz w dyrektywie w sprawie równego traktowania kobiet i mężczyzn prowadzących działalność na własny rachunek (2010/41/UE).</w:t>
      </w:r>
    </w:p>
    <w:p w:rsidR="00E04F40" w:rsidRPr="00D22767" w:rsidRDefault="00E04F40" w:rsidP="00E04F40"/>
    <w:p w:rsidR="00E04F40" w:rsidRPr="00D22767" w:rsidRDefault="00E04F40" w:rsidP="00E04F40">
      <w:r w:rsidRPr="00D22767">
        <w:t>W 2018 r. Komisja wydała pozytywne zalecenie w sprawie wiążących norm dla organów ds. równości, w którym zaleciła państwom członkowskim zestaw środków służących poprawie niezależności i skuteczności ich odpowiednich organów ds. równości, w szczególności pod względem ich zdolności do zadbania o to, aby wszelkie dyskryminowane osoby i grupy mogły w pełni korzystać z przysługujących im praw.</w:t>
      </w:r>
    </w:p>
    <w:p w:rsidR="00E04F40" w:rsidRPr="00D22767" w:rsidRDefault="00E04F40" w:rsidP="00E04F40"/>
    <w:p w:rsidR="00E04F40" w:rsidRPr="00D22767" w:rsidRDefault="00E04F40" w:rsidP="00E04F40">
      <w:r w:rsidRPr="00D22767">
        <w:t xml:space="preserve">Pomimo tych wysiłków w obowiązujących przepisach i zaleceniu z 2018 r. nie zapewniono jednak organom ds. równości wystarczających zasobów i narzędzi ani idealnych warunków prowadzenia działalności. Większości problemów, do których odniesiono się w zaleceniu z 2018 r., dotychczas nie rozwiązano. Ponadto warunki skutecznego funkcjonowania organów </w:t>
      </w:r>
      <w:r w:rsidRPr="00D22767">
        <w:lastRenderedPageBreak/>
        <w:t xml:space="preserve">ds. równości różnią się znacznie w poszczególnych państwach członkowskich. W rezultacie poziom ochrony obywateli przed dyskryminacją w Europie jest niejednorodny, asymetryczny i niespójny. Nie każdy jest chroniony zgodnie z tymi samymi normami. Należy to szybko skorygować, a różnice w poziomie ochrony między grupami osób w różnych państwach członkowskich muszą być przejrzyste. </w:t>
      </w:r>
    </w:p>
    <w:p w:rsidR="00E04F40" w:rsidRPr="00D22767" w:rsidRDefault="00E04F40" w:rsidP="00E04F40"/>
    <w:p w:rsidR="00E04F40" w:rsidRPr="00D22767" w:rsidRDefault="00E04F40" w:rsidP="00E04F40">
      <w:r w:rsidRPr="00D22767">
        <w:t>Aby osiągnąć ten cel, potrzebne są solidne minimalne normy dla organów ds. równości. Podstawą dobrze funkcjonujących organów ds. równości w państwach demokratycznych jest niezależność tych organów. Organy ds. równości i ich pracownicy muszą być wolni od wszelkich ingerencji zewnętrznych, co należy zapewnić przy użyciu wszelkich możliwych zabezpieczeń. Organy ds. równości muszą być rzeczywiście w stanie zachować niezależność w swoich działaniach. W tym celu należy zagwarantować odpowiednie finansowanie, które odpowiada kwocie i charakterowi zadań organu ds. równości, co zbyt często nie ma miejsca. Organy ds. równości nigdy nie powinny musieć mierzyć się z tą samą, godną ubolewania sytuacją, z którą na przykład mierzą się Europejski Instytut ds. Równości Kobiet i Mężczyzn (EIGE) i szereg innych agencji, a mianowicie z niedoborem personelu i niewystarczającymi zasobami w sytuacji coraz większego obciążenia pracą i coraz liczniejszymi wnioskami o przeprowadzenie analiz.</w:t>
      </w:r>
    </w:p>
    <w:p w:rsidR="00E04F40" w:rsidRPr="00D22767" w:rsidRDefault="00E04F40" w:rsidP="00E04F40"/>
    <w:p w:rsidR="00E04F40" w:rsidRPr="00D22767" w:rsidRDefault="00E04F40" w:rsidP="00E04F40">
      <w:r w:rsidRPr="00D22767">
        <w:t>Skuteczny organ ds. równości jest uprawniony do rozstrzygania sporów. Obecnie organy ds. równości w niektórych państwach członkowskich UE nie mają prawa do podejmowania czynności przed sądem. Organy ds. równości powinny mieć prawo do występowania w charakterze strony w postępowaniu, do przedkładania uwag sądowi lub do wszczynania postępowania lub uczestniczenia w nim w imieniu lub na rzecz ofiary lub ofiar.</w:t>
      </w:r>
    </w:p>
    <w:p w:rsidR="00E04F40" w:rsidRPr="00D22767" w:rsidRDefault="00E04F40" w:rsidP="00E04F40"/>
    <w:p w:rsidR="00E04F40" w:rsidRPr="00D22767" w:rsidRDefault="00E04F40" w:rsidP="00E04F40">
      <w:r w:rsidRPr="00D22767">
        <w:t>Nie wszystkie sprawy trafiają jednak do sądu i nie powinno być takiej potrzeby. Aby dostępne były szybkie, przystępne cenowo, pozasądowe sposoby rozstrzygania sporów, państwa członkowskie powinny także zapewnić stronom możliwość polubownego rozstrzygnięcia sporu, np. w postępowaniu pojednawczym i mediacyjnym, które może prowadzić organ ds. równości lub inny istniejący specjalny podmiot niezwiązany z rządem.</w:t>
      </w:r>
    </w:p>
    <w:p w:rsidR="00E04F40" w:rsidRPr="00D22767" w:rsidRDefault="00E04F40" w:rsidP="00E04F40"/>
    <w:p w:rsidR="00E04F40" w:rsidRPr="00D22767" w:rsidRDefault="00E04F40" w:rsidP="00E04F40">
      <w:r w:rsidRPr="00D22767">
        <w:t>Monitorowanie jest kluczowe dla zadbania o to, aby organy ds. równości rzeczywiście korzystały z praw przyznanych im na mocy tych przepisów. Komisja musi określić w drodze aktu wykonawczego wykaz wspólnych wskaźników służących monitorowaniu. W ramach tych prac Komisja powinna ściśle współpracować z innymi właściwymi instytutami. Komisja musi również regularnie oceniać sytuację w zakresie dyskryminacji w każdym państwie członkowskim.</w:t>
      </w:r>
    </w:p>
    <w:p w:rsidR="00E04F40" w:rsidRPr="00D22767" w:rsidRDefault="00E04F40" w:rsidP="00E04F40"/>
    <w:p w:rsidR="00E04F40" w:rsidRPr="00D22767" w:rsidRDefault="00E04F40" w:rsidP="00E04F40">
      <w:r w:rsidRPr="00D22767">
        <w:t>Podobnie jak we wszystkich obszarach polityki, współpraca ma kluczowe znaczenie. Państwa członkowskie powinny zadbać o to, aby organy ds. równości były wyposażone w odpowiednie mechanizmy współpracy z innymi organami ds. równości w tym samym państwie członkowskim oraz z innymi właściwymi organami publicznymi i prywatnymi, w tym organizacjami społeczeństwa obywatelskiego, na szczeblu krajowym, regionalnym i lokalnym, a także z podmiotami w innych państwach członkowskich, oraz na poziomie unijnym i międzynarodowym. Samorządy lokalne powinny mieć możliwość zwrócenia się do organów ds. równości, gdy widzą przykłady dyskryminacji na szczeblu krajowym, a organy ds. równości powinny mieć również prawo do współpracy z EIGE, FRA i Equinetem, a także z partnerami społecznymi i inspektoratami pracy.</w:t>
      </w:r>
    </w:p>
    <w:p w:rsidR="00E04F40" w:rsidRPr="00D22767" w:rsidRDefault="00E04F40" w:rsidP="00E04F40"/>
    <w:p w:rsidR="00A01BD5" w:rsidRPr="00D22767" w:rsidRDefault="00E04F40" w:rsidP="00E04F40">
      <w:r w:rsidRPr="00D22767">
        <w:t xml:space="preserve">Zdecydowanie zbyt często prawa człowieka przysługujące obywatelom na całym kontynencie </w:t>
      </w:r>
      <w:r w:rsidRPr="00D22767">
        <w:lastRenderedPageBreak/>
        <w:t>są lekceważone i ignorowane. Dzięki niniejszemu wnioskowi ustawodawczemu i ustanowionym w nim minimalnym normom obywatele we wszystkich państwach członkowskich będą mogli korzystać z większego poziomu ochrony przed dyskryminacją. Jednocześnie państwa członkowskie mogą stosować lub wprowadzać przepisy ustawowe, wykonawcze lub administracyjne, które są korzystniejsze od minimalnych norm określonych w niniejszej dyrektywie. Nie ma czasu do stracenia – powodzenie tych przepisów jest kluczowe dla zachowania naszych podstawowych wartości unijnych.</w:t>
      </w:r>
    </w:p>
    <w:p w:rsidR="00A01BD5" w:rsidRPr="00D22767" w:rsidRDefault="00A01BD5">
      <w:pPr>
        <w:widowControl/>
        <w:sectPr w:rsidR="00A01BD5" w:rsidRPr="00D22767" w:rsidSect="00A01BD5">
          <w:footnotePr>
            <w:numRestart w:val="eachSect"/>
          </w:footnotePr>
          <w:endnotePr>
            <w:numFmt w:val="decimal"/>
          </w:endnotePr>
          <w:pgSz w:w="11906" w:h="16838" w:code="9"/>
          <w:pgMar w:top="1134" w:right="1418" w:bottom="1418" w:left="1418" w:header="1134" w:footer="567" w:gutter="0"/>
          <w:cols w:space="720"/>
          <w:noEndnote/>
          <w:docGrid w:linePitch="326"/>
        </w:sectPr>
      </w:pPr>
    </w:p>
    <w:p w:rsidR="00A01BD5" w:rsidRPr="00D22767" w:rsidRDefault="00A01BD5">
      <w:pPr>
        <w:widowControl/>
      </w:pPr>
    </w:p>
    <w:p w:rsidR="00A01BD5" w:rsidRPr="00D22767" w:rsidRDefault="00A01BD5" w:rsidP="00A01BD5"/>
    <w:p w:rsidR="00A01BD5" w:rsidRPr="00D22767" w:rsidRDefault="00A01BD5" w:rsidP="000A0FF0">
      <w:pPr>
        <w:pStyle w:val="PageHeading"/>
        <w:rPr>
          <w:noProof/>
        </w:rPr>
      </w:pPr>
      <w:bookmarkStart w:id="3" w:name="FootprintPageRR"/>
      <w:bookmarkStart w:id="4" w:name="_Toc160611963"/>
      <w:r w:rsidRPr="00D22767">
        <w:t>ZAŁĄCZNIK: PODMIOTY LUB OSOBY,</w:t>
      </w:r>
      <w:r w:rsidRPr="00D22767">
        <w:br/>
        <w:t>OD KTÓRYCH SPRAWOZDAWCZYNI OTRZYMAŁA INFORMACJE</w:t>
      </w:r>
      <w:bookmarkEnd w:id="4"/>
    </w:p>
    <w:p w:rsidR="00A01BD5" w:rsidRPr="00D22767" w:rsidRDefault="00A01BD5" w:rsidP="00037518">
      <w:pPr>
        <w:pStyle w:val="Normal24a"/>
      </w:pPr>
      <w:r w:rsidRPr="00D22767">
        <w:rPr>
          <w:rStyle w:val="HideTWBExt"/>
        </w:rPr>
        <w:t>&lt;FootprintIntro&gt;</w:t>
      </w:r>
      <w:r w:rsidRPr="00D22767">
        <w:t>Zgodnie z art. 8 załącznika I do Regulaminu sprawozdawczyni oświadcza, że przy sporządzaniu projektu sprawozdania otrzymała informacje od następujących podmiotów lub osób::</w:t>
      </w:r>
      <w:r w:rsidRPr="00D22767">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A01BD5" w:rsidRPr="00D22767" w:rsidTr="00A81CDF">
        <w:tc>
          <w:tcPr>
            <w:tcW w:w="9060" w:type="dxa"/>
            <w:shd w:val="clear" w:color="auto" w:fill="auto"/>
          </w:tcPr>
          <w:p w:rsidR="00A01BD5" w:rsidRPr="00D22767" w:rsidRDefault="00A01BD5" w:rsidP="00A01BD5">
            <w:pPr>
              <w:pStyle w:val="NormalBoldCenter"/>
            </w:pPr>
            <w:r w:rsidRPr="00D22767">
              <w:t>Podmiot lub osoba</w:t>
            </w:r>
          </w:p>
        </w:tc>
      </w:tr>
      <w:tr w:rsidR="00A01BD5" w:rsidRPr="00D22767" w:rsidTr="00A81CDF">
        <w:tc>
          <w:tcPr>
            <w:tcW w:w="9060" w:type="dxa"/>
            <w:shd w:val="clear" w:color="auto" w:fill="auto"/>
          </w:tcPr>
          <w:p w:rsidR="00A01BD5" w:rsidRPr="00D22767" w:rsidRDefault="00A01BD5" w:rsidP="00A01BD5">
            <w:pPr>
              <w:rPr>
                <w:b/>
              </w:rPr>
            </w:pPr>
            <w:r w:rsidRPr="00D22767">
              <w:rPr>
                <w:snapToGrid w:val="0"/>
              </w:rPr>
              <w:t>Europejska Konfederacja Niezależnych Związków Zawodowych.</w:t>
            </w:r>
          </w:p>
        </w:tc>
      </w:tr>
      <w:tr w:rsidR="00A01BD5" w:rsidRPr="00D22767" w:rsidTr="00A81CDF">
        <w:tc>
          <w:tcPr>
            <w:tcW w:w="9060" w:type="dxa"/>
            <w:shd w:val="clear" w:color="auto" w:fill="auto"/>
          </w:tcPr>
          <w:p w:rsidR="00A01BD5" w:rsidRPr="00D22767" w:rsidRDefault="00A01BD5" w:rsidP="00A01BD5">
            <w:pPr>
              <w:rPr>
                <w:snapToGrid w:val="0"/>
              </w:rPr>
            </w:pPr>
            <w:r w:rsidRPr="00D22767">
              <w:rPr>
                <w:snapToGrid w:val="0"/>
              </w:rPr>
              <w:t>Europejskie Forum Osób z Niepełnosprawnościami</w:t>
            </w:r>
          </w:p>
        </w:tc>
      </w:tr>
      <w:tr w:rsidR="00A01BD5" w:rsidRPr="00D22767" w:rsidTr="00A81CDF">
        <w:tc>
          <w:tcPr>
            <w:tcW w:w="9060" w:type="dxa"/>
            <w:shd w:val="clear" w:color="auto" w:fill="auto"/>
          </w:tcPr>
          <w:p w:rsidR="00A01BD5" w:rsidRPr="00D22767" w:rsidRDefault="00A01BD5" w:rsidP="00A01BD5">
            <w:pPr>
              <w:rPr>
                <w:snapToGrid w:val="0"/>
              </w:rPr>
            </w:pPr>
            <w:r w:rsidRPr="00D22767">
              <w:rPr>
                <w:snapToGrid w:val="0"/>
              </w:rPr>
              <w:t>Europejska Sieć Krajowych Organów ds. Równości</w:t>
            </w:r>
          </w:p>
        </w:tc>
      </w:tr>
      <w:tr w:rsidR="00A01BD5" w:rsidRPr="00D22767" w:rsidTr="00A81CDF">
        <w:tc>
          <w:tcPr>
            <w:tcW w:w="9060" w:type="dxa"/>
            <w:shd w:val="clear" w:color="auto" w:fill="auto"/>
          </w:tcPr>
          <w:p w:rsidR="00A01BD5" w:rsidRPr="00D22767" w:rsidRDefault="00A01BD5" w:rsidP="00A01BD5">
            <w:r w:rsidRPr="00D22767">
              <w:rPr>
                <w:snapToGrid w:val="0"/>
              </w:rPr>
              <w:t>Fiński Rzecznik ds. Równości</w:t>
            </w:r>
          </w:p>
        </w:tc>
      </w:tr>
    </w:tbl>
    <w:p w:rsidR="00A01BD5" w:rsidRPr="00D22767" w:rsidRDefault="00A01BD5" w:rsidP="00837211"/>
    <w:p w:rsidR="00A01BD5" w:rsidRPr="00D22767" w:rsidRDefault="00A01BD5" w:rsidP="00AD5932">
      <w:pPr>
        <w:rPr>
          <w:szCs w:val="24"/>
        </w:rPr>
      </w:pPr>
      <w:r w:rsidRPr="00D22767">
        <w:t>Powyższy wykaz został sporządzony na wyłączną odpowiedzialność sprawozdawczyni.</w:t>
      </w:r>
    </w:p>
    <w:p w:rsidR="00A01BD5" w:rsidRPr="00D22767" w:rsidRDefault="00A01BD5" w:rsidP="00A01BD5"/>
    <w:bookmarkEnd w:id="3"/>
    <w:p w:rsidR="00E04F40" w:rsidRPr="00D22767" w:rsidRDefault="00E04F40" w:rsidP="00E04F40"/>
    <w:sectPr w:rsidR="00E04F40" w:rsidRPr="00D22767" w:rsidSect="00A01BD5">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0264" w:rsidRPr="00D22767" w:rsidRDefault="00960264">
      <w:r w:rsidRPr="00D22767">
        <w:separator/>
      </w:r>
    </w:p>
  </w:endnote>
  <w:endnote w:type="continuationSeparator" w:id="0">
    <w:p w:rsidR="00960264" w:rsidRPr="00D22767" w:rsidRDefault="00960264">
      <w:r w:rsidRPr="00D2276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2767" w:rsidRPr="00D22767" w:rsidRDefault="00D22767" w:rsidP="00D22767">
    <w:pPr>
      <w:pStyle w:val="EPFooter"/>
    </w:pPr>
    <w:r w:rsidRPr="00D22767">
      <w:t>PE</w:t>
    </w:r>
    <w:r w:rsidRPr="00D22767">
      <w:rPr>
        <w:rStyle w:val="HideTWBExt"/>
      </w:rPr>
      <w:t>&lt;NoPE&gt;</w:t>
    </w:r>
    <w:r w:rsidRPr="00D22767">
      <w:t>759.668</w:t>
    </w:r>
    <w:r w:rsidRPr="00D22767">
      <w:rPr>
        <w:rStyle w:val="HideTWBExt"/>
      </w:rPr>
      <w:t>&lt;/NoPE&gt;&lt;Version&gt;</w:t>
    </w:r>
    <w:r w:rsidRPr="00D22767">
      <w:t>v01-00</w:t>
    </w:r>
    <w:r w:rsidRPr="00D22767">
      <w:rPr>
        <w:rStyle w:val="HideTWBExt"/>
      </w:rPr>
      <w:t>&lt;/Version&gt;</w:t>
    </w:r>
    <w:r w:rsidRPr="00D22767">
      <w:tab/>
    </w:r>
    <w:r w:rsidRPr="00D22767">
      <w:fldChar w:fldCharType="begin"/>
    </w:r>
    <w:r w:rsidRPr="00D22767">
      <w:instrText xml:space="preserve"> PAGE  \* MERGEFORMAT </w:instrText>
    </w:r>
    <w:r w:rsidRPr="00D22767">
      <w:fldChar w:fldCharType="separate"/>
    </w:r>
    <w:r w:rsidR="008974CF">
      <w:rPr>
        <w:noProof/>
      </w:rPr>
      <w:t>2</w:t>
    </w:r>
    <w:r w:rsidRPr="00D22767">
      <w:fldChar w:fldCharType="end"/>
    </w:r>
    <w:r w:rsidRPr="00D22767">
      <w:t>/</w:t>
    </w:r>
    <w:fldSimple w:instr=" NUMPAGES  \* MERGEFORMAT ">
      <w:r w:rsidR="008974CF">
        <w:rPr>
          <w:noProof/>
        </w:rPr>
        <w:t>9</w:t>
      </w:r>
    </w:fldSimple>
    <w:r w:rsidRPr="00D22767">
      <w:tab/>
    </w:r>
    <w:r w:rsidRPr="00D22767">
      <w:rPr>
        <w:rStyle w:val="HideTWBExt"/>
      </w:rPr>
      <w:t>&lt;PathFdR&gt;</w:t>
    </w:r>
    <w:r w:rsidRPr="00D22767">
      <w:t>PR\1297360PL.docx</w:t>
    </w:r>
    <w:r w:rsidRPr="00D22767">
      <w:rPr>
        <w:rStyle w:val="HideTWBExt"/>
      </w:rPr>
      <w:t>&lt;/PathFdR&gt;</w:t>
    </w:r>
  </w:p>
  <w:p w:rsidR="00557DB9" w:rsidRPr="00D22767" w:rsidRDefault="00D22767" w:rsidP="00D22767">
    <w:pPr>
      <w:pStyle w:val="EPFooter2"/>
    </w:pPr>
    <w:r w:rsidRPr="00D22767">
      <w:t>PL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2767" w:rsidRPr="00D22767" w:rsidRDefault="00D22767" w:rsidP="00D22767">
    <w:pPr>
      <w:pStyle w:val="EPFooter"/>
    </w:pPr>
    <w:r w:rsidRPr="00D22767">
      <w:rPr>
        <w:rStyle w:val="HideTWBExt"/>
      </w:rPr>
      <w:t>&lt;PathFdR&gt;</w:t>
    </w:r>
    <w:r w:rsidRPr="00D22767">
      <w:t>PR\1297360PL.docx</w:t>
    </w:r>
    <w:r w:rsidRPr="00D22767">
      <w:rPr>
        <w:rStyle w:val="HideTWBExt"/>
      </w:rPr>
      <w:t>&lt;/PathFdR&gt;</w:t>
    </w:r>
    <w:r w:rsidRPr="00D22767">
      <w:tab/>
    </w:r>
    <w:r w:rsidRPr="00D22767">
      <w:fldChar w:fldCharType="begin"/>
    </w:r>
    <w:r w:rsidRPr="00D22767">
      <w:instrText xml:space="preserve"> PAGE  \* MERGEFORMAT </w:instrText>
    </w:r>
    <w:r w:rsidRPr="00D22767">
      <w:fldChar w:fldCharType="separate"/>
    </w:r>
    <w:r w:rsidR="008974CF">
      <w:rPr>
        <w:noProof/>
      </w:rPr>
      <w:t>9</w:t>
    </w:r>
    <w:r w:rsidRPr="00D22767">
      <w:fldChar w:fldCharType="end"/>
    </w:r>
    <w:r w:rsidRPr="00D22767">
      <w:t>/</w:t>
    </w:r>
    <w:fldSimple w:instr=" NUMPAGES  \* MERGEFORMAT ">
      <w:r w:rsidR="008974CF">
        <w:rPr>
          <w:noProof/>
        </w:rPr>
        <w:t>9</w:t>
      </w:r>
    </w:fldSimple>
    <w:r w:rsidRPr="00D22767">
      <w:tab/>
      <w:t>PE</w:t>
    </w:r>
    <w:r w:rsidRPr="00D22767">
      <w:rPr>
        <w:rStyle w:val="HideTWBExt"/>
      </w:rPr>
      <w:t>&lt;NoPE&gt;</w:t>
    </w:r>
    <w:r w:rsidRPr="00D22767">
      <w:t>759.668</w:t>
    </w:r>
    <w:r w:rsidRPr="00D22767">
      <w:rPr>
        <w:rStyle w:val="HideTWBExt"/>
      </w:rPr>
      <w:t>&lt;/NoPE&gt;&lt;Version&gt;</w:t>
    </w:r>
    <w:r w:rsidRPr="00D22767">
      <w:t>v01-00</w:t>
    </w:r>
    <w:r w:rsidRPr="00D22767">
      <w:rPr>
        <w:rStyle w:val="HideTWBExt"/>
      </w:rPr>
      <w:t>&lt;/Version&gt;</w:t>
    </w:r>
  </w:p>
  <w:p w:rsidR="00557DB9" w:rsidRPr="00D22767" w:rsidRDefault="00D22767" w:rsidP="00D22767">
    <w:pPr>
      <w:pStyle w:val="EPFooter2"/>
    </w:pPr>
    <w:r w:rsidRPr="00D22767">
      <w:tab/>
    </w:r>
    <w:r w:rsidRPr="00D22767">
      <w:tab/>
      <w:t>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2767" w:rsidRPr="00D22767" w:rsidRDefault="00D22767" w:rsidP="00D22767">
    <w:pPr>
      <w:pStyle w:val="EPFooter"/>
    </w:pPr>
    <w:r w:rsidRPr="00D22767">
      <w:rPr>
        <w:rStyle w:val="HideTWBExt"/>
      </w:rPr>
      <w:t>&lt;PathFdR&gt;</w:t>
    </w:r>
    <w:r w:rsidRPr="00D22767">
      <w:t>PR\1297360PL.docx</w:t>
    </w:r>
    <w:r w:rsidRPr="00D22767">
      <w:rPr>
        <w:rStyle w:val="HideTWBExt"/>
      </w:rPr>
      <w:t>&lt;/PathFdR&gt;</w:t>
    </w:r>
    <w:r w:rsidRPr="00D22767">
      <w:tab/>
    </w:r>
    <w:r w:rsidRPr="00D22767">
      <w:tab/>
      <w:t>PE</w:t>
    </w:r>
    <w:r w:rsidRPr="00D22767">
      <w:rPr>
        <w:rStyle w:val="HideTWBExt"/>
      </w:rPr>
      <w:t>&lt;NoPE&gt;</w:t>
    </w:r>
    <w:r w:rsidRPr="00D22767">
      <w:t>759.668</w:t>
    </w:r>
    <w:r w:rsidRPr="00D22767">
      <w:rPr>
        <w:rStyle w:val="HideTWBExt"/>
      </w:rPr>
      <w:t>&lt;/NoPE&gt;&lt;Version&gt;</w:t>
    </w:r>
    <w:r w:rsidRPr="00D22767">
      <w:t>v01-00</w:t>
    </w:r>
    <w:r w:rsidRPr="00D22767">
      <w:rPr>
        <w:rStyle w:val="HideTWBExt"/>
      </w:rPr>
      <w:t>&lt;/Version&gt;</w:t>
    </w:r>
  </w:p>
  <w:p w:rsidR="00557DB9" w:rsidRPr="00D22767" w:rsidRDefault="00D22767" w:rsidP="00D22767">
    <w:pPr>
      <w:pStyle w:val="EPFooter2"/>
    </w:pPr>
    <w:r w:rsidRPr="00D22767">
      <w:t>PL</w:t>
    </w:r>
    <w:r w:rsidRPr="00D22767">
      <w:tab/>
    </w:r>
    <w:r w:rsidRPr="00D22767">
      <w:rPr>
        <w:b w:val="0"/>
        <w:i/>
        <w:color w:val="C0C0C0"/>
        <w:sz w:val="22"/>
      </w:rPr>
      <w:t>Zjednoczona w różnorodności</w:t>
    </w:r>
    <w:r w:rsidRPr="00D22767">
      <w:tab/>
      <w:t>PL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0264" w:rsidRPr="00D22767" w:rsidRDefault="00960264">
      <w:r w:rsidRPr="00D22767">
        <w:separator/>
      </w:r>
    </w:p>
  </w:footnote>
  <w:footnote w:type="continuationSeparator" w:id="0">
    <w:p w:rsidR="00960264" w:rsidRPr="00D22767" w:rsidRDefault="00960264">
      <w:r w:rsidRPr="00D2276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74CF" w:rsidRDefault="008974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74CF" w:rsidRDefault="008974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74CF" w:rsidRDefault="008974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FMNU" w:val=" 2"/>
    <w:docVar w:name="COMKEY" w:val="FEMM"/>
    <w:docVar w:name="CONSENTMNU" w:val=" 1"/>
    <w:docVar w:name="CONTRIBUTIONMNU" w:val=" 1"/>
    <w:docVar w:name="CopyToNetwork" w:val="-1"/>
    <w:docVar w:name="DOCMNU" w:val=" 2"/>
    <w:docVar w:name="LastEditedSection" w:val=" 1"/>
    <w:docVar w:name="PARLIAMENTSMNU" w:val=" 2"/>
    <w:docVar w:name="strDocTypeID" w:val="PR_APP"/>
    <w:docVar w:name="strSubDir" w:val="1297"/>
    <w:docVar w:name="TITLEMNU" w:val=" 1"/>
    <w:docVar w:name="TXTAUTHOR" w:val="Sirpa Pietikäinen"/>
    <w:docVar w:name="TXTLANGUE" w:val="EN"/>
    <w:docVar w:name="TXTLANGUEMIN" w:val="en"/>
    <w:docVar w:name="TXTNRAPP" w:val="2022/0401"/>
    <w:docVar w:name="TXTNRC" w:val="0031/2024"/>
    <w:docVar w:name="TXTNRCOM" w:val="(2023)0xxx"/>
    <w:docVar w:name="TXTNRPE" w:val="759.668"/>
    <w:docVar w:name="TXTPEorAP" w:val="PE"/>
    <w:docVar w:name="TXTROUTE" w:val="PR\1297360EN.docx"/>
    <w:docVar w:name="TXTTITLE" w:val="on standards for equality bodies in the field of equal treatment between persons irrespective of their racial or ethnic origin, equal treatment in matters of employment and occupation between persons irrespective of their religion or belief, disability, age or sexual orientation, equal treatment between women and men in matters of social security and in the access to and supply of goods and services, and amending Directives 2000/43/EC and 2004/113/EC"/>
    <w:docVar w:name="TXTVERSION" w:val="01-00"/>
  </w:docVars>
  <w:rsids>
    <w:rsidRoot w:val="00960264"/>
    <w:rsid w:val="000367ED"/>
    <w:rsid w:val="00050CAC"/>
    <w:rsid w:val="00063FC3"/>
    <w:rsid w:val="000C4124"/>
    <w:rsid w:val="00127BC4"/>
    <w:rsid w:val="001530D6"/>
    <w:rsid w:val="00164E3C"/>
    <w:rsid w:val="00167CF7"/>
    <w:rsid w:val="00184E53"/>
    <w:rsid w:val="001B2995"/>
    <w:rsid w:val="001C23B0"/>
    <w:rsid w:val="00204A08"/>
    <w:rsid w:val="00205E67"/>
    <w:rsid w:val="00236BC4"/>
    <w:rsid w:val="002424BA"/>
    <w:rsid w:val="00246AB3"/>
    <w:rsid w:val="0026019A"/>
    <w:rsid w:val="00270197"/>
    <w:rsid w:val="00271039"/>
    <w:rsid w:val="002C558C"/>
    <w:rsid w:val="002E40B4"/>
    <w:rsid w:val="00300AD0"/>
    <w:rsid w:val="00306F83"/>
    <w:rsid w:val="003178B8"/>
    <w:rsid w:val="00371D0C"/>
    <w:rsid w:val="00392781"/>
    <w:rsid w:val="003A29AF"/>
    <w:rsid w:val="003A3E53"/>
    <w:rsid w:val="003A77FC"/>
    <w:rsid w:val="003F5521"/>
    <w:rsid w:val="0048276C"/>
    <w:rsid w:val="00494C03"/>
    <w:rsid w:val="004D6308"/>
    <w:rsid w:val="004F6590"/>
    <w:rsid w:val="004F6DFC"/>
    <w:rsid w:val="00557DB9"/>
    <w:rsid w:val="005678DE"/>
    <w:rsid w:val="005A0304"/>
    <w:rsid w:val="005B6B46"/>
    <w:rsid w:val="00631024"/>
    <w:rsid w:val="006A23C7"/>
    <w:rsid w:val="006B713D"/>
    <w:rsid w:val="006E0281"/>
    <w:rsid w:val="006F6097"/>
    <w:rsid w:val="00753033"/>
    <w:rsid w:val="00770BE9"/>
    <w:rsid w:val="00775025"/>
    <w:rsid w:val="007F3D0F"/>
    <w:rsid w:val="00823EEF"/>
    <w:rsid w:val="00852DA0"/>
    <w:rsid w:val="00890615"/>
    <w:rsid w:val="0089218F"/>
    <w:rsid w:val="008974CF"/>
    <w:rsid w:val="008A65FA"/>
    <w:rsid w:val="008C53D4"/>
    <w:rsid w:val="008F7B9A"/>
    <w:rsid w:val="00910664"/>
    <w:rsid w:val="009272FD"/>
    <w:rsid w:val="00960264"/>
    <w:rsid w:val="009B72B8"/>
    <w:rsid w:val="009E3DA4"/>
    <w:rsid w:val="00A01BD5"/>
    <w:rsid w:val="00A80509"/>
    <w:rsid w:val="00A97201"/>
    <w:rsid w:val="00B06894"/>
    <w:rsid w:val="00B23731"/>
    <w:rsid w:val="00B52E16"/>
    <w:rsid w:val="00B55E46"/>
    <w:rsid w:val="00B73111"/>
    <w:rsid w:val="00BC7CC4"/>
    <w:rsid w:val="00C06FB0"/>
    <w:rsid w:val="00C1545A"/>
    <w:rsid w:val="00C30AE5"/>
    <w:rsid w:val="00D22767"/>
    <w:rsid w:val="00D41461"/>
    <w:rsid w:val="00D6212E"/>
    <w:rsid w:val="00D93935"/>
    <w:rsid w:val="00DA199E"/>
    <w:rsid w:val="00DB4CCD"/>
    <w:rsid w:val="00DC57AB"/>
    <w:rsid w:val="00E04F40"/>
    <w:rsid w:val="00E0654E"/>
    <w:rsid w:val="00E17125"/>
    <w:rsid w:val="00E429FB"/>
    <w:rsid w:val="00E43D02"/>
    <w:rsid w:val="00E93C29"/>
    <w:rsid w:val="00EB72DC"/>
    <w:rsid w:val="00EC7BE6"/>
    <w:rsid w:val="00ED7F67"/>
    <w:rsid w:val="00EE58F8"/>
    <w:rsid w:val="00F4644A"/>
    <w:rsid w:val="00F60170"/>
    <w:rsid w:val="00F62566"/>
    <w:rsid w:val="00FB6DBB"/>
    <w:rsid w:val="00FF4577"/>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E3D4259-094F-49A0-A389-B637DC5B3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3C29"/>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2C558C"/>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rsid w:val="002C558C"/>
    <w:pPr>
      <w:spacing w:after="240"/>
    </w:pPr>
    <w:rPr>
      <w:b/>
    </w:rPr>
  </w:style>
  <w:style w:type="paragraph" w:customStyle="1" w:styleId="NormalHanging12a">
    <w:name w:val="NormalHanging12a"/>
    <w:basedOn w:val="Normal"/>
    <w:pPr>
      <w:spacing w:after="240"/>
      <w:ind w:left="567" w:hanging="567"/>
    </w:pPr>
  </w:style>
  <w:style w:type="paragraph" w:customStyle="1" w:styleId="CoverNormal24a">
    <w:name w:val="CoverNormal24a"/>
    <w:basedOn w:val="Normal"/>
    <w:rsid w:val="00A97201"/>
    <w:pPr>
      <w:spacing w:after="480"/>
      <w:ind w:left="1417"/>
    </w:pPr>
  </w:style>
  <w:style w:type="paragraph" w:customStyle="1" w:styleId="CoverNormal">
    <w:name w:val="CoverNormal"/>
    <w:basedOn w:val="Normal"/>
    <w:pPr>
      <w:ind w:left="1418"/>
    </w:pPr>
  </w:style>
  <w:style w:type="paragraph" w:customStyle="1" w:styleId="EPComma">
    <w:name w:val="EPComma"/>
    <w:basedOn w:val="Normal"/>
    <w:rsid w:val="00063FC3"/>
    <w:pPr>
      <w:spacing w:before="480" w:after="240"/>
    </w:pPr>
  </w:style>
  <w:style w:type="paragraph" w:customStyle="1" w:styleId="CoverReference">
    <w:name w:val="CoverReference"/>
    <w:basedOn w:val="Normal"/>
    <w:rsid w:val="00184E53"/>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A97201"/>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D6212E"/>
    <w:pPr>
      <w:tabs>
        <w:tab w:val="center" w:pos="4513"/>
        <w:tab w:val="right" w:pos="9026"/>
      </w:tabs>
    </w:pPr>
  </w:style>
  <w:style w:type="table" w:styleId="TableGrid">
    <w:name w:val="Table Grid"/>
    <w:basedOn w:val="TableNormal"/>
    <w:rsid w:val="00F625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62566"/>
    <w:pPr>
      <w:jc w:val="center"/>
    </w:pPr>
    <w:rPr>
      <w:rFonts w:ascii="Arial" w:hAnsi="Arial" w:cs="Arial"/>
      <w:i/>
      <w:sz w:val="22"/>
      <w:szCs w:val="22"/>
    </w:rPr>
  </w:style>
  <w:style w:type="paragraph" w:customStyle="1" w:styleId="LineTop">
    <w:name w:val="LineTop"/>
    <w:basedOn w:val="Normal"/>
    <w:next w:val="Normal"/>
    <w:rsid w:val="00F62566"/>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F62566"/>
    <w:pPr>
      <w:pBdr>
        <w:bottom w:val="single" w:sz="4" w:space="1" w:color="auto"/>
      </w:pBdr>
      <w:spacing w:after="240"/>
      <w:jc w:val="center"/>
    </w:pPr>
    <w:rPr>
      <w:rFonts w:ascii="Arial" w:hAnsi="Arial" w:cs="Arial"/>
      <w:sz w:val="16"/>
      <w:szCs w:val="16"/>
    </w:rPr>
  </w:style>
  <w:style w:type="paragraph" w:customStyle="1" w:styleId="EPName">
    <w:name w:val="EPName"/>
    <w:basedOn w:val="Normal"/>
    <w:rsid w:val="00C1545A"/>
    <w:pPr>
      <w:spacing w:before="80" w:after="80"/>
    </w:pPr>
    <w:rPr>
      <w:rFonts w:ascii="Arial Narrow" w:hAnsi="Arial Narrow" w:cs="Arial"/>
      <w:b/>
      <w:sz w:val="32"/>
      <w:szCs w:val="22"/>
    </w:rPr>
  </w:style>
  <w:style w:type="paragraph" w:customStyle="1" w:styleId="EPTerm">
    <w:name w:val="EPTerm"/>
    <w:basedOn w:val="Normal"/>
    <w:next w:val="Normal"/>
    <w:rsid w:val="00C1545A"/>
    <w:pPr>
      <w:spacing w:after="80"/>
    </w:pPr>
    <w:rPr>
      <w:rFonts w:ascii="Arial" w:hAnsi="Arial" w:cs="Arial"/>
      <w:sz w:val="20"/>
      <w:szCs w:val="22"/>
    </w:rPr>
  </w:style>
  <w:style w:type="paragraph" w:customStyle="1" w:styleId="EPLogo">
    <w:name w:val="EPLogo"/>
    <w:basedOn w:val="Normal"/>
    <w:qFormat/>
    <w:rsid w:val="00C1545A"/>
    <w:pPr>
      <w:jc w:val="right"/>
    </w:pPr>
  </w:style>
  <w:style w:type="paragraph" w:customStyle="1" w:styleId="EPFooter">
    <w:name w:val="EPFooter"/>
    <w:basedOn w:val="Normal"/>
    <w:rsid w:val="00A97201"/>
    <w:pPr>
      <w:tabs>
        <w:tab w:val="center" w:pos="4535"/>
        <w:tab w:val="right" w:pos="9071"/>
      </w:tabs>
      <w:spacing w:before="240" w:after="240"/>
    </w:pPr>
    <w:rPr>
      <w:color w:val="010000"/>
      <w:sz w:val="22"/>
    </w:rPr>
  </w:style>
  <w:style w:type="character" w:styleId="PageNumber">
    <w:name w:val="page number"/>
    <w:basedOn w:val="DefaultParagraphFont"/>
    <w:semiHidden/>
    <w:rsid w:val="00306F83"/>
  </w:style>
  <w:style w:type="character" w:customStyle="1" w:styleId="HeaderChar">
    <w:name w:val="Header Char"/>
    <w:basedOn w:val="DefaultParagraphFont"/>
    <w:link w:val="Header"/>
    <w:semiHidden/>
    <w:rsid w:val="00D6212E"/>
    <w:rPr>
      <w:sz w:val="24"/>
    </w:rPr>
  </w:style>
  <w:style w:type="paragraph" w:customStyle="1" w:styleId="Lgendesigne">
    <w:name w:val="Légende signe"/>
    <w:basedOn w:val="Normal"/>
    <w:rsid w:val="006A23C7"/>
    <w:pPr>
      <w:tabs>
        <w:tab w:val="right" w:pos="454"/>
        <w:tab w:val="left" w:pos="737"/>
      </w:tabs>
      <w:ind w:left="737" w:hanging="737"/>
    </w:pPr>
    <w:rPr>
      <w:snapToGrid w:val="0"/>
      <w:sz w:val="18"/>
      <w:lang w:eastAsia="en-US"/>
    </w:rPr>
  </w:style>
  <w:style w:type="paragraph" w:customStyle="1" w:styleId="Lgendetitre">
    <w:name w:val="Légende titre"/>
    <w:basedOn w:val="Normal"/>
    <w:rsid w:val="006A23C7"/>
    <w:pPr>
      <w:spacing w:before="240" w:after="240"/>
    </w:pPr>
    <w:rPr>
      <w:b/>
      <w:i/>
      <w:snapToGrid w:val="0"/>
      <w:lang w:eastAsia="en-US"/>
    </w:rPr>
  </w:style>
  <w:style w:type="paragraph" w:customStyle="1" w:styleId="Lgendestandard">
    <w:name w:val="Légende standard"/>
    <w:basedOn w:val="Normal"/>
    <w:rsid w:val="006A23C7"/>
    <w:rPr>
      <w:sz w:val="18"/>
    </w:rPr>
  </w:style>
  <w:style w:type="paragraph" w:customStyle="1" w:styleId="Normal24a">
    <w:name w:val="Normal24a"/>
    <w:basedOn w:val="Normal"/>
    <w:rsid w:val="00A01BD5"/>
    <w:pPr>
      <w:spacing w:after="480"/>
    </w:pPr>
  </w:style>
  <w:style w:type="paragraph" w:customStyle="1" w:styleId="NormalBoldCenter">
    <w:name w:val="NormalBoldCenter"/>
    <w:basedOn w:val="Normal"/>
    <w:rsid w:val="00A01BD5"/>
    <w:pPr>
      <w:jc w:val="center"/>
    </w:pPr>
    <w:rPr>
      <w:b/>
    </w:rPr>
  </w:style>
  <w:style w:type="paragraph" w:styleId="BalloonText">
    <w:name w:val="Balloon Text"/>
    <w:basedOn w:val="Normal"/>
    <w:link w:val="BalloonTextChar"/>
    <w:semiHidden/>
    <w:unhideWhenUsed/>
    <w:rsid w:val="00C06FB0"/>
    <w:rPr>
      <w:rFonts w:ascii="Segoe UI" w:hAnsi="Segoe UI" w:cs="Segoe UI"/>
      <w:sz w:val="18"/>
      <w:szCs w:val="18"/>
    </w:rPr>
  </w:style>
  <w:style w:type="character" w:customStyle="1" w:styleId="BalloonTextChar">
    <w:name w:val="Balloon Text Char"/>
    <w:basedOn w:val="DefaultParagraphFont"/>
    <w:link w:val="BalloonText"/>
    <w:semiHidden/>
    <w:rsid w:val="00C06FB0"/>
    <w:rPr>
      <w:rFonts w:ascii="Segoe UI" w:hAnsi="Segoe UI" w:cs="Segoe UI"/>
      <w:sz w:val="18"/>
      <w:szCs w:val="18"/>
    </w:rPr>
  </w:style>
  <w:style w:type="paragraph" w:styleId="Footer">
    <w:name w:val="footer"/>
    <w:basedOn w:val="Normal"/>
    <w:link w:val="FooterChar"/>
    <w:semiHidden/>
    <w:rsid w:val="00167CF7"/>
    <w:pPr>
      <w:tabs>
        <w:tab w:val="center" w:pos="4513"/>
        <w:tab w:val="right" w:pos="9026"/>
      </w:tabs>
    </w:pPr>
  </w:style>
  <w:style w:type="character" w:customStyle="1" w:styleId="FooterChar">
    <w:name w:val="Footer Char"/>
    <w:basedOn w:val="DefaultParagraphFont"/>
    <w:link w:val="Footer"/>
    <w:semiHidden/>
    <w:rsid w:val="00167CF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253338">
      <w:bodyDiv w:val="1"/>
      <w:marLeft w:val="0"/>
      <w:marRight w:val="0"/>
      <w:marTop w:val="0"/>
      <w:marBottom w:val="0"/>
      <w:divBdr>
        <w:top w:val="none" w:sz="0" w:space="0" w:color="auto"/>
        <w:left w:val="none" w:sz="0" w:space="0" w:color="auto"/>
        <w:bottom w:val="none" w:sz="0" w:space="0" w:color="auto"/>
        <w:right w:val="none" w:sz="0" w:space="0" w:color="auto"/>
      </w:divBdr>
    </w:div>
    <w:div w:id="1803768217">
      <w:bodyDiv w:val="1"/>
      <w:marLeft w:val="0"/>
      <w:marRight w:val="0"/>
      <w:marTop w:val="0"/>
      <w:marBottom w:val="0"/>
      <w:divBdr>
        <w:top w:val="none" w:sz="0" w:space="0" w:color="auto"/>
        <w:left w:val="none" w:sz="0" w:space="0" w:color="auto"/>
        <w:bottom w:val="none" w:sz="0" w:space="0" w:color="auto"/>
        <w:right w:val="none" w:sz="0" w:space="0" w:color="auto"/>
      </w:divBdr>
    </w:div>
    <w:div w:id="1946426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8094E7-FE96-4506-8F95-9A30C794E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1439</Words>
  <Characters>9556</Characters>
  <Application>Microsoft Office Word</Application>
  <DocSecurity>0</DocSecurity>
  <Lines>199</Lines>
  <Paragraphs>67</Paragraphs>
  <ScaleCrop>false</ScaleCrop>
  <HeadingPairs>
    <vt:vector size="2" baseType="variant">
      <vt:variant>
        <vt:lpstr>Title</vt:lpstr>
      </vt:variant>
      <vt:variant>
        <vt:i4>1</vt:i4>
      </vt:variant>
    </vt:vector>
  </HeadingPairs>
  <TitlesOfParts>
    <vt:vector size="1" baseType="lpstr">
      <vt:lpstr>PR_APP</vt:lpstr>
    </vt:vector>
  </TitlesOfParts>
  <Company/>
  <LinksUpToDate>false</LinksUpToDate>
  <CharactersWithSpaces>10928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PR_APP</dc:title>
  <dc:subject/>
  <dc:creator>DAMIANIDOU Dorothea</dc:creator>
  <cp:keywords/>
  <dc:description/>
  <cp:lastModifiedBy>WIERTLEWSKA Maria</cp:lastModifiedBy>
  <cp:revision>2</cp:revision>
  <cp:lastPrinted>2024-02-22T16:55:00Z</cp:lastPrinted>
  <dcterms:created xsi:type="dcterms:W3CDTF">2024-03-06T09:05:00Z</dcterms:created>
  <dcterms:modified xsi:type="dcterms:W3CDTF">2024-03-06T09:05:00Z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PL</vt:lpwstr>
  </property>
  <property fmtid="{D5CDD505-2E9C-101B-9397-08002B2CF9AE}" pid="3" name="Created with">
    <vt:lpwstr>9.17.1 Build [20240201]</vt:lpwstr>
  </property>
  <property fmtid="{D5CDD505-2E9C-101B-9397-08002B2CF9AE}" pid="4" name="LastEdited with">
    <vt:lpwstr>9.17.1 Build [20240202]</vt:lpwstr>
  </property>
  <property fmtid="{D5CDD505-2E9C-101B-9397-08002B2CF9AE}" pid="5" name="&lt;FdR&gt;">
    <vt:lpwstr>1297360</vt:lpwstr>
  </property>
  <property fmtid="{D5CDD505-2E9C-101B-9397-08002B2CF9AE}" pid="6" name="&lt;Type&gt;">
    <vt:lpwstr>PR</vt:lpwstr>
  </property>
  <property fmtid="{D5CDD505-2E9C-101B-9397-08002B2CF9AE}" pid="7" name="&lt;ModelCod&gt;">
    <vt:lpwstr>\\eiciBRUpr1\pdocep$\DocEP\DOCS\General\PR\PR_Leg\APP\PR_APP.dotx(17/04/2020 18:27:08)</vt:lpwstr>
  </property>
  <property fmtid="{D5CDD505-2E9C-101B-9397-08002B2CF9AE}" pid="8" name="&lt;ModelTra&gt;">
    <vt:lpwstr>\\eiciBRUpr1\pdocep$\DocEP\TRANSFIL\EN\PR_APP.EN(29/06/2022 09:21:33)</vt:lpwstr>
  </property>
  <property fmtid="{D5CDD505-2E9C-101B-9397-08002B2CF9AE}" pid="9" name="&lt;Model&gt;">
    <vt:lpwstr>PR_APP</vt:lpwstr>
  </property>
  <property fmtid="{D5CDD505-2E9C-101B-9397-08002B2CF9AE}" pid="10" name="FooterPath">
    <vt:lpwstr>PR\1297360PL.docx</vt:lpwstr>
  </property>
  <property fmtid="{D5CDD505-2E9C-101B-9397-08002B2CF9AE}" pid="11" name="PE number">
    <vt:lpwstr>759.668</vt:lpwstr>
  </property>
  <property fmtid="{D5CDD505-2E9C-101B-9397-08002B2CF9AE}" pid="12" name="SendToEpades">
    <vt:lpwstr>OK - 2024/02/23 10:59</vt:lpwstr>
  </property>
  <property fmtid="{D5CDD505-2E9C-101B-9397-08002B2CF9AE}" pid="13" name="SDLStudio">
    <vt:lpwstr/>
  </property>
  <property fmtid="{D5CDD505-2E9C-101B-9397-08002B2CF9AE}" pid="14" name="Bookout">
    <vt:lpwstr>OK - 2024/03/06 10:05</vt:lpwstr>
  </property>
</Properties>
</file>