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2F062A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69495A" w:rsidRPr="00713FE6" w:rsidRDefault="009F66F9" w:rsidP="00C85D0F">
            <w:pPr>
              <w:pStyle w:val="EPName"/>
            </w:pPr>
            <w:bookmarkStart w:id="0" w:name="_GoBack"/>
            <w:bookmarkEnd w:id="0"/>
            <w:r>
              <w:t>Europski parlament</w:t>
            </w:r>
          </w:p>
          <w:p w:rsidR="0069495A" w:rsidRPr="009161B6" w:rsidRDefault="009F66F9" w:rsidP="009161B6">
            <w:pPr>
              <w:pStyle w:val="EPTerm"/>
            </w:pPr>
            <w:r>
              <w:t>2024-2029</w:t>
            </w:r>
          </w:p>
        </w:tc>
        <w:tc>
          <w:tcPr>
            <w:tcW w:w="2268" w:type="dxa"/>
            <w:shd w:val="clear" w:color="auto" w:fill="auto"/>
          </w:tcPr>
          <w:p w:rsidR="0069495A" w:rsidRPr="00713FE6" w:rsidRDefault="009F66F9" w:rsidP="00C85D0F">
            <w:pPr>
              <w:pStyle w:val="EPLogo"/>
            </w:pPr>
            <w:r w:rsidRPr="00713FE6">
              <w:rPr>
                <w:noProof/>
                <w:lang w:val="en-GB"/>
              </w:rPr>
              <w:drawing>
                <wp:inline distT="0" distB="0" distL="0" distR="0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7235E" w:rsidRPr="00713FE6" w:rsidRDefault="00C7235E" w:rsidP="00C7235E">
      <w:pPr>
        <w:pStyle w:val="LineTop"/>
      </w:pPr>
    </w:p>
    <w:p w:rsidR="00C7235E" w:rsidRPr="00713FE6" w:rsidRDefault="009F66F9" w:rsidP="00C7235E">
      <w:pPr>
        <w:pStyle w:val="EPBody"/>
      </w:pPr>
      <w:r>
        <w:rPr>
          <w:rStyle w:val="HideTWBExt"/>
        </w:rPr>
        <w:t>&lt;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  <w:r>
        <w:rPr>
          <w:rStyle w:val="HideTWBInt"/>
          <w:color w:val="auto"/>
        </w:rPr>
        <w:t>{FEMM}</w:t>
      </w:r>
      <w:r>
        <w:t>Odbor za prava žena i rodnu ravnopravnost</w:t>
      </w:r>
      <w:r>
        <w:rPr>
          <w:rStyle w:val="HideTWBExt"/>
        </w:rPr>
        <w:t>&lt;/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</w:p>
    <w:p w:rsidR="00C7235E" w:rsidRPr="00713FE6" w:rsidRDefault="00C7235E" w:rsidP="00C7235E">
      <w:pPr>
        <w:pStyle w:val="LineBottom"/>
      </w:pPr>
    </w:p>
    <w:p w:rsidR="009161B6" w:rsidRPr="0012656E" w:rsidRDefault="009F66F9" w:rsidP="009161B6">
      <w:pPr>
        <w:pStyle w:val="CoverReference"/>
      </w:pPr>
      <w:r>
        <w:rPr>
          <w:rStyle w:val="HideTWBExt"/>
          <w:b w:val="0"/>
        </w:rPr>
        <w:t>&lt;RefProc&gt;</w:t>
      </w:r>
      <w:r>
        <w:t>2024/2057</w:t>
      </w:r>
      <w:r>
        <w:rPr>
          <w:rStyle w:val="HideTWBExt"/>
          <w:b w:val="0"/>
        </w:rPr>
        <w:t>&lt;/RefProc&gt;&lt;RefTypeProc&gt;</w:t>
      </w:r>
      <w:r>
        <w:t>(INI)</w:t>
      </w:r>
      <w:r>
        <w:rPr>
          <w:rStyle w:val="HideTWBExt"/>
          <w:b w:val="0"/>
        </w:rPr>
        <w:t>&lt;/RefTypeProc&gt;</w:t>
      </w:r>
    </w:p>
    <w:p w:rsidR="009161B6" w:rsidRPr="00BF6904" w:rsidRDefault="009F66F9" w:rsidP="009161B6">
      <w:pPr>
        <w:pStyle w:val="CoverDate"/>
      </w:pPr>
      <w:r>
        <w:rPr>
          <w:rStyle w:val="HideTWBExt"/>
          <w:lang w:val="fr-FR"/>
        </w:rPr>
        <w:t>&lt;Date&gt;</w:t>
      </w:r>
      <w:r>
        <w:rPr>
          <w:rStyle w:val="HideTWBInt"/>
          <w:color w:val="auto"/>
          <w:lang w:val="fr-FR"/>
        </w:rPr>
        <w:t>{10/10/2024}</w:t>
      </w:r>
      <w:r>
        <w:t>10.10.2024</w:t>
      </w:r>
      <w:r>
        <w:rPr>
          <w:rStyle w:val="HideTWBExt"/>
          <w:lang w:val="fr-FR"/>
        </w:rPr>
        <w:t>&lt;/Date&gt;</w:t>
      </w:r>
    </w:p>
    <w:p w:rsidR="00144AD8" w:rsidRPr="00713FE6" w:rsidRDefault="009F66F9">
      <w:pPr>
        <w:pStyle w:val="CoverDocType24a"/>
      </w:pPr>
      <w:r>
        <w:rPr>
          <w:rStyle w:val="HideTWBExt"/>
          <w:b w:val="0"/>
        </w:rPr>
        <w:t>&lt;TitreType&gt;</w:t>
      </w:r>
      <w:r>
        <w:t>NACRT IZVJEŠĆA</w:t>
      </w:r>
      <w:r>
        <w:rPr>
          <w:rStyle w:val="HideTWBExt"/>
          <w:b w:val="0"/>
        </w:rPr>
        <w:t>&lt;/TitreType&gt;</w:t>
      </w:r>
    </w:p>
    <w:p w:rsidR="009161B6" w:rsidRPr="0012656E" w:rsidRDefault="009F66F9" w:rsidP="009161B6">
      <w:pPr>
        <w:pStyle w:val="CoverNormal"/>
      </w:pPr>
      <w:r>
        <w:rPr>
          <w:rStyle w:val="HideTWBExt"/>
        </w:rPr>
        <w:t>&lt;Titre&gt;</w:t>
      </w:r>
      <w:r>
        <w:t>o preporuci Europskog parlamenta Vijeću o prioritetima EU-a za 69. sjednicu Komisije UN-a o statusu žena</w:t>
      </w:r>
      <w:r>
        <w:rPr>
          <w:rStyle w:val="HideTWBExt"/>
        </w:rPr>
        <w:t>&lt;/Titre&gt;</w:t>
      </w:r>
    </w:p>
    <w:p w:rsidR="009161B6" w:rsidRPr="0012656E" w:rsidRDefault="009F66F9" w:rsidP="009161B6">
      <w:pPr>
        <w:pStyle w:val="CoverNormal24a"/>
      </w:pPr>
      <w:r>
        <w:rPr>
          <w:rStyle w:val="HideTWBExt"/>
        </w:rPr>
        <w:t>&lt;DocRef&gt;</w:t>
      </w:r>
      <w:r>
        <w:t>(2024/2057(INI))</w:t>
      </w:r>
      <w:r>
        <w:rPr>
          <w:rStyle w:val="HideTWBExt"/>
        </w:rPr>
        <w:t>&lt;/DocRef&gt;</w:t>
      </w:r>
    </w:p>
    <w:p w:rsidR="00144AD8" w:rsidRPr="00713FE6" w:rsidRDefault="009F66F9">
      <w:pPr>
        <w:pStyle w:val="CoverNormal24a"/>
      </w:pPr>
      <w:r>
        <w:rPr>
          <w:rStyle w:val="HideTWBExt"/>
        </w:rPr>
        <w:t>&lt;Commission&gt;</w:t>
      </w:r>
      <w:r>
        <w:rPr>
          <w:rStyle w:val="HideTWBInt"/>
          <w:color w:val="auto"/>
        </w:rPr>
        <w:t>{FEMM}</w:t>
      </w:r>
      <w:r>
        <w:t>Odbor za prava žena i rodnu ravnopravnost</w:t>
      </w:r>
      <w:r>
        <w:rPr>
          <w:rStyle w:val="HideTWBExt"/>
        </w:rPr>
        <w:t>&lt;/Commission&gt;</w:t>
      </w:r>
    </w:p>
    <w:p w:rsidR="00144AD8" w:rsidRPr="00713FE6" w:rsidRDefault="009F66F9">
      <w:pPr>
        <w:pStyle w:val="CoverNormal24a"/>
      </w:pPr>
      <w:r>
        <w:t xml:space="preserve">Izvjestiteljica: </w:t>
      </w:r>
      <w:r>
        <w:rPr>
          <w:rStyle w:val="HideTWBExt"/>
        </w:rPr>
        <w:t>&lt;Depute&gt;</w:t>
      </w:r>
      <w:r>
        <w:t>Lina Gálvez</w:t>
      </w:r>
      <w:r>
        <w:rPr>
          <w:rStyle w:val="HideTWBExt"/>
        </w:rPr>
        <w:t>&lt;/Depute&gt;</w:t>
      </w:r>
    </w:p>
    <w:p w:rsidR="00627DF1" w:rsidRPr="00713FE6" w:rsidRDefault="00627DF1" w:rsidP="00627DF1">
      <w:pPr>
        <w:pStyle w:val="CoverNormal"/>
      </w:pPr>
    </w:p>
    <w:p w:rsidR="00144AD8" w:rsidRPr="00713FE6" w:rsidRDefault="009F66F9" w:rsidP="009340AC">
      <w:pPr>
        <w:widowControl/>
        <w:tabs>
          <w:tab w:val="center" w:pos="4677"/>
        </w:tabs>
      </w:pPr>
      <w:r>
        <w:br w:type="page"/>
      </w:r>
      <w:r>
        <w:lastRenderedPageBreak/>
        <w:t>PR_INI_RecommCFSP</w:t>
      </w:r>
    </w:p>
    <w:p w:rsidR="00144AD8" w:rsidRPr="00713FE6" w:rsidRDefault="009F66F9">
      <w:pPr>
        <w:pStyle w:val="TOCHeading"/>
      </w:pPr>
      <w:r>
        <w:t>SADRŽAJ</w:t>
      </w:r>
    </w:p>
    <w:p w:rsidR="00144AD8" w:rsidRPr="00713FE6" w:rsidRDefault="009F66F9">
      <w:pPr>
        <w:pStyle w:val="TOCPage"/>
      </w:pPr>
      <w:r>
        <w:t>Stranica</w:t>
      </w:r>
    </w:p>
    <w:p w:rsidR="00DD440D" w:rsidRDefault="009F66F9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/>
        </w:rPr>
      </w:pPr>
      <w:r w:rsidRPr="00713FE6">
        <w:fldChar w:fldCharType="begin"/>
      </w:r>
      <w:r w:rsidRPr="00713FE6">
        <w:instrText xml:space="preserve"> TOC \t "PageHeading</w:instrText>
      </w:r>
      <w:r w:rsidR="00DD440D">
        <w:instrText>;</w:instrText>
      </w:r>
      <w:r w:rsidRPr="00713FE6">
        <w:instrText xml:space="preserve">1" </w:instrText>
      </w:r>
      <w:r w:rsidRPr="00713FE6">
        <w:fldChar w:fldCharType="separate"/>
      </w:r>
      <w:r w:rsidR="00DD440D">
        <w:rPr>
          <w:noProof/>
        </w:rPr>
        <w:t>NACRT PREPORUKE EUROPSKOG PARLAMENTA</w:t>
      </w:r>
      <w:r w:rsidR="00DD440D">
        <w:rPr>
          <w:noProof/>
        </w:rPr>
        <w:tab/>
      </w:r>
      <w:r w:rsidR="00DD440D">
        <w:rPr>
          <w:noProof/>
        </w:rPr>
        <w:fldChar w:fldCharType="begin"/>
      </w:r>
      <w:r w:rsidR="00DD440D">
        <w:rPr>
          <w:noProof/>
        </w:rPr>
        <w:instrText xml:space="preserve"> PAGEREF _Toc180501654 \h </w:instrText>
      </w:r>
      <w:r w:rsidR="00DD440D">
        <w:rPr>
          <w:noProof/>
        </w:rPr>
      </w:r>
      <w:r w:rsidR="00DD440D">
        <w:rPr>
          <w:noProof/>
        </w:rPr>
        <w:fldChar w:fldCharType="separate"/>
      </w:r>
      <w:r w:rsidR="00DD440D">
        <w:rPr>
          <w:noProof/>
        </w:rPr>
        <w:t>3</w:t>
      </w:r>
      <w:r w:rsidR="00DD440D">
        <w:rPr>
          <w:noProof/>
        </w:rPr>
        <w:fldChar w:fldCharType="end"/>
      </w:r>
    </w:p>
    <w:p w:rsidR="00DD440D" w:rsidRDefault="00DD440D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/>
        </w:rPr>
      </w:pPr>
      <w:r>
        <w:rPr>
          <w:noProof/>
        </w:rPr>
        <w:t>PRILOG: SUBJEKTI ILI OSOBE OD KOJIH JE IZVJESTITELJICA PRIMILA INFORMACIJE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_Toc180501655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627DF1" w:rsidRPr="00713FE6" w:rsidRDefault="009F66F9" w:rsidP="00865AB2">
      <w:r w:rsidRPr="00713FE6">
        <w:fldChar w:fldCharType="end"/>
      </w:r>
    </w:p>
    <w:p w:rsidR="00144AD8" w:rsidRPr="00713FE6" w:rsidRDefault="009F66F9">
      <w:pPr>
        <w:pStyle w:val="PageHeading"/>
      </w:pPr>
      <w:r>
        <w:br w:type="page"/>
      </w:r>
      <w:bookmarkStart w:id="1" w:name="_Toc180501654"/>
      <w:r>
        <w:lastRenderedPageBreak/>
        <w:t>NACRT PREPORUKE EUROPSKOG PARLAMENTA</w:t>
      </w:r>
      <w:bookmarkEnd w:id="1"/>
    </w:p>
    <w:p w:rsidR="009161B6" w:rsidRPr="0012656E" w:rsidRDefault="009F66F9" w:rsidP="009161B6">
      <w:pPr>
        <w:pStyle w:val="NormalBold"/>
      </w:pPr>
      <w:r>
        <w:t>Vijeću o prioritetima EU-a za 69. sjednicu Komisije UN-a o statusu žena</w:t>
      </w:r>
    </w:p>
    <w:p w:rsidR="009161B6" w:rsidRPr="0012656E" w:rsidRDefault="009F66F9" w:rsidP="009161B6">
      <w:pPr>
        <w:pStyle w:val="NormalBold"/>
      </w:pPr>
      <w:r>
        <w:t>(2024/2057(INI))</w:t>
      </w:r>
    </w:p>
    <w:p w:rsidR="00144AD8" w:rsidRPr="00713FE6" w:rsidRDefault="009F66F9">
      <w:pPr>
        <w:pStyle w:val="EPComma"/>
      </w:pPr>
      <w:r>
        <w:rPr>
          <w:i/>
        </w:rPr>
        <w:t>Europski parlament</w:t>
      </w:r>
      <w:r>
        <w:t>,</w:t>
      </w:r>
    </w:p>
    <w:p w:rsidR="009161B6" w:rsidRPr="002B7F91" w:rsidRDefault="009F66F9" w:rsidP="009161B6">
      <w:pPr>
        <w:pStyle w:val="NormalHanging12a"/>
      </w:pPr>
      <w:r>
        <w:t>–</w:t>
      </w:r>
      <w:r>
        <w:tab/>
        <w:t>uzimajući u obzir deklaraciju UN-a od 15. rujna 1995. naslovljenu „Pekinška deklaracija i platforma za djelovanje” i ishode konferencija o njezinoj reviziji,</w:t>
      </w:r>
    </w:p>
    <w:p w:rsidR="009161B6" w:rsidRPr="002B7F91" w:rsidRDefault="009F66F9" w:rsidP="009161B6">
      <w:pPr>
        <w:pStyle w:val="NormalHanging12a"/>
        <w:rPr>
          <w:sz w:val="20"/>
        </w:rPr>
      </w:pPr>
      <w:r>
        <w:t>–</w:t>
      </w:r>
      <w:r>
        <w:tab/>
        <w:t>uzimajući u obzir izvješće glavnog tajnika UN-a od 13. prosinca 2019. upućeno Komisiji UN-a o statusu žena i naslovljeno „Review and appraisal of the implementation of the Beijing Declaration and Platform for Action and the outcomes of the twenty-third special session of the General Assembly” (Revizija i ocjena provedbe Pekinške deklaracije i platforme za djelovanje i ishodi dvadeset trećeg izvanrednog zasjedanja Opće skupštine),</w:t>
      </w:r>
    </w:p>
    <w:p w:rsidR="009161B6" w:rsidRPr="002B7F91" w:rsidRDefault="009F66F9" w:rsidP="009161B6">
      <w:pPr>
        <w:pStyle w:val="NormalHanging12a"/>
      </w:pPr>
      <w:r>
        <w:t>–</w:t>
      </w:r>
      <w:r>
        <w:tab/>
        <w:t>uzimajući u obzir zajedničku komunikaciju Komisije i Visokog predstavnika Unije za vanjske poslove i sigurnosnu politiku od 25. studenoga 2020. naslovljenu „Akcijski plan EU-a za rodnu ravnopravnost (GAP) III – ambiciozan plan za rodnu ravnopravnost i jačanje položaja žena u okviru vanjskog djelovanja EU-a” (JOIN(2020)0017) i popratni zajednički radni dokument službi od 25. studenoga 2020. naslovljen „Ciljevi i pokazatelji za okvir provedbe Akcijskog plana za rodnu ravnopravnost III (2021. – 2025.)” (SWD(2020)0284),</w:t>
      </w:r>
    </w:p>
    <w:p w:rsidR="009161B6" w:rsidRPr="002B7F91" w:rsidRDefault="009F66F9" w:rsidP="009161B6">
      <w:pPr>
        <w:pStyle w:val="NormalHanging12a"/>
      </w:pPr>
      <w:r>
        <w:t>–</w:t>
      </w:r>
      <w:r>
        <w:tab/>
        <w:t>uzimajući u obzir svoju Rezoluciju od 10. ožujka 2022. o Akcijskom planu EU-a za rodnu ravnopravnost III</w:t>
      </w:r>
      <w:r>
        <w:rPr>
          <w:rStyle w:val="FootnoteReference"/>
        </w:rPr>
        <w:footnoteReference w:id="1"/>
      </w:r>
      <w:r>
        <w:t>,</w:t>
      </w:r>
    </w:p>
    <w:p w:rsidR="009161B6" w:rsidRPr="002B7F91" w:rsidRDefault="009F66F9" w:rsidP="009161B6">
      <w:pPr>
        <w:pStyle w:val="NormalHanging12a"/>
      </w:pPr>
      <w:r>
        <w:t>–</w:t>
      </w:r>
      <w:r>
        <w:tab/>
        <w:t>uzimajući u obzir svoju Rezoluciju od 11. veljače 2021. o budućim izazovima u području prava žena u Europi: više od 25 godina od donošenja Pekinške deklaracije i platforme za djelovanje</w:t>
      </w:r>
      <w:r>
        <w:rPr>
          <w:rStyle w:val="FootnoteReference"/>
        </w:rPr>
        <w:footnoteReference w:id="2"/>
      </w:r>
      <w:r>
        <w:t>,</w:t>
      </w:r>
    </w:p>
    <w:p w:rsidR="009161B6" w:rsidRPr="002B7F91" w:rsidRDefault="009F66F9" w:rsidP="009161B6">
      <w:pPr>
        <w:pStyle w:val="NormalHanging12a"/>
      </w:pPr>
      <w:r>
        <w:t>–</w:t>
      </w:r>
      <w:r>
        <w:tab/>
        <w:t>uzimajući u obzir brifing „Accelerating progress on Sustainable Development Goal 5 (SDG 5): Achieving gender equality and empowering women and girls” (Ubrzavanje napretka u ostvarenju 5. cilja održivog razvoja: Postizanje rodne ravnopravnosti i osnaživanje žena i djevojčica), koji je Glavna uprava za usluge parlamentarnih istraživanja objavila 18. rujna 2024.,</w:t>
      </w:r>
    </w:p>
    <w:p w:rsidR="009161B6" w:rsidRPr="002B7F91" w:rsidRDefault="009F66F9" w:rsidP="009161B6">
      <w:pPr>
        <w:pStyle w:val="NormalHanging12a"/>
      </w:pPr>
      <w:r>
        <w:t>–</w:t>
      </w:r>
      <w:r>
        <w:tab/>
        <w:t>uzimajući u obzir izvješće Odjela UN-a za žene i Odjela UN-a za gospodarska i socijalna pitanja iz rujna 2024. naslovljeno „Progress on the Sustainable Development Goals: The Gender Snapshot 2024” (Napredak u ostvarenju ciljeva održivog razvoja: Prikaz rodnih pitanja 2024.),</w:t>
      </w:r>
    </w:p>
    <w:p w:rsidR="00144AD8" w:rsidRPr="00713FE6" w:rsidRDefault="009F66F9">
      <w:pPr>
        <w:pStyle w:val="NormalHanging12a"/>
      </w:pPr>
      <w:r>
        <w:t>–</w:t>
      </w:r>
      <w:r>
        <w:tab/>
        <w:t>uzimajući u obzir članak 121. Poslovnika,</w:t>
      </w:r>
    </w:p>
    <w:p w:rsidR="00144AD8" w:rsidRPr="00713FE6" w:rsidRDefault="009F66F9">
      <w:pPr>
        <w:pStyle w:val="NormalHanging12a"/>
      </w:pPr>
      <w:r>
        <w:t>–</w:t>
      </w:r>
      <w:r>
        <w:tab/>
        <w:t>uzimajući u obzir izvješće Odbora za prava žena i rodnu ravnopravnost (A10</w:t>
      </w:r>
      <w:r>
        <w:noBreakHyphen/>
        <w:t>0000/2024),</w:t>
      </w:r>
    </w:p>
    <w:p w:rsidR="009161B6" w:rsidRPr="002B7F91" w:rsidRDefault="009F66F9" w:rsidP="009161B6">
      <w:pPr>
        <w:pStyle w:val="NormalHanging12a"/>
        <w:widowControl/>
      </w:pPr>
      <w:r>
        <w:t>A.</w:t>
      </w:r>
      <w:r>
        <w:tab/>
        <w:t>budući da je ravnopravnost žena i muškaraca temeljno načelo EU-a i budući da se vanjsko djelovanje EU-a mora voditi tim načelom;</w:t>
      </w:r>
    </w:p>
    <w:p w:rsidR="009161B6" w:rsidRPr="002B7F91" w:rsidRDefault="009F66F9" w:rsidP="009161B6">
      <w:pPr>
        <w:pStyle w:val="NormalHanging12a"/>
        <w:widowControl/>
        <w:rPr>
          <w:szCs w:val="24"/>
        </w:rPr>
      </w:pPr>
      <w:r>
        <w:t>B.</w:t>
      </w:r>
      <w:r>
        <w:tab/>
        <w:t>budući da ljudska prava žena i rodna ravnopravnost nisu samo temeljna ljudska prava nego i preduvjeti za jačanje razvoja i smanjenje siromaštva te nužan temelj za miroljubiv, napredan i održiv svijet;</w:t>
      </w:r>
    </w:p>
    <w:p w:rsidR="009161B6" w:rsidRPr="002B7F91" w:rsidRDefault="009F66F9" w:rsidP="009161B6">
      <w:pPr>
        <w:pStyle w:val="NormalHanging12a"/>
        <w:widowControl/>
        <w:rPr>
          <w:szCs w:val="24"/>
        </w:rPr>
      </w:pPr>
      <w:r>
        <w:t>C.</w:t>
      </w:r>
      <w:r>
        <w:tab/>
        <w:t>budući da se na četvrtoj Svjetskoj konferenciji o ženama održanoj 1995. u Pekingu 189 vlada država iz cijelog svijeta, uključujući EU i njegove države članice, obvezalo predano raditi na rodnoj ravnopravnosti i osnaživanju svih žena i djevojčica;</w:t>
      </w:r>
    </w:p>
    <w:p w:rsidR="009161B6" w:rsidRPr="002B7F91" w:rsidRDefault="009F66F9" w:rsidP="009161B6">
      <w:pPr>
        <w:pStyle w:val="NormalHanging12a"/>
        <w:widowControl/>
      </w:pPr>
      <w:r>
        <w:t>D.</w:t>
      </w:r>
      <w:r>
        <w:tab/>
        <w:t xml:space="preserve">budući da je Pekinška deklaracija i platforma za djelovanje najobuhvatniji globalni program za promicanje rodne ravnopravnosti i da se smatra međunarodnom „poveljom” o pravima žena, da su u njoj prava žena definirana kao ljudska prava i da je </w:t>
      </w:r>
      <w:r>
        <w:rPr>
          <w:shd w:val="clear" w:color="auto" w:fill="FFFFFF"/>
        </w:rPr>
        <w:t>izražena vizija jednakih prava, sloboda i mogućnosti za sve žene u svijetu, i</w:t>
      </w:r>
      <w:r>
        <w:t xml:space="preserve"> budući da je 2015. ponovno potvrđena 5. ciljem održivog razvoja koji glasi „Postići rodnu ravnopravnost i osnažiti sve žene i djevojčice” i koji je dio ciljeva održivog razvoja utvrđenih u Programu UN-a za održivi razvoj do 2030. tako što su utvrđeni podciljevi i konkretne mjere u cijelom nizu pitanja koja utječu na žene i djevojčice;</w:t>
      </w:r>
    </w:p>
    <w:p w:rsidR="009161B6" w:rsidRPr="002B7F91" w:rsidRDefault="009F66F9" w:rsidP="009161B6">
      <w:pPr>
        <w:pStyle w:val="NormalHanging12a"/>
        <w:widowControl/>
      </w:pPr>
      <w:r>
        <w:t>E.</w:t>
      </w:r>
      <w:r>
        <w:tab/>
        <w:t>budući da samo šest godina prije 2030. godine i isteka UN-ova roka za ostvarenje ciljeva održivog razvoja nijedan pokazatelj u okviru 5. cilja nije u potpunosti ostvaren; budući da su prema procjenama UN-a potrebne radikalne mjere kako bi se ubrzao napredak i izbjeglo 286 godina potrebnih za uklanjanje nedostataka u pravnoj zaštiti i uklanjanje diskriminirajućeg zakonodavstva za žene;</w:t>
      </w:r>
    </w:p>
    <w:p w:rsidR="009161B6" w:rsidRPr="002B7F91" w:rsidRDefault="009F66F9" w:rsidP="009161B6">
      <w:pPr>
        <w:pStyle w:val="NormalHanging12a"/>
        <w:widowControl/>
      </w:pPr>
      <w:r>
        <w:t>F.</w:t>
      </w:r>
      <w:r>
        <w:tab/>
        <w:t>budući da se u studiji UN-a iz 2024.</w:t>
      </w:r>
      <w:r>
        <w:rPr>
          <w:rStyle w:val="FootnoteReference"/>
        </w:rPr>
        <w:footnoteReference w:id="3"/>
      </w:r>
      <w:r>
        <w:t xml:space="preserve"> o evaluaciji 5. cilja održivog razvoja ističe da i dalje postoje društvene norme kojima se legitimizira nasilje nad ženama i djevojčicama, ograničava pristup zdravstvenim uslugama, neplaćena skrb i rad u kućanstvu dodjeljuje isključivo ženama te ograničavaju mogućnosti preuzimanja vodećih uloga;</w:t>
      </w:r>
    </w:p>
    <w:p w:rsidR="009161B6" w:rsidRPr="002B7F91" w:rsidRDefault="009F66F9" w:rsidP="009161B6">
      <w:pPr>
        <w:pStyle w:val="NormalHanging12a"/>
        <w:widowControl/>
      </w:pPr>
      <w:r>
        <w:t>G.</w:t>
      </w:r>
      <w:r>
        <w:tab/>
        <w:t>budući da je Opća skupština UN-a izrazila zabrinutost zbog aktivnog otpora napretku u pogledu rodne ravnopravnosti i sve većeg transnacionalnog nazadovanja u pogledu prava žena; budući da postoji jasna i hitna potreba za ponovnim potvrđivanjem stvarne ravnopravnosti i ljudskih prava žena i djevojčica</w:t>
      </w:r>
      <w:r>
        <w:rPr>
          <w:rStyle w:val="FootnoteReference"/>
        </w:rPr>
        <w:footnoteReference w:id="4"/>
      </w:r>
      <w:r>
        <w:t>;</w:t>
      </w:r>
    </w:p>
    <w:p w:rsidR="00267945" w:rsidRPr="00713FE6" w:rsidRDefault="009F66F9" w:rsidP="00267945">
      <w:pPr>
        <w:pStyle w:val="NormalHanging12a"/>
      </w:pPr>
      <w:r>
        <w:t>1.</w:t>
      </w:r>
      <w:r>
        <w:tab/>
        <w:t>preporučuje Vijeću:</w:t>
      </w:r>
    </w:p>
    <w:p w:rsidR="009161B6" w:rsidRPr="002B7F91" w:rsidRDefault="009F66F9" w:rsidP="009161B6">
      <w:pPr>
        <w:pStyle w:val="Action"/>
        <w:keepNext w:val="0"/>
        <w:keepLines w:val="0"/>
        <w:tabs>
          <w:tab w:val="clear" w:pos="357"/>
        </w:tabs>
        <w:spacing w:after="120"/>
        <w:ind w:left="1290" w:hanging="723"/>
      </w:pPr>
      <w:r>
        <w:t>(a)</w:t>
      </w:r>
      <w:r>
        <w:tab/>
        <w:t>da potvrdi svoju predanost Pekinškoj deklaraciji i platformi za djelovanje i brojnim djelovanjima za ljudska prava žena i rodnu ravnopravnost, koji su u njoj sadržani; da potvrdi svoju predanost ljudskim pravima žena uključivanjem rodno osviještene politike u sva područja i cikluse politika, provedbi posebnih i ciljanih mjera za ljudska prava žena i rodnu ravnopravnost te osiguravanju odgovarajućeg donošenja rodno osjetljivog proračuna;</w:t>
      </w:r>
    </w:p>
    <w:p w:rsidR="009161B6" w:rsidRPr="002B7F91" w:rsidRDefault="009F66F9" w:rsidP="009161B6">
      <w:pPr>
        <w:pStyle w:val="Action"/>
        <w:keepNext w:val="0"/>
        <w:keepLines w:val="0"/>
        <w:tabs>
          <w:tab w:val="clear" w:pos="357"/>
        </w:tabs>
        <w:spacing w:after="120"/>
        <w:ind w:left="1290" w:hanging="723"/>
      </w:pPr>
      <w:r>
        <w:t>(b)</w:t>
      </w:r>
      <w:r>
        <w:tab/>
        <w:t>da osigura potpunu i ponosnu provedbu rodne ravnopravnosti i prava žena u svim aspektima vanjskog djelovanja EU-a s pomoću primjereno financiranog, rodno transformativnog, uključivog i intersekcijskog pristupa;</w:t>
      </w:r>
    </w:p>
    <w:p w:rsidR="009161B6" w:rsidRPr="002B7F91" w:rsidRDefault="009F66F9" w:rsidP="009161B6">
      <w:pPr>
        <w:pStyle w:val="Action"/>
        <w:keepNext w:val="0"/>
        <w:keepLines w:val="0"/>
        <w:tabs>
          <w:tab w:val="clear" w:pos="357"/>
        </w:tabs>
        <w:spacing w:after="120"/>
        <w:ind w:left="1290" w:hanging="723"/>
      </w:pPr>
      <w:r>
        <w:t>(c)</w:t>
      </w:r>
      <w:r>
        <w:tab/>
        <w:t>da zajamči puno sudjelovanje Parlamenta i njegova Odbora za prava žena i rodnu ravnopravnost u postupku donošenja odluka o stajalištu EU-a na 69. sjednici Komisije UN-a o statusu žena (10. – 25. ožujka 2025.); da osigura da Parlament ima odgovarajuće i pravodobne informacije i pristup dokumentu o stajalištu EU-a prije pregovora; te da dodatno poboljša međuinstitucijsku suradnju i neformalno savjetovanje, među ostalim prije i tijekom pregovora, kako bi prioriteti Parlamenta bili pravilno uključeni;</w:t>
      </w:r>
    </w:p>
    <w:p w:rsidR="009161B6" w:rsidRPr="002B7F91" w:rsidRDefault="009F66F9" w:rsidP="009161B6">
      <w:pPr>
        <w:pStyle w:val="Action"/>
        <w:keepNext w:val="0"/>
        <w:keepLines w:val="0"/>
        <w:tabs>
          <w:tab w:val="clear" w:pos="357"/>
        </w:tabs>
        <w:spacing w:after="120"/>
        <w:ind w:left="1290" w:hanging="723"/>
      </w:pPr>
      <w:r>
        <w:t>(d)</w:t>
      </w:r>
      <w:r>
        <w:tab/>
        <w:t>da sagleda napredak i zastoje u provedbi Pekinške deklaracije i platforme za djelovanje;</w:t>
      </w:r>
    </w:p>
    <w:p w:rsidR="009161B6" w:rsidRPr="002B7F91" w:rsidRDefault="009F66F9" w:rsidP="009161B6">
      <w:pPr>
        <w:pStyle w:val="Action"/>
        <w:keepNext w:val="0"/>
        <w:keepLines w:val="0"/>
        <w:tabs>
          <w:tab w:val="clear" w:pos="357"/>
        </w:tabs>
        <w:spacing w:after="120"/>
        <w:ind w:left="1290" w:hanging="723"/>
      </w:pPr>
      <w:r>
        <w:t>(e)</w:t>
      </w:r>
      <w:r>
        <w:tab/>
        <w:t>da ojača napore EU-a u cilju prevladavanja preostalih izazova koji stoje na putu potpunoj provedbi Pekinške deklaracije i platforme za djelovanje; da osigura da EU bude primjer drugima uspostavom snažnih političkih mjera za rješavanje, suzbijanje i predviđanje rodne neravnopravnosti u svim njezinim oblicima i za osnaživanje žena u svoj njihovoj raznolikosti;</w:t>
      </w:r>
    </w:p>
    <w:p w:rsidR="009161B6" w:rsidRPr="002B7F91" w:rsidRDefault="009F66F9" w:rsidP="009161B6">
      <w:pPr>
        <w:pStyle w:val="Action"/>
        <w:keepNext w:val="0"/>
        <w:keepLines w:val="0"/>
        <w:tabs>
          <w:tab w:val="clear" w:pos="357"/>
        </w:tabs>
        <w:spacing w:after="120"/>
        <w:ind w:left="1290" w:hanging="723"/>
      </w:pPr>
      <w:r>
        <w:t>(f)</w:t>
      </w:r>
      <w:r>
        <w:tab/>
        <w:t>da ponovno istakne da EU ima važnu ulogu u postizanju rodno ravnopravnog svijeta i da u tu svrhu partnerske zemlje treba podupirati u rješavanju problema rodne diskriminacije; da osigura da EU bude primjer drugima pozivom preostalih pet država članica koje još nisu ratificirale i provele Istanbulsku konvenciju da to učine u najkraćem mogućem roku;</w:t>
      </w:r>
    </w:p>
    <w:p w:rsidR="009161B6" w:rsidRPr="002B7F91" w:rsidRDefault="009F66F9" w:rsidP="009161B6">
      <w:pPr>
        <w:pStyle w:val="Action"/>
        <w:keepNext w:val="0"/>
        <w:keepLines w:val="0"/>
        <w:tabs>
          <w:tab w:val="clear" w:pos="357"/>
        </w:tabs>
        <w:spacing w:after="120"/>
        <w:ind w:left="1290" w:hanging="723"/>
      </w:pPr>
      <w:r>
        <w:t>(g)</w:t>
      </w:r>
      <w:r>
        <w:tab/>
        <w:t>da se založi za jednake mogućnosti za sve u svim područjima života kako bi se ženama u svoj njihovoj raznolikosti omogućilo da ostvare svoj potencijal, posebno u donošenju odluka u politici, gospodarstvu, znanosti ili kulturi, što je također ključno za dobro upravljanje i donošenje politika; da u tom kontekstu izrazi protivljenje semiotskom nasilju nad ženama u politici, kojim se podupiru i jačaju negativni stereotipi o ženama i odvraća mlade žene od ulaska u politiku i javnu sferu;</w:t>
      </w:r>
    </w:p>
    <w:p w:rsidR="009161B6" w:rsidRPr="002B7F91" w:rsidRDefault="009F66F9" w:rsidP="009161B6">
      <w:pPr>
        <w:pStyle w:val="Action"/>
        <w:keepNext w:val="0"/>
        <w:keepLines w:val="0"/>
        <w:widowControl/>
        <w:tabs>
          <w:tab w:val="clear" w:pos="357"/>
        </w:tabs>
        <w:spacing w:after="120"/>
        <w:ind w:left="1290" w:hanging="723"/>
        <w:rPr>
          <w:szCs w:val="24"/>
        </w:rPr>
      </w:pPr>
      <w:r>
        <w:t>(h)</w:t>
      </w:r>
      <w:r>
        <w:tab/>
        <w:t>da naglasi da su slabo političko vodstvo, nedostatak predanosti, nedostatni podaci, nedovoljna ulaganja i jačanje pokreta usmjerenih protiv prava utvrđeni kao prepreke; stoga je potrebno promicati više žena na vodećim položajima, povećati ulaganja i provesti sveobuhvatne reforme politika kako bi se prevladale te sustavne prepreke i postiglo istinski ravnopravno društvo;</w:t>
      </w:r>
    </w:p>
    <w:p w:rsidR="009161B6" w:rsidRPr="002B7F91" w:rsidRDefault="009F66F9" w:rsidP="009161B6">
      <w:pPr>
        <w:pStyle w:val="Action"/>
        <w:keepNext w:val="0"/>
        <w:keepLines w:val="0"/>
        <w:tabs>
          <w:tab w:val="clear" w:pos="357"/>
        </w:tabs>
        <w:spacing w:after="120"/>
        <w:ind w:left="1290" w:hanging="723"/>
      </w:pPr>
      <w:r>
        <w:t>(i)</w:t>
      </w:r>
      <w:r>
        <w:tab/>
        <w:t>da primjenjuje rodno osviještenu politiku i donošenje rodno osjetljivog proračuna u svim područjima politika EU-a, uključujući vanjsko djelovanje, te da u tom pogledu bude primjer drugima;</w:t>
      </w:r>
    </w:p>
    <w:p w:rsidR="009161B6" w:rsidRPr="002B7F91" w:rsidRDefault="009F66F9" w:rsidP="009161B6">
      <w:pPr>
        <w:pStyle w:val="Action"/>
        <w:keepNext w:val="0"/>
        <w:keepLines w:val="0"/>
        <w:tabs>
          <w:tab w:val="clear" w:pos="357"/>
        </w:tabs>
        <w:spacing w:after="120"/>
        <w:ind w:left="1290" w:hanging="723"/>
      </w:pPr>
      <w:r>
        <w:t>(j)</w:t>
      </w:r>
      <w:r>
        <w:tab/>
        <w:t>da se obveže na stalno ocjenjivanje i proaktivne korektivne mjere u unutarnjim i vanjskim politikama EU-a u pogledu rodne ravnopravnosti, rodno osviještene politike i donošenja rodno osjetljivog proračuna;</w:t>
      </w:r>
    </w:p>
    <w:p w:rsidR="009161B6" w:rsidRPr="002B7F91" w:rsidRDefault="009F66F9" w:rsidP="009161B6">
      <w:pPr>
        <w:pStyle w:val="Action"/>
        <w:keepNext w:val="0"/>
        <w:keepLines w:val="0"/>
        <w:tabs>
          <w:tab w:val="clear" w:pos="357"/>
        </w:tabs>
        <w:spacing w:after="120"/>
        <w:ind w:left="1290" w:hanging="723"/>
      </w:pPr>
      <w:r>
        <w:t>(k)</w:t>
      </w:r>
      <w:r>
        <w:tab/>
        <w:t>da pozove Komisiju da dodatno razvije i uvede konkretne i dobro financirane planove i mjere za ostvarivanje UN-ovih ciljeva održivog razvoja, posebno onih povezanih s rodnom ravnopravnošću;</w:t>
      </w:r>
    </w:p>
    <w:p w:rsidR="009161B6" w:rsidRPr="002B7F91" w:rsidRDefault="009F66F9" w:rsidP="009161B6">
      <w:pPr>
        <w:pStyle w:val="Action"/>
        <w:keepNext w:val="0"/>
        <w:keepLines w:val="0"/>
        <w:tabs>
          <w:tab w:val="clear" w:pos="357"/>
        </w:tabs>
        <w:spacing w:after="120"/>
        <w:ind w:left="1290" w:hanging="723"/>
      </w:pPr>
      <w:r>
        <w:t>(l)</w:t>
      </w:r>
      <w:r>
        <w:tab/>
        <w:t>da preuzme vodeću ulogu u globalnoj borbi protiv nazadovanja u pogledu rodne ravnopravnosti i prava žena;</w:t>
      </w:r>
    </w:p>
    <w:p w:rsidR="009161B6" w:rsidRPr="002B7F91" w:rsidRDefault="009F66F9" w:rsidP="009161B6">
      <w:pPr>
        <w:pStyle w:val="Action"/>
        <w:keepNext w:val="0"/>
        <w:keepLines w:val="0"/>
        <w:tabs>
          <w:tab w:val="clear" w:pos="357"/>
        </w:tabs>
        <w:spacing w:after="120"/>
        <w:ind w:left="1290" w:hanging="723"/>
      </w:pPr>
      <w:r>
        <w:t>(m)</w:t>
      </w:r>
      <w:r>
        <w:tab/>
        <w:t>da apelira na Komisiju da dodatno razvije i poboljša prikupljanje podataka razvrstanih po spolu te da osigura da ti podaci doprinose boljem oblikovanju politika; kao i da ojača Europski institut za ravnopravnost spolova i u pogledu financiranja i u pogledu kapaciteta;</w:t>
      </w:r>
    </w:p>
    <w:p w:rsidR="009161B6" w:rsidRPr="002B7F91" w:rsidRDefault="009F66F9" w:rsidP="009161B6">
      <w:pPr>
        <w:pStyle w:val="Action"/>
        <w:keepNext w:val="0"/>
        <w:keepLines w:val="0"/>
        <w:tabs>
          <w:tab w:val="clear" w:pos="357"/>
        </w:tabs>
        <w:spacing w:after="120"/>
        <w:ind w:left="1290" w:hanging="723"/>
      </w:pPr>
      <w:r>
        <w:t>(n)</w:t>
      </w:r>
      <w:r>
        <w:tab/>
        <w:t xml:space="preserve">da u potpunosti i bez odgode provede Akcijski plan EU-a za rodnu ravnopravnost III (GAP III) i osigura da </w:t>
      </w:r>
      <w:r>
        <w:rPr>
          <w:shd w:val="clear" w:color="auto" w:fill="FFFFFF"/>
        </w:rPr>
        <w:t>85 % svih novih djelovanja u vanjskim odnosima do 2025. doprinosi rodnoj ravnopravnosti i osnaživanju žena;</w:t>
      </w:r>
    </w:p>
    <w:p w:rsidR="009161B6" w:rsidRPr="002B7F91" w:rsidRDefault="009F66F9" w:rsidP="009161B6">
      <w:pPr>
        <w:pStyle w:val="Action"/>
        <w:keepNext w:val="0"/>
        <w:keepLines w:val="0"/>
        <w:tabs>
          <w:tab w:val="clear" w:pos="357"/>
        </w:tabs>
        <w:spacing w:after="120"/>
        <w:ind w:left="1290" w:hanging="723"/>
      </w:pPr>
      <w:r>
        <w:t>(o)</w:t>
      </w:r>
      <w:r>
        <w:tab/>
        <w:t>da primi na znanje i provede preporuke iz Rezolucije Parlamenta od 10. ožujka 2022. o GAP-u III i da tako da prednost GAP-u III u svakom aspektu vanjskog djelovanja EU-a primjenom rodno transformativnog i intersekcijskog pristupa, kako u pogledu geografske primjene GAP-a III tako i u pogledu njegovih područja djelovanja, kao i rodno osviještene politike u svim područjima vanjskog djelovanja, bilo da je riječ o trgovini, razvojnoj politici, humanitarnoj pomoći, sigurnosti ili sektorima kao što su energetika i poljoprivreda;</w:t>
      </w:r>
    </w:p>
    <w:p w:rsidR="009161B6" w:rsidRPr="002B7F91" w:rsidRDefault="009F66F9" w:rsidP="009161B6">
      <w:pPr>
        <w:pStyle w:val="Action"/>
        <w:keepNext w:val="0"/>
        <w:keepLines w:val="0"/>
        <w:tabs>
          <w:tab w:val="clear" w:pos="357"/>
        </w:tabs>
        <w:spacing w:after="120"/>
        <w:ind w:left="1290" w:hanging="723"/>
      </w:pPr>
      <w:r>
        <w:t>(p)</w:t>
      </w:r>
      <w:r>
        <w:tab/>
        <w:t>da osmisli, financira i provede politike kojima se smanjuje uloga roda kao čimbenika siromaštva u EU-u i izvan njega, putem vanjskog djelovanja, uzimajući u obzir intersekcijske čimbenike, uključujući dob, obveze skrbi, invaliditet, rasu i seksualnost;</w:t>
      </w:r>
    </w:p>
    <w:p w:rsidR="009161B6" w:rsidRPr="002B7F91" w:rsidRDefault="009F66F9" w:rsidP="009161B6">
      <w:pPr>
        <w:pStyle w:val="Action"/>
        <w:keepNext w:val="0"/>
        <w:keepLines w:val="0"/>
        <w:tabs>
          <w:tab w:val="clear" w:pos="357"/>
        </w:tabs>
        <w:spacing w:after="120"/>
        <w:ind w:left="1290" w:hanging="723"/>
      </w:pPr>
      <w:r>
        <w:t>(q)</w:t>
      </w:r>
      <w:r>
        <w:tab/>
        <w:t>da se pozabavi sa sustavnim i temeljnim uzrocima siromaštva žena i osnaži žene i djevojčice u svoj njihovoj raznolikosti obrazovanjem, osposobljavanjem, cjeloživotnim učenjem, nediskriminirajućim mogućnostima rada, pristupom socijalnim uslugama, uravnoteženjem neplaćene skrbi i društvenih odgovornosti putem zakonodavnih inicijativa, borbom protiv rodnih stereotipa i promicanjem žena kao uzora;</w:t>
      </w:r>
    </w:p>
    <w:p w:rsidR="009161B6" w:rsidRPr="002B7F91" w:rsidRDefault="009F66F9" w:rsidP="009161B6">
      <w:pPr>
        <w:pStyle w:val="Action"/>
        <w:keepNext w:val="0"/>
        <w:keepLines w:val="0"/>
        <w:tabs>
          <w:tab w:val="clear" w:pos="357"/>
        </w:tabs>
        <w:spacing w:after="120"/>
        <w:ind w:left="1290" w:hanging="723"/>
      </w:pPr>
      <w:r>
        <w:t>(r)</w:t>
      </w:r>
      <w:r>
        <w:tab/>
        <w:t>da pozove na poduzimanje daljnjih napora, donošenje zakonodavstva i provedbu postojećih mjera kako bi se osigurala prava žena radnica u kućanstvima;</w:t>
      </w:r>
    </w:p>
    <w:p w:rsidR="009161B6" w:rsidRPr="002B7F91" w:rsidRDefault="009F66F9" w:rsidP="009161B6">
      <w:pPr>
        <w:pStyle w:val="Action"/>
        <w:keepNext w:val="0"/>
        <w:keepLines w:val="0"/>
        <w:tabs>
          <w:tab w:val="clear" w:pos="357"/>
        </w:tabs>
        <w:spacing w:after="120"/>
        <w:ind w:left="1290" w:hanging="723"/>
      </w:pPr>
      <w:r>
        <w:t>(s)</w:t>
      </w:r>
      <w:r>
        <w:tab/>
        <w:t>da poboljša odgovor, resurse i alate EU-a, i na unutarnjoj i na vanjskoj razini, u pogledu rodno uvjetovanog nasilja, uključujući obiteljsko, seksualno, fizičko, psihološko i ekonomsko nasilje, uključujući u ratnim zonama, uzimajući u obzir migracije, prostituciju i seksualno iskorištavanje;</w:t>
      </w:r>
    </w:p>
    <w:p w:rsidR="009161B6" w:rsidRPr="002B7F91" w:rsidRDefault="009F66F9" w:rsidP="009161B6">
      <w:pPr>
        <w:pStyle w:val="Action"/>
        <w:keepNext w:val="0"/>
        <w:keepLines w:val="0"/>
        <w:tabs>
          <w:tab w:val="clear" w:pos="357"/>
        </w:tabs>
        <w:spacing w:after="120"/>
        <w:ind w:left="1290" w:hanging="723"/>
      </w:pPr>
      <w:r>
        <w:t>(t)</w:t>
      </w:r>
      <w:r>
        <w:tab/>
        <w:t>da osigura da žene u svoj svojoj raznolikosti imaju pristup zdravstvenim uslugama, među ostalim u pogledu spolnih prava i reproduktivnog zdravlja, uključujući obrazovanje o seksualnosti i odnosima koje je primjereno dobi, kontracepciju, siguran i zakonit pobačaj, zdravstvenu skrb za majke i zdravstvene usluge koje se temelje na skrbi;</w:t>
      </w:r>
    </w:p>
    <w:p w:rsidR="009161B6" w:rsidRPr="002B7F91" w:rsidRDefault="009F66F9" w:rsidP="009161B6">
      <w:pPr>
        <w:pStyle w:val="Action"/>
        <w:keepNext w:val="0"/>
        <w:keepLines w:val="0"/>
        <w:tabs>
          <w:tab w:val="clear" w:pos="357"/>
        </w:tabs>
        <w:spacing w:after="120"/>
        <w:ind w:left="1290" w:hanging="723"/>
      </w:pPr>
      <w:r>
        <w:t>(u)</w:t>
      </w:r>
      <w:r>
        <w:tab/>
        <w:t>da pozove na ulaganje većih napora u rješavanje rodnih pitanja u kontekstu zelene tranzicije, s obzirom na intersekcijski i nerazmjeran učinak klimatskih promjena na žene i djevojčice, posebno u zemljama u razvoju, napominjući da učinci klimatskih promjena nisu rodno neutralni;</w:t>
      </w:r>
    </w:p>
    <w:p w:rsidR="009161B6" w:rsidRPr="002B7F91" w:rsidRDefault="009F66F9" w:rsidP="009161B6">
      <w:pPr>
        <w:pStyle w:val="Action"/>
        <w:keepNext w:val="0"/>
        <w:keepLines w:val="0"/>
        <w:tabs>
          <w:tab w:val="clear" w:pos="357"/>
        </w:tabs>
        <w:ind w:left="1293" w:hanging="726"/>
      </w:pPr>
      <w:r>
        <w:t>(v)</w:t>
      </w:r>
      <w:r>
        <w:tab/>
        <w:t>da se založi za organizacije civilnog društva koje podupiru prava žena i da ih ojača;</w:t>
      </w:r>
    </w:p>
    <w:p w:rsidR="00144AD8" w:rsidRPr="00713FE6" w:rsidRDefault="009F66F9">
      <w:pPr>
        <w:pStyle w:val="NormalHanging12a"/>
      </w:pPr>
      <w:r>
        <w:t>2.</w:t>
      </w:r>
      <w:r>
        <w:tab/>
        <w:t>nalaže svojoj predsjednici da ovu preporuku proslijedi Vijeću i, radi obavijesti, Komisiji.</w:t>
      </w:r>
    </w:p>
    <w:p w:rsidR="00DF04A5" w:rsidRDefault="009F66F9">
      <w:pPr>
        <w:widowControl/>
      </w:pPr>
      <w:r>
        <w:br w:type="page"/>
      </w:r>
    </w:p>
    <w:p w:rsidR="009161B6" w:rsidRDefault="009161B6" w:rsidP="00FD4651">
      <w:pPr>
        <w:sectPr w:rsidR="009161B6" w:rsidSect="009161B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titlePg/>
        </w:sectPr>
      </w:pPr>
    </w:p>
    <w:p w:rsidR="009161B6" w:rsidRDefault="009F66F9" w:rsidP="007041CC">
      <w:pPr>
        <w:pStyle w:val="PageHeading"/>
        <w:rPr>
          <w:noProof/>
        </w:rPr>
      </w:pPr>
      <w:bookmarkStart w:id="2" w:name="FootprintPageRR"/>
      <w:bookmarkStart w:id="3" w:name="_Toc180501655"/>
      <w:r>
        <w:t>PRILOG: SUBJEKTI ILI OSOBE</w:t>
      </w:r>
      <w:r>
        <w:br/>
        <w:t>OD KOJIH JE IZVJESTITELJICA PRIMILA INFORMACIJE</w:t>
      </w:r>
      <w:bookmarkEnd w:id="3"/>
    </w:p>
    <w:p w:rsidR="009161B6" w:rsidRPr="0099178F" w:rsidRDefault="009F66F9" w:rsidP="00DF04A5">
      <w:pPr>
        <w:pStyle w:val="Normal24a"/>
        <w:spacing w:after="240" w:line="360" w:lineRule="auto"/>
      </w:pPr>
      <w:r>
        <w:rPr>
          <w:rStyle w:val="HideTWBExt"/>
        </w:rPr>
        <w:t>&lt;FootprintIntro&gt;</w:t>
      </w:r>
      <w:r>
        <w:rPr>
          <w:sz w:val="22"/>
        </w:rPr>
        <w:t>Izvjestiteljica izjavljuje, pod svojom isključivom odgovornošću, da nije primila nikakve informacije ni od jednog subjekta ili osobe koje bi u skladu s člankom 8. Priloga I. Poslovniku trebalo navesti u ovom Prilogu.</w:t>
      </w:r>
      <w:r>
        <w:rPr>
          <w:rStyle w:val="HideTWBExt"/>
        </w:rPr>
        <w:t>&lt;/FootprintIntro&gt;</w:t>
      </w:r>
    </w:p>
    <w:bookmarkEnd w:id="2"/>
    <w:sectPr w:rsidR="009161B6" w:rsidRPr="0099178F" w:rsidSect="009161B6"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6689" w:rsidRDefault="009F66F9">
      <w:r>
        <w:separator/>
      </w:r>
    </w:p>
  </w:endnote>
  <w:endnote w:type="continuationSeparator" w:id="0">
    <w:p w:rsidR="00CE6689" w:rsidRDefault="009F6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DokChampa">
    <w:altName w:val="Leelawadee UI"/>
    <w:charset w:val="DE"/>
    <w:family w:val="swiss"/>
    <w:pitch w:val="variable"/>
    <w:sig w:usb0="00000000" w:usb1="00000000" w:usb2="00000000" w:usb3="00000000" w:csb0="0001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4AD8" w:rsidRPr="00713FE6" w:rsidRDefault="009F66F9" w:rsidP="00C47D1A">
    <w:pPr>
      <w:pStyle w:val="EPFooter"/>
    </w:pPr>
    <w:r w:rsidRPr="00713FE6">
      <w:t>PE</w:t>
    </w:r>
    <w:r w:rsidR="00B6642B" w:rsidRPr="00713FE6">
      <w:rPr>
        <w:rStyle w:val="HideTWBExt"/>
      </w:rPr>
      <w:t>&lt;NoPE&gt;</w:t>
    </w:r>
    <w:r w:rsidR="009161B6" w:rsidRPr="009161B6">
      <w:t>765.072</w:t>
    </w:r>
    <w:r w:rsidR="00B6642B" w:rsidRPr="00713FE6">
      <w:rPr>
        <w:rStyle w:val="HideTWBExt"/>
      </w:rPr>
      <w:t>&lt;/NoPE&gt;&lt;Version&gt;</w:t>
    </w:r>
    <w:r w:rsidR="00713FE6" w:rsidRPr="00713FE6">
      <w:t>v</w:t>
    </w:r>
    <w:r w:rsidR="009161B6" w:rsidRPr="009161B6">
      <w:t>01-00</w:t>
    </w:r>
    <w:r w:rsidR="00B6642B" w:rsidRPr="00713FE6">
      <w:rPr>
        <w:rStyle w:val="HideTWBExt"/>
      </w:rPr>
      <w:t>&lt;/Version&gt;</w:t>
    </w:r>
    <w:r w:rsidRPr="00713FE6">
      <w:tab/>
    </w:r>
    <w:r w:rsidR="0032649C" w:rsidRPr="00713FE6">
      <w:fldChar w:fldCharType="begin"/>
    </w:r>
    <w:r w:rsidR="0032649C" w:rsidRPr="00713FE6">
      <w:instrText xml:space="preserve"> PAGE </w:instrText>
    </w:r>
    <w:r w:rsidR="0032649C" w:rsidRPr="00713FE6">
      <w:fldChar w:fldCharType="separate"/>
    </w:r>
    <w:r w:rsidR="00DD440D">
      <w:rPr>
        <w:noProof/>
      </w:rPr>
      <w:t>2</w:t>
    </w:r>
    <w:r w:rsidR="0032649C" w:rsidRPr="00713FE6">
      <w:fldChar w:fldCharType="end"/>
    </w:r>
    <w:r w:rsidR="0032649C" w:rsidRPr="00713FE6">
      <w:t>/</w:t>
    </w:r>
    <w:r w:rsidR="00DD440D">
      <w:fldChar w:fldCharType="begin"/>
    </w:r>
    <w:r w:rsidR="00DD440D">
      <w:instrText xml:space="preserve"> NUMPAGES </w:instrText>
    </w:r>
    <w:r w:rsidR="00DD440D">
      <w:fldChar w:fldCharType="separate"/>
    </w:r>
    <w:r w:rsidR="00DD440D">
      <w:rPr>
        <w:noProof/>
      </w:rPr>
      <w:t>8</w:t>
    </w:r>
    <w:r w:rsidR="00DD440D">
      <w:rPr>
        <w:noProof/>
      </w:rPr>
      <w:fldChar w:fldCharType="end"/>
    </w:r>
    <w:r w:rsidRPr="00713FE6">
      <w:tab/>
    </w:r>
    <w:r w:rsidR="00B6642B" w:rsidRPr="00713FE6">
      <w:rPr>
        <w:rStyle w:val="HideTWBExt"/>
      </w:rPr>
      <w:t>&lt;PathFdR&gt;</w:t>
    </w:r>
    <w:r w:rsidR="009161B6" w:rsidRPr="009161B6">
      <w:t>PR\1308027HR.docx</w:t>
    </w:r>
    <w:r w:rsidR="00B6642B" w:rsidRPr="00713FE6">
      <w:rPr>
        <w:rStyle w:val="HideTWBExt"/>
      </w:rPr>
      <w:t>&lt;/PathFdR&gt;</w:t>
    </w:r>
  </w:p>
  <w:p w:rsidR="00144AD8" w:rsidRPr="00713FE6" w:rsidRDefault="009F66F9">
    <w:pPr>
      <w:pStyle w:val="EPFooter2"/>
    </w:pPr>
    <w:fldSimple w:instr=" DOCPROPERTY &quot;&lt;Extension&gt;&quot; ">
      <w:r w:rsidR="00DD440D">
        <w:t>HR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4AD8" w:rsidRPr="00713FE6" w:rsidRDefault="009F66F9" w:rsidP="00C47D1A">
    <w:pPr>
      <w:pStyle w:val="EPFooter"/>
    </w:pPr>
    <w:r w:rsidRPr="00713FE6">
      <w:rPr>
        <w:rStyle w:val="HideTWBExt"/>
      </w:rPr>
      <w:t>&lt;PathFdR&gt;</w:t>
    </w:r>
    <w:r w:rsidR="009161B6" w:rsidRPr="009161B6">
      <w:t>PR\1308027HR.docx</w:t>
    </w:r>
    <w:r w:rsidRPr="00713FE6">
      <w:rPr>
        <w:rStyle w:val="HideTWBExt"/>
      </w:rPr>
      <w:t>&lt;/PathFdR&gt;</w:t>
    </w:r>
    <w:r w:rsidRPr="00713FE6">
      <w:tab/>
    </w:r>
    <w:r w:rsidR="0032649C" w:rsidRPr="00713FE6">
      <w:fldChar w:fldCharType="begin"/>
    </w:r>
    <w:r w:rsidR="0032649C" w:rsidRPr="00713FE6">
      <w:instrText xml:space="preserve"> PAGE </w:instrText>
    </w:r>
    <w:r w:rsidR="0032649C" w:rsidRPr="00713FE6">
      <w:fldChar w:fldCharType="separate"/>
    </w:r>
    <w:r w:rsidR="00DD440D">
      <w:rPr>
        <w:noProof/>
      </w:rPr>
      <w:t>8</w:t>
    </w:r>
    <w:r w:rsidR="0032649C" w:rsidRPr="00713FE6">
      <w:fldChar w:fldCharType="end"/>
    </w:r>
    <w:r w:rsidR="0032649C" w:rsidRPr="00713FE6">
      <w:t>/</w:t>
    </w:r>
    <w:r w:rsidR="00DD440D">
      <w:fldChar w:fldCharType="begin"/>
    </w:r>
    <w:r w:rsidR="00DD440D">
      <w:instrText xml:space="preserve"> NUMPAGES </w:instrText>
    </w:r>
    <w:r w:rsidR="00DD440D">
      <w:fldChar w:fldCharType="separate"/>
    </w:r>
    <w:r w:rsidR="00DD440D">
      <w:rPr>
        <w:noProof/>
      </w:rPr>
      <w:t>8</w:t>
    </w:r>
    <w:r w:rsidR="00DD440D">
      <w:rPr>
        <w:noProof/>
      </w:rPr>
      <w:fldChar w:fldCharType="end"/>
    </w:r>
    <w:r w:rsidRPr="00713FE6">
      <w:tab/>
    </w:r>
    <w:r w:rsidR="001B22EB" w:rsidRPr="00713FE6">
      <w:t>PE</w:t>
    </w:r>
    <w:r w:rsidRPr="00713FE6">
      <w:rPr>
        <w:rStyle w:val="HideTWBExt"/>
      </w:rPr>
      <w:t>&lt;NoPE&gt;</w:t>
    </w:r>
    <w:r w:rsidR="009161B6" w:rsidRPr="009161B6">
      <w:t>765.072</w:t>
    </w:r>
    <w:r w:rsidRPr="00713FE6">
      <w:rPr>
        <w:rStyle w:val="HideTWBExt"/>
      </w:rPr>
      <w:t>&lt;/NoPE&gt;&lt;Version&gt;</w:t>
    </w:r>
    <w:r w:rsidR="00713FE6" w:rsidRPr="00713FE6">
      <w:t>v</w:t>
    </w:r>
    <w:r w:rsidR="009161B6" w:rsidRPr="009161B6">
      <w:t>01-00</w:t>
    </w:r>
    <w:r w:rsidRPr="00713FE6">
      <w:rPr>
        <w:rStyle w:val="HideTWBExt"/>
      </w:rPr>
      <w:t>&lt;/Version&gt;</w:t>
    </w:r>
  </w:p>
  <w:p w:rsidR="00144AD8" w:rsidRPr="00713FE6" w:rsidRDefault="009F66F9">
    <w:pPr>
      <w:pStyle w:val="EPFooter2"/>
    </w:pPr>
    <w:r w:rsidRPr="00713FE6">
      <w:tab/>
    </w:r>
    <w:r w:rsidRPr="00713FE6">
      <w:tab/>
    </w:r>
    <w:r w:rsidR="00DD440D">
      <w:fldChar w:fldCharType="begin"/>
    </w:r>
    <w:r w:rsidR="00DD440D">
      <w:instrText xml:space="preserve"> DOCPROPERTY "&lt;Extension&gt;" </w:instrText>
    </w:r>
    <w:r w:rsidR="00DD440D">
      <w:fldChar w:fldCharType="separate"/>
    </w:r>
    <w:r w:rsidR="00DD440D">
      <w:t>HR</w:t>
    </w:r>
    <w:r w:rsidR="00DD440D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4AD8" w:rsidRPr="00713FE6" w:rsidRDefault="009F66F9" w:rsidP="00C47D1A">
    <w:pPr>
      <w:pStyle w:val="EPFooter"/>
    </w:pPr>
    <w:r w:rsidRPr="00713FE6">
      <w:rPr>
        <w:rStyle w:val="HideTWBExt"/>
      </w:rPr>
      <w:t>&lt;PathFdR&gt;</w:t>
    </w:r>
    <w:r w:rsidR="009161B6" w:rsidRPr="009161B6">
      <w:t>PR\1308027HR.docx</w:t>
    </w:r>
    <w:r w:rsidRPr="00713FE6">
      <w:rPr>
        <w:rStyle w:val="HideTWBExt"/>
      </w:rPr>
      <w:t>&lt;/PathFdR&gt;</w:t>
    </w:r>
    <w:r w:rsidRPr="00713FE6">
      <w:tab/>
    </w:r>
    <w:r w:rsidRPr="00713FE6">
      <w:tab/>
    </w:r>
    <w:r w:rsidR="001B22EB" w:rsidRPr="00713FE6">
      <w:t>PE</w:t>
    </w:r>
    <w:r w:rsidRPr="00713FE6">
      <w:rPr>
        <w:rStyle w:val="HideTWBExt"/>
      </w:rPr>
      <w:t>&lt;NoPE&gt;</w:t>
    </w:r>
    <w:r w:rsidR="009161B6" w:rsidRPr="009161B6">
      <w:t>765.072</w:t>
    </w:r>
    <w:r w:rsidRPr="00713FE6">
      <w:rPr>
        <w:rStyle w:val="HideTWBExt"/>
      </w:rPr>
      <w:t>&lt;/NoPE&gt;&lt;Version&gt;</w:t>
    </w:r>
    <w:r w:rsidR="00713FE6" w:rsidRPr="00713FE6">
      <w:t>v</w:t>
    </w:r>
    <w:r w:rsidR="009161B6" w:rsidRPr="009161B6">
      <w:t>01-00</w:t>
    </w:r>
    <w:r w:rsidRPr="00713FE6">
      <w:rPr>
        <w:rStyle w:val="HideTWBExt"/>
      </w:rPr>
      <w:t>&lt;/Version&gt;</w:t>
    </w:r>
  </w:p>
  <w:p w:rsidR="00144AD8" w:rsidRPr="00713FE6" w:rsidRDefault="009F66F9" w:rsidP="00C7235E">
    <w:pPr>
      <w:pStyle w:val="EPFooter2"/>
      <w:tabs>
        <w:tab w:val="clear" w:pos="4535"/>
        <w:tab w:val="center" w:pos="4536"/>
      </w:tabs>
    </w:pPr>
    <w:fldSimple w:instr=" DOCPROPERTY &quot;&lt;Extension&gt;&quot; ">
      <w:r w:rsidR="00DD440D">
        <w:t>HR</w:t>
      </w:r>
    </w:fldSimple>
    <w:r w:rsidR="00C7235E" w:rsidRPr="00713FE6">
      <w:tab/>
    </w:r>
    <w:r w:rsidR="009161B6">
      <w:rPr>
        <w:b w:val="0"/>
        <w:i/>
        <w:color w:val="C0C0C0"/>
        <w:sz w:val="22"/>
        <w:szCs w:val="22"/>
      </w:rPr>
      <w:t>Ujedinjena u raznolikosti</w:t>
    </w:r>
    <w:r w:rsidR="00C7235E" w:rsidRPr="00713FE6">
      <w:tab/>
    </w:r>
    <w:fldSimple w:instr=" DOCPROPERTY &quot;&lt;Extension&gt;&quot; ">
      <w:r w:rsidR="00DD440D">
        <w:t>HR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3FE6" w:rsidRPr="00713FE6" w:rsidRDefault="009F66F9">
      <w:r w:rsidRPr="00713FE6">
        <w:separator/>
      </w:r>
    </w:p>
  </w:footnote>
  <w:footnote w:type="continuationSeparator" w:id="0">
    <w:p w:rsidR="00713FE6" w:rsidRPr="00713FE6" w:rsidRDefault="009F66F9">
      <w:r w:rsidRPr="00713FE6">
        <w:continuationSeparator/>
      </w:r>
    </w:p>
  </w:footnote>
  <w:footnote w:id="1">
    <w:p w:rsidR="009161B6" w:rsidRPr="001A2622" w:rsidRDefault="009F66F9" w:rsidP="009161B6">
      <w:pPr>
        <w:pStyle w:val="FootnoteText"/>
      </w:pPr>
      <w:r>
        <w:rPr>
          <w:rStyle w:val="FootnoteReference"/>
        </w:rPr>
        <w:footnoteRef/>
      </w:r>
      <w:r>
        <w:t xml:space="preserve"> SL C 347, 9.9.2022., str. 150.</w:t>
      </w:r>
    </w:p>
  </w:footnote>
  <w:footnote w:id="2">
    <w:p w:rsidR="009161B6" w:rsidRPr="001A2622" w:rsidRDefault="009F66F9" w:rsidP="009161B6">
      <w:pPr>
        <w:pStyle w:val="FootnoteText"/>
      </w:pPr>
      <w:r>
        <w:rPr>
          <w:rStyle w:val="FootnoteReference"/>
        </w:rPr>
        <w:footnoteRef/>
      </w:r>
      <w:r>
        <w:t xml:space="preserve"> SL C 465, 17.11.2021., str. 160.</w:t>
      </w:r>
    </w:p>
  </w:footnote>
  <w:footnote w:id="3">
    <w:p w:rsidR="009161B6" w:rsidRPr="006270AA" w:rsidRDefault="009F66F9" w:rsidP="009161B6">
      <w:pPr>
        <w:pStyle w:val="NormalHanging12a"/>
        <w:widowControl/>
        <w:spacing w:after="0"/>
        <w:ind w:firstLine="0"/>
        <w:rPr>
          <w:sz w:val="20"/>
        </w:rPr>
      </w:pPr>
      <w:r>
        <w:rPr>
          <w:rStyle w:val="FootnoteReference"/>
          <w:sz w:val="20"/>
        </w:rPr>
        <w:footnoteRef/>
      </w:r>
      <w:r>
        <w:rPr>
          <w:sz w:val="20"/>
        </w:rPr>
        <w:t xml:space="preserve"> UN, </w:t>
      </w:r>
      <w:r>
        <w:rPr>
          <w:i/>
          <w:sz w:val="20"/>
        </w:rPr>
        <w:t>Are we getting there? A synthesis of UN system evaluations of SDG 5 (Jesmo li na putu k cilju? Sinteza UN-ovih sustavnih evaluacija 5. cilja održivog razvoja)</w:t>
      </w:r>
      <w:r>
        <w:rPr>
          <w:sz w:val="20"/>
        </w:rPr>
        <w:t xml:space="preserve">, ožujak 2024., </w:t>
      </w:r>
      <w:hyperlink r:id="rId1" w:history="1">
        <w:r>
          <w:rPr>
            <w:rStyle w:val="Hyperlink"/>
            <w:sz w:val="20"/>
          </w:rPr>
          <w:t>https://www.unwomen.org/en/digital-library/publications/2024/03/are-we-getting-there-a-synthesis-of-un-system-evaluations-of-sdg-5</w:t>
        </w:r>
      </w:hyperlink>
      <w:r>
        <w:rPr>
          <w:rStyle w:val="Hyperlink"/>
          <w:sz w:val="20"/>
        </w:rPr>
        <w:t>.</w:t>
      </w:r>
    </w:p>
  </w:footnote>
  <w:footnote w:id="4">
    <w:p w:rsidR="009161B6" w:rsidRPr="00BF6904" w:rsidRDefault="009F66F9" w:rsidP="009161B6">
      <w:pPr>
        <w:pStyle w:val="NormalHanging12a"/>
        <w:spacing w:after="0"/>
        <w:ind w:firstLine="0"/>
        <w:rPr>
          <w:sz w:val="20"/>
        </w:rPr>
      </w:pPr>
      <w:r>
        <w:rPr>
          <w:rStyle w:val="FootnoteReference"/>
          <w:sz w:val="20"/>
        </w:rPr>
        <w:footnoteRef/>
      </w:r>
      <w:r>
        <w:rPr>
          <w:sz w:val="20"/>
        </w:rPr>
        <w:t xml:space="preserve"> Opća skupština UN-a, </w:t>
      </w:r>
      <w:r>
        <w:rPr>
          <w:i/>
          <w:sz w:val="20"/>
        </w:rPr>
        <w:t>Escalating backlash against gender equality and urgency of reaffirming substantive equality and the human rights of women and girls: Report of the Working Group on discrimination against women and girls (Eskalacija nazadovanja u pogledu rodne ravnopravnosti i hitnost uspostave stvarne ravnopravnosti i ljudskih prava za žene i djevojčice: Izvješće Radne skupine za diskriminaciju žena i djevojčica)</w:t>
      </w:r>
      <w:r>
        <w:rPr>
          <w:sz w:val="20"/>
        </w:rPr>
        <w:t xml:space="preserve">, 15. svibnja 2024., </w:t>
      </w:r>
      <w:hyperlink r:id="rId2" w:history="1">
        <w:r>
          <w:rPr>
            <w:rStyle w:val="Hyperlink"/>
            <w:sz w:val="20"/>
          </w:rPr>
          <w:t>https://documents.un.org/doc/undoc/gen/g24/073/47/pdf/g2407347.pdf</w:t>
        </w:r>
      </w:hyperlink>
      <w:r>
        <w:rPr>
          <w:rStyle w:val="Hyperlink"/>
          <w:sz w:val="20"/>
        </w:rPr>
        <w:t>.</w:t>
      </w:r>
    </w:p>
    <w:p w:rsidR="009161B6" w:rsidRPr="00BF6904" w:rsidRDefault="009161B6" w:rsidP="009161B6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1B6" w:rsidRDefault="009161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1B6" w:rsidRDefault="009161B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1B6" w:rsidRDefault="009161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UTHORMFPMNU" w:val=" 2"/>
    <w:docVar w:name="AUTHORMNU" w:val=" 2"/>
    <w:docVar w:name="COMKEY" w:val="FEMM"/>
    <w:docVar w:name="CONTRIBUTIONMNU" w:val=" 2"/>
    <w:docVar w:name="INSTMNU" w:val=" 1"/>
    <w:docVar w:name="LastEditedSection" w:val=" 1"/>
    <w:docVar w:name="NVAR1" w:val="0"/>
    <w:docVar w:name="strDocTypeID" w:val="PR_INI_RecommCFSP"/>
    <w:docVar w:name="strSubDir" w:val="1308"/>
    <w:docVar w:name="TXTLANGUE" w:val="HR"/>
    <w:docVar w:name="TXTLANGUEMIN" w:val="hr"/>
    <w:docVar w:name="TXTNRPE" w:val="765.072"/>
    <w:docVar w:name="TXTPEorAP" w:val="PE"/>
    <w:docVar w:name="TXTROUTE" w:val="PR\1308027HR.docx"/>
    <w:docVar w:name="TXTVERSION" w:val="01-00"/>
  </w:docVars>
  <w:rsids>
    <w:rsidRoot w:val="00713FE6"/>
    <w:rsid w:val="000005E5"/>
    <w:rsid w:val="00001993"/>
    <w:rsid w:val="00005D56"/>
    <w:rsid w:val="00010437"/>
    <w:rsid w:val="0012656E"/>
    <w:rsid w:val="00144AD8"/>
    <w:rsid w:val="001533B4"/>
    <w:rsid w:val="00160F77"/>
    <w:rsid w:val="001A2622"/>
    <w:rsid w:val="001B22EB"/>
    <w:rsid w:val="00234B03"/>
    <w:rsid w:val="0024591C"/>
    <w:rsid w:val="00267945"/>
    <w:rsid w:val="002B7F91"/>
    <w:rsid w:val="002F062A"/>
    <w:rsid w:val="0032649C"/>
    <w:rsid w:val="00387C58"/>
    <w:rsid w:val="00392F42"/>
    <w:rsid w:val="003D0074"/>
    <w:rsid w:val="00434A68"/>
    <w:rsid w:val="004A388E"/>
    <w:rsid w:val="004A5141"/>
    <w:rsid w:val="005577F1"/>
    <w:rsid w:val="006270AA"/>
    <w:rsid w:val="0062719E"/>
    <w:rsid w:val="00627DF1"/>
    <w:rsid w:val="00686DFF"/>
    <w:rsid w:val="0069495A"/>
    <w:rsid w:val="006D4C8E"/>
    <w:rsid w:val="006E363A"/>
    <w:rsid w:val="007041CC"/>
    <w:rsid w:val="00713FE6"/>
    <w:rsid w:val="007C4764"/>
    <w:rsid w:val="0081489C"/>
    <w:rsid w:val="00855A58"/>
    <w:rsid w:val="0086407B"/>
    <w:rsid w:val="00865AB2"/>
    <w:rsid w:val="00902C4B"/>
    <w:rsid w:val="009062FC"/>
    <w:rsid w:val="009161B6"/>
    <w:rsid w:val="009302EC"/>
    <w:rsid w:val="00931782"/>
    <w:rsid w:val="009340AC"/>
    <w:rsid w:val="0099178F"/>
    <w:rsid w:val="009B3734"/>
    <w:rsid w:val="009F66F9"/>
    <w:rsid w:val="00A144CA"/>
    <w:rsid w:val="00A22B21"/>
    <w:rsid w:val="00AF2187"/>
    <w:rsid w:val="00B10048"/>
    <w:rsid w:val="00B26C55"/>
    <w:rsid w:val="00B6527B"/>
    <w:rsid w:val="00B6642B"/>
    <w:rsid w:val="00BE7750"/>
    <w:rsid w:val="00BF6904"/>
    <w:rsid w:val="00C3019B"/>
    <w:rsid w:val="00C47D1A"/>
    <w:rsid w:val="00C7235E"/>
    <w:rsid w:val="00C7360B"/>
    <w:rsid w:val="00C85D0F"/>
    <w:rsid w:val="00CA0DE5"/>
    <w:rsid w:val="00CB2AC0"/>
    <w:rsid w:val="00CE6689"/>
    <w:rsid w:val="00D349C1"/>
    <w:rsid w:val="00D860C1"/>
    <w:rsid w:val="00DD440D"/>
    <w:rsid w:val="00DF04A5"/>
    <w:rsid w:val="00E048E2"/>
    <w:rsid w:val="00E05579"/>
    <w:rsid w:val="00E24484"/>
    <w:rsid w:val="00E26C78"/>
    <w:rsid w:val="00E34F46"/>
    <w:rsid w:val="00EA624D"/>
    <w:rsid w:val="00F65426"/>
    <w:rsid w:val="00FA7E38"/>
    <w:rsid w:val="00FC504F"/>
    <w:rsid w:val="00FC5F47"/>
    <w:rsid w:val="00FD4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85B55F-ED97-4F42-B415-05C49E01F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4B03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customStyle="1" w:styleId="EPComma">
    <w:name w:val="EPComma"/>
    <w:basedOn w:val="Normal"/>
    <w:rsid w:val="00A144CA"/>
    <w:pPr>
      <w:spacing w:before="480" w:after="240"/>
    </w:pPr>
  </w:style>
  <w:style w:type="paragraph" w:styleId="TOC1">
    <w:name w:val="toc 1"/>
    <w:basedOn w:val="Normal"/>
    <w:next w:val="Normal"/>
    <w:autoRedefine/>
    <w:uiPriority w:val="39"/>
    <w:rsid w:val="00005D56"/>
    <w:pPr>
      <w:spacing w:after="240"/>
    </w:pPr>
  </w:style>
  <w:style w:type="paragraph" w:styleId="TOCHeading">
    <w:name w:val="TOC Heading"/>
    <w:basedOn w:val="Normal"/>
    <w:next w:val="TOCPage"/>
    <w:qFormat/>
    <w:pPr>
      <w:keepNext/>
      <w:spacing w:before="240" w:after="240"/>
      <w:jc w:val="center"/>
    </w:pPr>
    <w:rPr>
      <w:rFonts w:ascii="Arial" w:hAnsi="Arial"/>
      <w:b/>
    </w:rPr>
  </w:style>
  <w:style w:type="paragraph" w:customStyle="1" w:styleId="TOCPage">
    <w:name w:val="TOC Page"/>
    <w:basedOn w:val="Normal"/>
    <w:next w:val="TOC1"/>
    <w:pPr>
      <w:keepNext/>
      <w:spacing w:after="240"/>
      <w:jc w:val="right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PageHeading">
    <w:name w:val="PageHeading"/>
    <w:basedOn w:val="Normal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NormalBold">
    <w:name w:val="NormalBold"/>
    <w:basedOn w:val="Normal"/>
    <w:rPr>
      <w:b/>
    </w:rPr>
  </w:style>
  <w:style w:type="paragraph" w:customStyle="1" w:styleId="NormalHanging12a">
    <w:name w:val="NormalHanging12a"/>
    <w:basedOn w:val="Normal"/>
    <w:link w:val="NormalHanging12aChar"/>
    <w:pPr>
      <w:spacing w:after="240"/>
      <w:ind w:left="567" w:hanging="567"/>
    </w:pPr>
  </w:style>
  <w:style w:type="paragraph" w:customStyle="1" w:styleId="EPName">
    <w:name w:val="EPName"/>
    <w:basedOn w:val="Normal"/>
    <w:rsid w:val="009340AC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C47D1A"/>
    <w:pPr>
      <w:spacing w:after="480"/>
      <w:ind w:left="1417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CoverReference">
    <w:name w:val="CoverReference"/>
    <w:basedOn w:val="Normal"/>
    <w:rsid w:val="006E363A"/>
    <w:pPr>
      <w:spacing w:before="1080"/>
      <w:jc w:val="right"/>
    </w:pPr>
    <w:rPr>
      <w:rFonts w:ascii="Arial" w:hAnsi="Arial" w:cs="Arial"/>
      <w:b/>
    </w:rPr>
  </w:style>
  <w:style w:type="paragraph" w:customStyle="1" w:styleId="CoverDocType24a">
    <w:name w:val="CoverDocType24a"/>
    <w:basedOn w:val="Normal"/>
    <w:rsid w:val="00C47D1A"/>
    <w:pPr>
      <w:spacing w:after="48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styleId="Header">
    <w:name w:val="header"/>
    <w:basedOn w:val="Normal"/>
    <w:link w:val="HeaderChar"/>
    <w:semiHidden/>
    <w:rsid w:val="006D4C8E"/>
    <w:pPr>
      <w:tabs>
        <w:tab w:val="center" w:pos="4513"/>
        <w:tab w:val="right" w:pos="9026"/>
      </w:tabs>
    </w:pPr>
  </w:style>
  <w:style w:type="character" w:styleId="PageNumber">
    <w:name w:val="page number"/>
    <w:basedOn w:val="DefaultParagraphFont"/>
    <w:semiHidden/>
  </w:style>
  <w:style w:type="table" w:styleId="TableGrid">
    <w:name w:val="Table Grid"/>
    <w:basedOn w:val="TableNormal"/>
    <w:rsid w:val="00C723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C7235E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C7235E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C7235E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9340AC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9340AC"/>
    <w:pPr>
      <w:jc w:val="right"/>
    </w:pPr>
  </w:style>
  <w:style w:type="paragraph" w:customStyle="1" w:styleId="EPFooter">
    <w:name w:val="EPFooter"/>
    <w:basedOn w:val="Normal"/>
    <w:rsid w:val="00C47D1A"/>
    <w:pPr>
      <w:tabs>
        <w:tab w:val="center" w:pos="4535"/>
        <w:tab w:val="right" w:pos="9071"/>
      </w:tabs>
      <w:spacing w:before="240" w:after="240"/>
    </w:pPr>
    <w:rPr>
      <w:sz w:val="22"/>
    </w:rPr>
  </w:style>
  <w:style w:type="character" w:customStyle="1" w:styleId="HeaderChar">
    <w:name w:val="Header Char"/>
    <w:basedOn w:val="DefaultParagraphFont"/>
    <w:link w:val="Header"/>
    <w:semiHidden/>
    <w:rsid w:val="006D4C8E"/>
    <w:rPr>
      <w:sz w:val="24"/>
    </w:rPr>
  </w:style>
  <w:style w:type="paragraph" w:customStyle="1" w:styleId="NormalHangingLeft12a">
    <w:name w:val="NormalHangingLeft12a"/>
    <w:basedOn w:val="Normal"/>
    <w:rsid w:val="00F65426"/>
    <w:pPr>
      <w:spacing w:after="240"/>
      <w:ind w:left="1134" w:hanging="567"/>
    </w:pPr>
  </w:style>
  <w:style w:type="paragraph" w:customStyle="1" w:styleId="Normal12a">
    <w:name w:val="Normal12a"/>
    <w:basedOn w:val="Normal"/>
    <w:rsid w:val="00902C4B"/>
    <w:pPr>
      <w:spacing w:after="240"/>
    </w:pPr>
  </w:style>
  <w:style w:type="character" w:customStyle="1" w:styleId="NormalHanging12aChar">
    <w:name w:val="NormalHanging12a Char"/>
    <w:basedOn w:val="DefaultParagraphFont"/>
    <w:link w:val="NormalHanging12a"/>
    <w:locked/>
    <w:rsid w:val="009161B6"/>
    <w:rPr>
      <w:sz w:val="24"/>
      <w:lang w:val="hr-HR"/>
    </w:rPr>
  </w:style>
  <w:style w:type="paragraph" w:styleId="FootnoteText">
    <w:name w:val="footnote text"/>
    <w:basedOn w:val="Normal"/>
    <w:link w:val="FootnoteTextChar"/>
    <w:rsid w:val="009161B6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9161B6"/>
  </w:style>
  <w:style w:type="character" w:styleId="FootnoteReference">
    <w:name w:val="footnote reference"/>
    <w:basedOn w:val="DefaultParagraphFont"/>
    <w:rsid w:val="009161B6"/>
    <w:rPr>
      <w:vertAlign w:val="superscript"/>
    </w:rPr>
  </w:style>
  <w:style w:type="character" w:styleId="Hyperlink">
    <w:name w:val="Hyperlink"/>
    <w:basedOn w:val="DefaultParagraphFont"/>
    <w:unhideWhenUsed/>
    <w:rsid w:val="009161B6"/>
    <w:rPr>
      <w:color w:val="0563C1" w:themeColor="hyperlink"/>
      <w:u w:val="single"/>
    </w:rPr>
  </w:style>
  <w:style w:type="paragraph" w:customStyle="1" w:styleId="Action">
    <w:name w:val="Action"/>
    <w:basedOn w:val="Normal"/>
    <w:rsid w:val="009161B6"/>
    <w:pPr>
      <w:keepNext/>
      <w:keepLines/>
      <w:tabs>
        <w:tab w:val="left" w:pos="357"/>
      </w:tabs>
      <w:snapToGrid w:val="0"/>
      <w:spacing w:after="240"/>
      <w:ind w:left="357" w:hanging="357"/>
    </w:pPr>
    <w:rPr>
      <w:lang w:eastAsia="en-US"/>
    </w:rPr>
  </w:style>
  <w:style w:type="paragraph" w:customStyle="1" w:styleId="Normal24a">
    <w:name w:val="Normal24a"/>
    <w:basedOn w:val="Normal"/>
    <w:rsid w:val="009161B6"/>
    <w:pPr>
      <w:spacing w:after="480"/>
    </w:pPr>
  </w:style>
  <w:style w:type="paragraph" w:customStyle="1" w:styleId="NormalBoldCenter">
    <w:name w:val="NormalBoldCenter"/>
    <w:basedOn w:val="Normal"/>
    <w:rsid w:val="009161B6"/>
    <w:pPr>
      <w:jc w:val="center"/>
    </w:pPr>
    <w:rPr>
      <w:b/>
    </w:rPr>
  </w:style>
  <w:style w:type="paragraph" w:customStyle="1" w:styleId="Footprint12b">
    <w:name w:val="Footprint12b"/>
    <w:basedOn w:val="Normal"/>
    <w:rsid w:val="009161B6"/>
    <w:pPr>
      <w:spacing w:before="240"/>
    </w:pPr>
    <w:rPr>
      <w:szCs w:val="24"/>
    </w:rPr>
  </w:style>
  <w:style w:type="paragraph" w:customStyle="1" w:styleId="NormalSingle">
    <w:name w:val="NormalSingle"/>
    <w:basedOn w:val="Normal"/>
    <w:qFormat/>
    <w:rsid w:val="009161B6"/>
    <w:rPr>
      <w:szCs w:val="24"/>
    </w:rPr>
  </w:style>
  <w:style w:type="paragraph" w:styleId="Footer">
    <w:name w:val="footer"/>
    <w:basedOn w:val="Normal"/>
    <w:link w:val="FooterChar"/>
    <w:semiHidden/>
    <w:rsid w:val="00DF04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DF04A5"/>
    <w:rPr>
      <w:sz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documents.un.org/doc/undoc/gen/g24/073/47/pdf/g2407347.pdf" TargetMode="External"/><Relationship Id="rId1" Type="http://schemas.openxmlformats.org/officeDocument/2006/relationships/hyperlink" Target="https://www.unwomen.org/en/digital-library/publications/2024/03/are-we-getting-there-a-synthesis-of-un-system-evaluations-of-sdg-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1774</Words>
  <Characters>10454</Characters>
  <Application>Microsoft Office Word</Application>
  <DocSecurity>0</DocSecurity>
  <Lines>197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PR_INI_RecommCFSP</vt:lpstr>
    </vt:vector>
  </TitlesOfParts>
  <Company/>
  <LinksUpToDate>false</LinksUpToDate>
  <CharactersWithSpaces>12155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PR_INI_RecommCFSP</dc:title>
  <dc:creator>RAONIĆ Ena</dc:creator>
  <cp:lastModifiedBy>User</cp:lastModifiedBy>
  <cp:revision>2</cp:revision>
  <cp:lastPrinted>2006-05-02T14:58:00Z</cp:lastPrinted>
  <dcterms:created xsi:type="dcterms:W3CDTF">2024-10-22T13:00:00Z</dcterms:created>
  <dcterms:modified xsi:type="dcterms:W3CDTF">2024-10-22T13:00:00Z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HR</vt:lpwstr>
  </property>
  <property fmtid="{D5CDD505-2E9C-101B-9397-08002B2CF9AE}" pid="3" name="&lt;FdR&gt;">
    <vt:lpwstr>1308027</vt:lpwstr>
  </property>
  <property fmtid="{D5CDD505-2E9C-101B-9397-08002B2CF9AE}" pid="4" name="&lt;Model&gt;">
    <vt:lpwstr>PR_INI_RecommCFSP</vt:lpwstr>
  </property>
  <property fmtid="{D5CDD505-2E9C-101B-9397-08002B2CF9AE}" pid="5" name="&lt;ModelCod&gt;">
    <vt:lpwstr>\\eiciLUXpr1\pdocep$\DocEP\DOCS\General\PR\PR_NonLeg\INI\PR_INI_RecommCFSP.dotx(23/11/2023 20:35:01)</vt:lpwstr>
  </property>
  <property fmtid="{D5CDD505-2E9C-101B-9397-08002B2CF9AE}" pid="6" name="&lt;ModelTra&gt;">
    <vt:lpwstr>\\eiciLUXpr1\pdocep$\DocEP\TRANSFIL\HR\PR_INI_RecommCFSP.HR(14/08/2024 20:08:10)</vt:lpwstr>
  </property>
  <property fmtid="{D5CDD505-2E9C-101B-9397-08002B2CF9AE}" pid="7" name="&lt;Type&gt;">
    <vt:lpwstr>PR</vt:lpwstr>
  </property>
  <property fmtid="{D5CDD505-2E9C-101B-9397-08002B2CF9AE}" pid="8" name="Bookout">
    <vt:lpwstr>OK - 2024/10/22 15:00</vt:lpwstr>
  </property>
  <property fmtid="{D5CDD505-2E9C-101B-9397-08002B2CF9AE}" pid="9" name="Created with">
    <vt:lpwstr>9.18.0 Build [20240401]</vt:lpwstr>
  </property>
  <property fmtid="{D5CDD505-2E9C-101B-9397-08002B2CF9AE}" pid="10" name="FooterPath">
    <vt:lpwstr>PR\1308027HR.docx</vt:lpwstr>
  </property>
  <property fmtid="{D5CDD505-2E9C-101B-9397-08002B2CF9AE}" pid="11" name="LastEdited with">
    <vt:lpwstr>9.18.0 Build [20240401]</vt:lpwstr>
  </property>
  <property fmtid="{D5CDD505-2E9C-101B-9397-08002B2CF9AE}" pid="12" name="PE number">
    <vt:lpwstr>765.072</vt:lpwstr>
  </property>
  <property fmtid="{D5CDD505-2E9C-101B-9397-08002B2CF9AE}" pid="13" name="SDLStudio">
    <vt:lpwstr/>
  </property>
</Properties>
</file>