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B25C0" w:rsidRPr="005619E6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69495A" w:rsidRPr="005619E6" w:rsidRDefault="0037619C" w:rsidP="00C85D0F">
            <w:pPr>
              <w:pStyle w:val="EPName"/>
            </w:pPr>
            <w:bookmarkStart w:id="0" w:name="_GoBack"/>
            <w:bookmarkEnd w:id="0"/>
            <w:r w:rsidRPr="005619E6">
              <w:t>Európai Parlament</w:t>
            </w:r>
          </w:p>
          <w:p w:rsidR="0069495A" w:rsidRPr="005619E6" w:rsidRDefault="0037619C" w:rsidP="007841F3">
            <w:pPr>
              <w:pStyle w:val="EPTerm"/>
            </w:pPr>
            <w:r w:rsidRPr="005619E6">
              <w:t>2024-2029</w:t>
            </w:r>
          </w:p>
        </w:tc>
        <w:tc>
          <w:tcPr>
            <w:tcW w:w="2268" w:type="dxa"/>
            <w:shd w:val="clear" w:color="auto" w:fill="auto"/>
          </w:tcPr>
          <w:p w:rsidR="0069495A" w:rsidRPr="005619E6" w:rsidRDefault="0037619C" w:rsidP="00C85D0F">
            <w:pPr>
              <w:pStyle w:val="EPLogo"/>
            </w:pPr>
            <w:r w:rsidRPr="005619E6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235E" w:rsidRPr="005619E6" w:rsidRDefault="00C7235E" w:rsidP="00C7235E">
      <w:pPr>
        <w:pStyle w:val="LineTop"/>
      </w:pPr>
    </w:p>
    <w:p w:rsidR="00C7235E" w:rsidRPr="005619E6" w:rsidRDefault="0037619C" w:rsidP="00C7235E">
      <w:pPr>
        <w:pStyle w:val="EPBody"/>
      </w:pPr>
      <w:r w:rsidRPr="005619E6">
        <w:rPr>
          <w:rStyle w:val="HideTWBExt"/>
        </w:rPr>
        <w:t>&lt;</w:t>
      </w:r>
      <w:r w:rsidRPr="005619E6">
        <w:rPr>
          <w:rStyle w:val="HideTWBExt"/>
          <w:i w:val="0"/>
        </w:rPr>
        <w:t>Commission</w:t>
      </w:r>
      <w:r w:rsidRPr="005619E6">
        <w:rPr>
          <w:rStyle w:val="HideTWBExt"/>
        </w:rPr>
        <w:t>&gt;</w:t>
      </w:r>
      <w:r w:rsidRPr="005619E6">
        <w:rPr>
          <w:rStyle w:val="HideTWBInt"/>
          <w:color w:val="auto"/>
        </w:rPr>
        <w:t>{FEMM}</w:t>
      </w:r>
      <w:r w:rsidRPr="005619E6">
        <w:t>Nőjogi és Esélyegyenlőségi Bizottság</w:t>
      </w:r>
      <w:r w:rsidRPr="005619E6">
        <w:rPr>
          <w:rStyle w:val="HideTWBExt"/>
        </w:rPr>
        <w:t>&lt;/</w:t>
      </w:r>
      <w:r w:rsidRPr="005619E6">
        <w:rPr>
          <w:rStyle w:val="HideTWBExt"/>
          <w:i w:val="0"/>
        </w:rPr>
        <w:t>Commission</w:t>
      </w:r>
      <w:r w:rsidRPr="005619E6">
        <w:rPr>
          <w:rStyle w:val="HideTWBExt"/>
        </w:rPr>
        <w:t>&gt;</w:t>
      </w:r>
    </w:p>
    <w:p w:rsidR="00C7235E" w:rsidRPr="005619E6" w:rsidRDefault="00C7235E" w:rsidP="00C7235E">
      <w:pPr>
        <w:pStyle w:val="LineBottom"/>
      </w:pPr>
    </w:p>
    <w:p w:rsidR="00144AD8" w:rsidRPr="005619E6" w:rsidRDefault="0037619C">
      <w:pPr>
        <w:pStyle w:val="CoverReference"/>
      </w:pPr>
      <w:r w:rsidRPr="005619E6">
        <w:rPr>
          <w:rStyle w:val="HideTWBExt"/>
          <w:b w:val="0"/>
        </w:rPr>
        <w:t>&lt;RefProc&gt;</w:t>
      </w:r>
      <w:r w:rsidRPr="005619E6">
        <w:t>2024/2057</w:t>
      </w:r>
      <w:r w:rsidRPr="005619E6">
        <w:rPr>
          <w:rStyle w:val="HideTWBExt"/>
          <w:b w:val="0"/>
        </w:rPr>
        <w:t>&lt;/RefProc&gt;&lt;RefTypeProc&gt;</w:t>
      </w:r>
      <w:r w:rsidRPr="005619E6">
        <w:t>(INI)</w:t>
      </w:r>
      <w:r w:rsidRPr="005619E6">
        <w:rPr>
          <w:rStyle w:val="HideTWBExt"/>
          <w:b w:val="0"/>
        </w:rPr>
        <w:t>&lt;/RefTypeProc&gt;</w:t>
      </w:r>
    </w:p>
    <w:p w:rsidR="00144AD8" w:rsidRPr="005619E6" w:rsidRDefault="0037619C">
      <w:pPr>
        <w:pStyle w:val="CoverDate"/>
      </w:pPr>
      <w:r w:rsidRPr="005619E6">
        <w:rPr>
          <w:rStyle w:val="HideTWBExt"/>
        </w:rPr>
        <w:t>&lt;Date&gt;</w:t>
      </w:r>
      <w:r w:rsidRPr="005619E6">
        <w:rPr>
          <w:rStyle w:val="HideTWBInt"/>
          <w:color w:val="auto"/>
        </w:rPr>
        <w:t>{10/10/2024}</w:t>
      </w:r>
      <w:r w:rsidRPr="005619E6">
        <w:t>10.10.2024</w:t>
      </w:r>
      <w:r w:rsidRPr="005619E6">
        <w:rPr>
          <w:rStyle w:val="HideTWBExt"/>
        </w:rPr>
        <w:t>&lt;/Date&gt;</w:t>
      </w:r>
    </w:p>
    <w:p w:rsidR="00144AD8" w:rsidRPr="005619E6" w:rsidRDefault="0037619C">
      <w:pPr>
        <w:pStyle w:val="CoverDocType24a"/>
      </w:pPr>
      <w:r w:rsidRPr="005619E6">
        <w:rPr>
          <w:rStyle w:val="HideTWBExt"/>
          <w:b w:val="0"/>
        </w:rPr>
        <w:t>&lt;TitreType&gt;</w:t>
      </w:r>
      <w:r w:rsidRPr="005619E6">
        <w:t>JELENTÉSTERVEZET</w:t>
      </w:r>
      <w:r w:rsidRPr="005619E6">
        <w:rPr>
          <w:rStyle w:val="HideTWBExt"/>
          <w:b w:val="0"/>
        </w:rPr>
        <w:t>&lt;/TitreType&gt;</w:t>
      </w:r>
    </w:p>
    <w:p w:rsidR="00144AD8" w:rsidRPr="005619E6" w:rsidRDefault="0037619C">
      <w:pPr>
        <w:pStyle w:val="CoverNormal"/>
      </w:pPr>
      <w:r w:rsidRPr="005619E6">
        <w:rPr>
          <w:rStyle w:val="HideTWBExt"/>
        </w:rPr>
        <w:t>&lt;Titre&gt;</w:t>
      </w:r>
      <w:r w:rsidRPr="005619E6">
        <w:t xml:space="preserve">az ENSZ </w:t>
      </w:r>
      <w:r w:rsidRPr="005619E6">
        <w:t>nők helyzetével foglalkozó bizottsága 69. ülésszakára vonatkozó uniós prioritásokról szóló, a Tanácshoz intézett európai parlamenti ajánlásról</w:t>
      </w:r>
      <w:r w:rsidRPr="005619E6">
        <w:rPr>
          <w:rStyle w:val="HideTWBExt"/>
        </w:rPr>
        <w:t>&lt;/Titre&gt;</w:t>
      </w:r>
    </w:p>
    <w:p w:rsidR="00144AD8" w:rsidRPr="005619E6" w:rsidRDefault="0037619C">
      <w:pPr>
        <w:pStyle w:val="CoverNormal24a"/>
      </w:pPr>
      <w:r w:rsidRPr="005619E6">
        <w:rPr>
          <w:rStyle w:val="HideTWBExt"/>
        </w:rPr>
        <w:t>&lt;DocRef&gt;</w:t>
      </w:r>
      <w:r w:rsidRPr="005619E6">
        <w:t>(2024/2057(INI))</w:t>
      </w:r>
      <w:r w:rsidRPr="005619E6">
        <w:rPr>
          <w:rStyle w:val="HideTWBExt"/>
        </w:rPr>
        <w:t>&lt;/DocRef&gt;</w:t>
      </w:r>
    </w:p>
    <w:p w:rsidR="00144AD8" w:rsidRPr="005619E6" w:rsidRDefault="0037619C">
      <w:pPr>
        <w:pStyle w:val="CoverNormal24a"/>
      </w:pPr>
      <w:r w:rsidRPr="005619E6">
        <w:rPr>
          <w:rStyle w:val="HideTWBExt"/>
        </w:rPr>
        <w:t>&lt;Commission&gt;</w:t>
      </w:r>
      <w:r w:rsidRPr="005619E6">
        <w:rPr>
          <w:rStyle w:val="HideTWBInt"/>
          <w:color w:val="auto"/>
        </w:rPr>
        <w:t>{FEMM}</w:t>
      </w:r>
      <w:r w:rsidRPr="005619E6">
        <w:t>Nőjogi és Esélyegyenlőségi Bizottság</w:t>
      </w:r>
      <w:r w:rsidRPr="005619E6">
        <w:rPr>
          <w:rStyle w:val="HideTWBExt"/>
        </w:rPr>
        <w:t>&lt;/Commission&gt;</w:t>
      </w:r>
    </w:p>
    <w:p w:rsidR="00144AD8" w:rsidRPr="005619E6" w:rsidRDefault="0037619C">
      <w:pPr>
        <w:pStyle w:val="CoverNormal24a"/>
      </w:pPr>
      <w:r w:rsidRPr="005619E6">
        <w:t>Elő</w:t>
      </w:r>
      <w:r w:rsidRPr="005619E6">
        <w:t xml:space="preserve">adó: </w:t>
      </w:r>
      <w:r w:rsidRPr="005619E6">
        <w:rPr>
          <w:rStyle w:val="HideTWBExt"/>
        </w:rPr>
        <w:t>&lt;Depute&gt;</w:t>
      </w:r>
      <w:r w:rsidRPr="005619E6">
        <w:t>Lina Gálvez</w:t>
      </w:r>
      <w:r w:rsidRPr="005619E6">
        <w:rPr>
          <w:rStyle w:val="HideTWBExt"/>
        </w:rPr>
        <w:t>&lt;/Depute&gt;</w:t>
      </w:r>
    </w:p>
    <w:p w:rsidR="00627DF1" w:rsidRPr="005619E6" w:rsidRDefault="00627DF1" w:rsidP="00627DF1">
      <w:pPr>
        <w:pStyle w:val="CoverNormal"/>
      </w:pPr>
    </w:p>
    <w:p w:rsidR="00144AD8" w:rsidRPr="005619E6" w:rsidRDefault="0037619C" w:rsidP="009340AC">
      <w:pPr>
        <w:widowControl/>
        <w:tabs>
          <w:tab w:val="center" w:pos="4677"/>
        </w:tabs>
      </w:pPr>
      <w:r w:rsidRPr="005619E6">
        <w:br w:type="page"/>
      </w:r>
      <w:r w:rsidRPr="005619E6">
        <w:lastRenderedPageBreak/>
        <w:t>PR_INI_RecommCFSP</w:t>
      </w:r>
    </w:p>
    <w:p w:rsidR="00144AD8" w:rsidRPr="005619E6" w:rsidRDefault="0037619C">
      <w:pPr>
        <w:pStyle w:val="TOCHeading"/>
      </w:pPr>
      <w:r w:rsidRPr="005619E6">
        <w:t>TARTALOM</w:t>
      </w:r>
    </w:p>
    <w:p w:rsidR="00144AD8" w:rsidRPr="005619E6" w:rsidRDefault="0037619C">
      <w:pPr>
        <w:pStyle w:val="TOCPage"/>
      </w:pPr>
      <w:r w:rsidRPr="005619E6">
        <w:t>Page</w:t>
      </w:r>
    </w:p>
    <w:p w:rsidR="0037619C" w:rsidRDefault="0037619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5619E6">
        <w:fldChar w:fldCharType="begin"/>
      </w:r>
      <w:r w:rsidRPr="005619E6">
        <w:instrText xml:space="preserve"> TOC \t "PageHeading;1" </w:instrText>
      </w:r>
      <w:r w:rsidRPr="005619E6">
        <w:fldChar w:fldCharType="separate"/>
      </w:r>
      <w:r>
        <w:rPr>
          <w:noProof/>
        </w:rPr>
        <w:t>AZ EURÓPAI PARLAMENT AJÁNLÁSTERVEZETE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_Toc180658185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40E95" w:rsidRPr="005619E6" w:rsidRDefault="0037619C" w:rsidP="00E40E95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sz w:val="22"/>
        </w:rPr>
      </w:pPr>
      <w:r w:rsidRPr="005619E6">
        <w:fldChar w:fldCharType="end"/>
      </w:r>
      <w:r w:rsidRPr="005619E6">
        <w:t>MELLÉKLET: AZON SZERVEZETEK VAGY SZEMÉLYEK JEGYZÉKE, AMELYEKTŐL, ILLETVE AKIKTŐL AZ ELŐADÓ ÉSZREVÉTELEKET KAPOTT</w:t>
      </w:r>
      <w:r w:rsidRPr="005619E6">
        <w:tab/>
        <w:t>7</w:t>
      </w:r>
    </w:p>
    <w:p w:rsidR="00627DF1" w:rsidRPr="005619E6" w:rsidRDefault="00627DF1" w:rsidP="00865AB2"/>
    <w:p w:rsidR="00144AD8" w:rsidRPr="005619E6" w:rsidRDefault="0037619C">
      <w:pPr>
        <w:pStyle w:val="PageHeading"/>
      </w:pPr>
      <w:r w:rsidRPr="005619E6">
        <w:br w:type="page"/>
      </w:r>
      <w:bookmarkStart w:id="1" w:name="_Toc180658185"/>
      <w:r w:rsidRPr="005619E6">
        <w:lastRenderedPageBreak/>
        <w:t>AZ EURÓPAI PARLAMENT AJÁNLÁSTERVEZETE</w:t>
      </w:r>
      <w:bookmarkEnd w:id="1"/>
    </w:p>
    <w:p w:rsidR="00144AD8" w:rsidRPr="005619E6" w:rsidRDefault="0037619C">
      <w:pPr>
        <w:pStyle w:val="NormalBold"/>
      </w:pPr>
      <w:r w:rsidRPr="005619E6">
        <w:t>a Tanácsnak az ENSZ nők helyzetév</w:t>
      </w:r>
      <w:r w:rsidRPr="005619E6">
        <w:t>el foglalkozó bizottsága 69. ülésszakára vonatkozó uniós prioritásokról</w:t>
      </w:r>
    </w:p>
    <w:p w:rsidR="00144AD8" w:rsidRPr="005619E6" w:rsidRDefault="0037619C" w:rsidP="00A144CA">
      <w:pPr>
        <w:pStyle w:val="NormalBold"/>
      </w:pPr>
      <w:r w:rsidRPr="005619E6">
        <w:t>(2024/2057(INI))</w:t>
      </w:r>
    </w:p>
    <w:p w:rsidR="00144AD8" w:rsidRPr="005619E6" w:rsidRDefault="0037619C">
      <w:pPr>
        <w:pStyle w:val="EPComma"/>
      </w:pPr>
      <w:r w:rsidRPr="005619E6">
        <w:rPr>
          <w:i/>
          <w:iCs/>
        </w:rPr>
        <w:t>Az Európai Parlament</w:t>
      </w:r>
      <w:r w:rsidRPr="005619E6">
        <w:t>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 xml:space="preserve">tekintettel az ENSZ „Pekingi Nyilatkozat és Cselekvési Platform” című, 1995. szeptember 15-i nyilatkozatára és felülvizsgálati konferenciáinak </w:t>
      </w:r>
      <w:r w:rsidRPr="005619E6">
        <w:t>eredményeire,</w:t>
      </w:r>
    </w:p>
    <w:p w:rsidR="00046422" w:rsidRPr="005619E6" w:rsidRDefault="0037619C" w:rsidP="00046422">
      <w:pPr>
        <w:pStyle w:val="NormalHanging12a"/>
        <w:rPr>
          <w:sz w:val="20"/>
        </w:rPr>
      </w:pPr>
      <w:r w:rsidRPr="005619E6">
        <w:t>–</w:t>
      </w:r>
      <w:r w:rsidRPr="005619E6">
        <w:tab/>
        <w:t>tekintettel az ENSZ főtitkárának az ENSZ Nők Helyzetével Foglalkozó Bizottsága számára készült, „A Pekingi Nyilatkozat és Cselekvési Platform végrehajtásának felülvizsgálata és áttekintése, valamint az Egyesült Nemzetek Közgyűlése 23. rendk</w:t>
      </w:r>
      <w:r w:rsidRPr="005619E6">
        <w:t>ívüli ülésszakának eredményei” című, 2019. december 13-i jelentésére,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>tekintettel a Bizottságnak és az Unió külügyi és biztonságpolitikai főképviselőjének „A nemek közötti egyenlőségre vonatkozó III. uniós cselekvési terv (GAP) – Az EU külső tevékenysége</w:t>
      </w:r>
      <w:r w:rsidRPr="005619E6">
        <w:t>iben a nemek közötti egyenlőség biztosítását és a nők szerepének megerősítését célzó ambiciózus program” című, 2020. november 25-i közös közleményére (JOIN(2020)0017), valamint az azt kísérő, „A GAP III végrehajtásához kapcsolódó célkitűzések és mutatók (2</w:t>
      </w:r>
      <w:r w:rsidRPr="005619E6">
        <w:t>021–2025)” című, 2020. november 25-i közös bizottsági szolgálati munkadokumentumra (SWD(2020)0284),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>tekintettel a nemek közötti egyenlőségre vonatkozó III. uniós cselekvési tervről szóló, 2022. március 10-i állásfoglalására</w:t>
      </w:r>
      <w:r w:rsidRPr="005619E6">
        <w:rPr>
          <w:rStyle w:val="FootnoteReference"/>
        </w:rPr>
        <w:footnoteReference w:id="1"/>
      </w:r>
      <w:r w:rsidRPr="005619E6">
        <w:t>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>tekintettel a 2021. februá</w:t>
      </w:r>
      <w:r w:rsidRPr="005619E6">
        <w:t>r 11-i állásfoglalására a nők jogai előtt álló kihívásokról Európában: több mint 25 évvel a Pekingi Nyilatkozat és Cselekvési Platform elfogadása után</w:t>
      </w:r>
      <w:r w:rsidRPr="005619E6">
        <w:rPr>
          <w:rStyle w:val="FootnoteReference"/>
        </w:rPr>
        <w:footnoteReference w:id="2"/>
      </w:r>
      <w:r w:rsidRPr="005619E6">
        <w:t>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>tekintettel „Az 5. fenntartható fejlődési cél terén elért eredmények felgyorsítása: A nemek közötti e</w:t>
      </w:r>
      <w:r w:rsidRPr="005619E6">
        <w:t>gyenlőség megvalósítása, valamint a nők és lányok társadalmi szerepvállalásának növelése” című, a Parlamenti Kutatási Szolgáltatások Főigazgatósága által 2024. szeptember 18-án közzétett dokumentumra,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>tekintettel az ENSZ nőjogi szervezetének és az ENSZ G</w:t>
      </w:r>
      <w:r w:rsidRPr="005619E6">
        <w:t>azdasági és Szociális Ügyek Minisztériumának „Eredmény a fenntartható fejlődési célok terén: A Nemek Közötti Egyenlőség Pillanatképe, 2024.” című, 2024. szeptemberi jelentésére,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>tekintettel eljárási szabályzatának 121. cikkére,</w:t>
      </w:r>
    </w:p>
    <w:p w:rsidR="00046422" w:rsidRPr="005619E6" w:rsidRDefault="0037619C" w:rsidP="00046422">
      <w:pPr>
        <w:pStyle w:val="NormalHanging12a"/>
      </w:pPr>
      <w:r w:rsidRPr="005619E6">
        <w:t>–</w:t>
      </w:r>
      <w:r w:rsidRPr="005619E6">
        <w:tab/>
        <w:t xml:space="preserve">tekintettel a Nőjogi és </w:t>
      </w:r>
      <w:r w:rsidRPr="005619E6">
        <w:t>Esélyegyenlőségi Bizottság jelentésére (A10</w:t>
      </w:r>
      <w:r w:rsidRPr="005619E6">
        <w:noBreakHyphen/>
        <w:t>0000/2024),</w:t>
      </w:r>
    </w:p>
    <w:p w:rsidR="00046422" w:rsidRPr="005619E6" w:rsidRDefault="0037619C" w:rsidP="00046422">
      <w:pPr>
        <w:pStyle w:val="NormalHanging12a"/>
        <w:widowControl/>
      </w:pPr>
      <w:r w:rsidRPr="005619E6">
        <w:t>A.</w:t>
      </w:r>
      <w:r w:rsidRPr="005619E6">
        <w:tab/>
        <w:t>mivel a nők és férfiak közötti egyenlőség az EU egyik alapelve, és mivel az EU külső tevékenységét ennek az elvnek kell vezérelnie;</w:t>
      </w:r>
    </w:p>
    <w:p w:rsidR="00046422" w:rsidRPr="005619E6" w:rsidRDefault="0037619C" w:rsidP="00046422">
      <w:pPr>
        <w:pStyle w:val="NormalHanging12a"/>
        <w:widowControl/>
        <w:rPr>
          <w:szCs w:val="24"/>
        </w:rPr>
      </w:pPr>
      <w:r w:rsidRPr="005619E6">
        <w:lastRenderedPageBreak/>
        <w:t>B.</w:t>
      </w:r>
      <w:r w:rsidRPr="005619E6">
        <w:tab/>
        <w:t>mivel a nők emberi jogai és a nemek közötti egyenlőség nemcsak</w:t>
      </w:r>
      <w:r w:rsidRPr="005619E6">
        <w:t xml:space="preserve"> alapvető emberi jogok, hanem a fejlődés előrehaladásának és a szegénység csökkentésének előfeltételei, valamint egy békés, virágzó és fenntartható világ eléréséhez szükség alap;</w:t>
      </w:r>
    </w:p>
    <w:p w:rsidR="00046422" w:rsidRPr="005619E6" w:rsidRDefault="0037619C" w:rsidP="00046422">
      <w:pPr>
        <w:pStyle w:val="NormalHanging12a"/>
        <w:widowControl/>
        <w:rPr>
          <w:szCs w:val="24"/>
        </w:rPr>
      </w:pPr>
      <w:r w:rsidRPr="005619E6">
        <w:t>C.</w:t>
      </w:r>
      <w:r w:rsidRPr="005619E6">
        <w:tab/>
        <w:t xml:space="preserve">mivel az 1995. évi pekingi Nők Negyedik Világkonferenciáján világszerte </w:t>
      </w:r>
      <w:r w:rsidRPr="005619E6">
        <w:t>189 kormány, köztük az EU és tagállamai elkötelezték magukat amellett, hogy a nemek közötti egyenlőség és valamennyi nő és lány társadalmi szerepvállalásának növelése érdekében munkálkodnak;</w:t>
      </w:r>
    </w:p>
    <w:p w:rsidR="00046422" w:rsidRPr="005619E6" w:rsidRDefault="0037619C" w:rsidP="00046422">
      <w:pPr>
        <w:pStyle w:val="NormalHanging12a"/>
        <w:widowControl/>
      </w:pPr>
      <w:r w:rsidRPr="005619E6">
        <w:t>D.</w:t>
      </w:r>
      <w:r w:rsidRPr="005619E6">
        <w:tab/>
        <w:t>mivel a Pekingi Nyilatkozat és Cselekvési Platform a nemek köz</w:t>
      </w:r>
      <w:r w:rsidRPr="005619E6">
        <w:t xml:space="preserve">ötti egyenlőség előmozdításának legátfogóbb globális menetrendje, amely a nők jogait emberi jogként határozza meg, és a nők nemzetközi „alapjogi törvényének” tekinthető, amely a világ minden nője számára egyenlő jogokat, szabadságot és lehetőségeket </w:t>
      </w:r>
      <w:r w:rsidRPr="005619E6">
        <w:rPr>
          <w:shd w:val="clear" w:color="auto" w:fill="FFFFFF"/>
        </w:rPr>
        <w:t>fogalm</w:t>
      </w:r>
      <w:r w:rsidRPr="005619E6">
        <w:rPr>
          <w:shd w:val="clear" w:color="auto" w:fill="FFFFFF"/>
        </w:rPr>
        <w:t xml:space="preserve">az meg, és amelyet 2015-ben </w:t>
      </w:r>
      <w:r w:rsidRPr="005619E6">
        <w:t>megerősítettek az ENSZ 2030-ig tartó időszakra vonatkozó fenntartható fejlődési menetrendjében meghatározott fenntartható fejlődési célok „A nemek közötti egyenlőség elérése, valamint valamennyi nő és lány társadalmi szerepválla</w:t>
      </w:r>
      <w:r w:rsidRPr="005619E6">
        <w:t>lásának növelése” című 5. céljával azáltal, hogy célokat és konkrét intézkedéseket határoztak meg a nőket és lányokat érintő számos kérdésben;</w:t>
      </w:r>
    </w:p>
    <w:p w:rsidR="00046422" w:rsidRPr="005619E6" w:rsidRDefault="0037619C" w:rsidP="00046422">
      <w:pPr>
        <w:pStyle w:val="NormalHanging12a"/>
        <w:widowControl/>
      </w:pPr>
      <w:r w:rsidRPr="005619E6">
        <w:t>E.</w:t>
      </w:r>
      <w:r w:rsidRPr="005619E6">
        <w:tab/>
        <w:t>mivel az ENSZ fenntartható fejlődési céljaira vonatkozó 2030-as határidő előtt mindössze hat évvel nem sikerül</w:t>
      </w:r>
      <w:r w:rsidRPr="005619E6">
        <w:t>t teljes mértékben elérni az 5. cél szerinti egyetlen mutatót sem; mivel az ENSZ becslése szerint radikális intézkedésekre van szükség az előrehaladás felgyorsítása és annak elkerülése érdekében, hogy 286 év teljen el a jogi védelem hiányosságainak felszám</w:t>
      </w:r>
      <w:r w:rsidRPr="005619E6">
        <w:t>olásához és a nőket hátrányosan megkülönböztető jogszabályok megszüntetéséhez;</w:t>
      </w:r>
    </w:p>
    <w:p w:rsidR="00046422" w:rsidRPr="005619E6" w:rsidRDefault="0037619C" w:rsidP="00046422">
      <w:pPr>
        <w:pStyle w:val="NormalHanging12a"/>
        <w:widowControl/>
      </w:pPr>
      <w:r w:rsidRPr="005619E6">
        <w:t>F.</w:t>
      </w:r>
      <w:r w:rsidRPr="005619E6">
        <w:tab/>
        <w:t>mivel az ENSZ 2024-es, az 5. fenntartható fejlődési cél értékeléséről szóló tanulmánya</w:t>
      </w:r>
      <w:r w:rsidRPr="005619E6">
        <w:rPr>
          <w:rStyle w:val="FootnoteReference"/>
        </w:rPr>
        <w:footnoteReference w:id="3"/>
      </w:r>
      <w:r w:rsidRPr="005619E6">
        <w:t xml:space="preserve"> kiemeli, hogy még mindig léteznek olyan társadalmi normák, amelyek legitimálják a nők és lányok elleni erőszakot, csökkentik az egészségügyi szolgáltatásokhoz való hozzáférést, kizárólag a nőkre hárítják a nem fizetett ápolási-gondozási és háztartási munk</w:t>
      </w:r>
      <w:r w:rsidRPr="005619E6">
        <w:t>át, és korlátozzák a vezetői lehetőségeket;</w:t>
      </w:r>
    </w:p>
    <w:p w:rsidR="00046422" w:rsidRPr="005619E6" w:rsidRDefault="0037619C" w:rsidP="00046422">
      <w:pPr>
        <w:pStyle w:val="NormalHanging12a"/>
        <w:widowControl/>
      </w:pPr>
      <w:r w:rsidRPr="005619E6">
        <w:t>G.</w:t>
      </w:r>
      <w:r w:rsidRPr="005619E6">
        <w:tab/>
        <w:t>mivel az ENSZ Közgyűlése aggodalmát fejezte ki a nemek közötti egyenlőség terén elért eredményekkel szembeni aktív ellenállás és a nők jogai tekintetében növekvő transznacionális visszaesés miatt; mivel egyért</w:t>
      </w:r>
      <w:r w:rsidRPr="005619E6">
        <w:t>elmű és sürgős szükség van a nők és lányok érdemi egyenlőségének és emberi jogainak megerősítésére</w:t>
      </w:r>
      <w:r w:rsidRPr="005619E6">
        <w:rPr>
          <w:rStyle w:val="FootnoteReference"/>
        </w:rPr>
        <w:footnoteReference w:id="4"/>
      </w:r>
      <w:r w:rsidRPr="005619E6">
        <w:t>;</w:t>
      </w:r>
    </w:p>
    <w:p w:rsidR="00046422" w:rsidRPr="005619E6" w:rsidRDefault="0037619C" w:rsidP="00046422">
      <w:pPr>
        <w:pStyle w:val="NormalHanging12a"/>
      </w:pPr>
      <w:r w:rsidRPr="005619E6">
        <w:t>1.</w:t>
      </w:r>
      <w:r w:rsidRPr="005619E6">
        <w:tab/>
        <w:t>ajánlja a Tanácsnak, hogy: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a)</w:t>
      </w:r>
      <w:r w:rsidRPr="005619E6">
        <w:tab/>
        <w:t xml:space="preserve">erősítse meg elkötelezettségét a Pekingi Nyilatkozat és Cselekvési Program és </w:t>
      </w:r>
      <w:r w:rsidRPr="005619E6">
        <w:lastRenderedPageBreak/>
        <w:t>az abban foglalt, a nők emberi jogaival és a</w:t>
      </w:r>
      <w:r w:rsidRPr="005619E6">
        <w:t xml:space="preserve"> nemek közötti egyenlőséggel kapcsolatos fellépések iránt; erősítse meg a nők emberi jogai iránti elkötelezettségét a nemek közötti egyenlőség valamennyi szakpolitikai területen és ciklusban történő általános érvényesítése, a nők emberi jogaira és a nemek </w:t>
      </w:r>
      <w:r w:rsidRPr="005619E6">
        <w:t>közötti egyenlőségre irányuló konkrét és célzott intézkedések végrehajtása, valamint a nemek közötti egyenlőség szempontját érvényesítő költségvetés-tervezés biztosítása révén;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b)</w:t>
      </w:r>
      <w:r w:rsidRPr="005619E6">
        <w:tab/>
        <w:t xml:space="preserve">biztosítsa, hogy a nemek közötti egyenlőség és a nők jogai teljes mértékben </w:t>
      </w:r>
      <w:r w:rsidRPr="005619E6">
        <w:t>és büszkén érvényesüljenek az EU külső tevékenységének minden területén, egy megfelelően finanszírozott, a nemek közötti egyenlőség szempontjából transzformatív, inkluzív és interszekcionális megközelítés révén;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c)</w:t>
      </w:r>
      <w:r w:rsidRPr="005619E6">
        <w:tab/>
        <w:t>biztosítsa a Parlament és a Nőjogi és Esé</w:t>
      </w:r>
      <w:r w:rsidRPr="005619E6">
        <w:t>lyegyenlőségi Bizottság teljes körű bevonását az ENSZ nők helyzetével foglalkozó bizottságának 69. ülésszakán (2025. március 10–25.) képviselendő uniós állásponttal kapcsolatos döntéshozatali folyamatba; biztosítsa, hogy a Parlament a tárgyalások előtt meg</w:t>
      </w:r>
      <w:r w:rsidRPr="005619E6">
        <w:t>felelő és időben történő tájékoztatást kapjon, és hozzáférjen az uniós álláspontot ismertető dokumentumhoz; javítsa tovább az intézményközi együttműködést és az informális konzultációt, többek között a tárgyalások előtt és alatt is, annak érdekében, hogy a</w:t>
      </w:r>
      <w:r w:rsidRPr="005619E6">
        <w:t xml:space="preserve"> Parlament prioritásait megfelelően figyelembe vegyék;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d)</w:t>
      </w:r>
      <w:r w:rsidRPr="005619E6">
        <w:tab/>
        <w:t>megfelelően vegye számba a Pekingi Nyilatkozat és Cselekvési Platform végrehajtása terén elért eredményeket és visszaeséseket;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e)</w:t>
      </w:r>
      <w:r w:rsidRPr="005619E6">
        <w:tab/>
        <w:t xml:space="preserve">fokozza az EU arra irányuló erőfeszítéseit, hogy leküzdje a Pekingi </w:t>
      </w:r>
      <w:r w:rsidRPr="005619E6">
        <w:t>Nyilatkozat és Cselekvési Platform teljes körű végrehajtásával kapcsolatban még fennálló kihívásokat; biztosítsa, hogy az EU jó példával járjon elöl azáltal, hogy erőteljes szakpolitikai intézkedéseket vezet be a nemek közötti egyenlőtlenség valamennyi meg</w:t>
      </w:r>
      <w:r w:rsidRPr="005619E6">
        <w:t>nyilvánulásának kezelésére, leküzdésére és előrejelzésére, valamint a legkülönbözőbb helyzetű nők szerepének megerősítésére;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f)</w:t>
      </w:r>
      <w:r w:rsidRPr="005619E6">
        <w:tab/>
        <w:t>ismételten hangsúlyozza, hogy az EU-nak fontos szerepet kell játszania a nemek közötti egyenlőség világszerte történő megvalósít</w:t>
      </w:r>
      <w:r w:rsidRPr="005619E6">
        <w:t>ásában azáltal, hogy támogatja a partnerországokat a nemi alapú megkülönböztetés kezelésében; biztosítsa, hogy az EU jó példával járjon elöl azáltal, hogy sürgeti a fennmaradó öt tagállamot, amelyek még nem ratifikálták és nem hajtották végre az isztambuli</w:t>
      </w:r>
      <w:r w:rsidRPr="005619E6">
        <w:t xml:space="preserve"> egyezményt, hogy ezt a lehető legrövidebb időn belül tegyék meg;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g)</w:t>
      </w:r>
      <w:r w:rsidRPr="005619E6">
        <w:tab/>
        <w:t>szorgalmazza, hogy az élet minden területén mindenki számára egyenlő esélyeket biztosítsanak annak érdekében, hogy a legkülönbözőbb helyzetű nők ki tudják aknázni a bennük rejlő lehetőség</w:t>
      </w:r>
      <w:r w:rsidRPr="005619E6">
        <w:t xml:space="preserve">eket, különösen a politikai, gazdasági, tudományos vagy kulturális döntéshozatalban, ami a jó kormányzás és a politikai döntéshozatal szempontjából is alapvető fontosságú; ebben az összefüggésben fejezze ki a nők ellen a politikában elkövetett szemiotikai </w:t>
      </w:r>
      <w:r w:rsidRPr="005619E6">
        <w:t>erőszak elleni tiltakozást, amely fenntartja és megerősíti a nőkkel kapcsolatos negatív sztereotípiákat, és visszatartja a fiatal nőket attól, hogy belépjenek a politikába és a közszférába;</w:t>
      </w:r>
    </w:p>
    <w:p w:rsidR="00046422" w:rsidRPr="005619E6" w:rsidRDefault="0037619C" w:rsidP="00046422">
      <w:pPr>
        <w:pStyle w:val="Action"/>
        <w:keepNext w:val="0"/>
        <w:keepLines w:val="0"/>
        <w:widowControl/>
        <w:tabs>
          <w:tab w:val="clear" w:pos="357"/>
        </w:tabs>
        <w:spacing w:after="120"/>
        <w:ind w:left="1290" w:hanging="723"/>
        <w:rPr>
          <w:szCs w:val="24"/>
        </w:rPr>
      </w:pPr>
      <w:r w:rsidRPr="005619E6">
        <w:t>h)</w:t>
      </w:r>
      <w:r w:rsidRPr="005619E6">
        <w:tab/>
        <w:t>hangsúlyozza, hogy a gyenge politikai vezetést, az elkötelezett</w:t>
      </w:r>
      <w:r w:rsidRPr="005619E6">
        <w:t xml:space="preserve">ség hiányát, az adathiányt, az elégtelen beruházásokat és a jogellenes mozgalmak térnyerését akadályokként azonosították; ez szükségessé teszi, hogy több nőt juttassanak vezetői pozícióba, növeljék a beruházásokat, és átfogó politikai reformokat </w:t>
      </w:r>
      <w:r w:rsidRPr="005619E6">
        <w:lastRenderedPageBreak/>
        <w:t xml:space="preserve">hajtsanak </w:t>
      </w:r>
      <w:r w:rsidRPr="005619E6">
        <w:t>végre e rendszerszintű akadályok leküzdése és a valóban egyenlő társadalom megvalósítása érdekében;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i)</w:t>
      </w:r>
      <w:r w:rsidRPr="005619E6">
        <w:tab/>
        <w:t>alkalmazza a nemek közötti egyenlőség általános érvényesítését és a nemek közötti egyenlőség szempontját érvényesítő költségvetés-tervezést valamennyi un</w:t>
      </w:r>
      <w:r w:rsidRPr="005619E6">
        <w:t>iós szakpolitikai területen, beleértve a külső tevékenységeket is, és e tekintetben jó példával járjon elöl;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j)</w:t>
      </w:r>
      <w:r w:rsidRPr="005619E6">
        <w:tab/>
        <w:t>kötelezze el magát a folyamatos értékelés és proaktív korrekciós intézkedések mellett az EU belső és külső politikáiban a nemek közötti egyenlős</w:t>
      </w:r>
      <w:r w:rsidRPr="005619E6">
        <w:t>ég, a nemek közötti egyenlőség általános érvényesítése és a költségvetés-tervezés tekintetében;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k)</w:t>
      </w:r>
      <w:r w:rsidRPr="005619E6">
        <w:tab/>
        <w:t xml:space="preserve">kérje a Bizottságot, hogy fejlessze tovább és vezessen be konkrét és jól finanszírozott terveket és intézkedéseket az ENSZ fenntartható fejlődési céljainak, </w:t>
      </w:r>
      <w:r w:rsidRPr="005619E6">
        <w:t>különösen a nemek közötti egyenlőséggel kapcsolatos céloknak a kezelése érdekében;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l)</w:t>
      </w:r>
      <w:r w:rsidRPr="005619E6">
        <w:tab/>
        <w:t>vállaljon vezető szerepet a nemek közötti egyenlőség és a nők jogai területén tapasztalt visszaesés elleni globális küzdelemben;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m)</w:t>
      </w:r>
      <w:r w:rsidRPr="005619E6">
        <w:tab/>
        <w:t>sürgesse a Bizottságot, hogy fejlessze</w:t>
      </w:r>
      <w:r w:rsidRPr="005619E6">
        <w:t xml:space="preserve"> tovább és javítsa a nemek szerint szegregált adatok gyűjtését, és biztosítsa, hogy ezek az adatok hozzájáruljanak a jobb szakpolitikai döntéshozatalhoz; valamint erősítse meg a Nemek Közötti Egyenlőség Európai Intézetét mind a finanszírozás, mind a kapaci</w:t>
      </w:r>
      <w:r w:rsidRPr="005619E6">
        <w:t>tás tekintetében;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n)</w:t>
      </w:r>
      <w:r w:rsidRPr="005619E6">
        <w:tab/>
        <w:t xml:space="preserve">haladéktalanul és a lehető legteljesebb mértékben hajtsa végre a nemek közötti egyenlőségre vonatkozó III. uniós cselekvési tervet, és biztosítsa, hogy 2025-re a külkapcsolatokban az összes új fellépés </w:t>
      </w:r>
      <w:r w:rsidRPr="005619E6">
        <w:rPr>
          <w:shd w:val="clear" w:color="auto" w:fill="FFFFFF"/>
        </w:rPr>
        <w:t>85%-a hozzájáruljon a nemek közöt</w:t>
      </w:r>
      <w:r w:rsidRPr="005619E6">
        <w:rPr>
          <w:shd w:val="clear" w:color="auto" w:fill="FFFFFF"/>
        </w:rPr>
        <w:t>ti egyenlőséghez és a nők társadalmi szerepvállalásának növeléséhez;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o)</w:t>
      </w:r>
      <w:r w:rsidRPr="005619E6">
        <w:tab/>
        <w:t>vegye tudomásul és hajtsa végre a nemek közötti egyenlőségre vonatkozó III. uniós cselekvési tervről szóló, 2022. március 10-i parlamenti állásfoglalás ajánlásait, és ezáltal kezelje p</w:t>
      </w:r>
      <w:r w:rsidRPr="005619E6">
        <w:t>rioritásként a nemek közötti egyenlőségre vonatkozó III. uniós cselekvési tervet az EU külső tevékenységének minden területén a nemek közötti egyenlőség transzformatív és interszekcionális megközelítése révén, mind a nemek közötti egyenlőségre vonatkozó II</w:t>
      </w:r>
      <w:r w:rsidRPr="005619E6">
        <w:t>I. uniós cselekvési terv földrajzi lefedettsége és cselekvési területei, mind pedig a nemek közötti egyenlőség általános érvényesítése tekintetében a külső tevékenységek valamennyi területén, legyen szó a kereskedelemről, a fejlesztéspolitikáról, a humanit</w:t>
      </w:r>
      <w:r w:rsidRPr="005619E6">
        <w:t>árius segítségnyújtásról, a biztonságról vagy olyan ágazatokról, mint az energia és a mezőgazdaság;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p)</w:t>
      </w:r>
      <w:r w:rsidRPr="005619E6">
        <w:tab/>
        <w:t>dolgozzon ki, finanszírozzon és hajtson végre olyan politikákat, amelyek csökkentik a nemek szegénységben betöltött szerepét, mind az EU-n belül, mind kü</w:t>
      </w:r>
      <w:r w:rsidRPr="005619E6">
        <w:t>lső fellépések révén, kellően figyelembe véve az interszekcionális tényezőket, többek között az életkort, a gondozási feladatokat, a fogyatékosságot, a fajt és a szexualitást;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q)</w:t>
      </w:r>
      <w:r w:rsidRPr="005619E6">
        <w:tab/>
        <w:t>kezelje a nők szegénységének rendszerszintű és alapvető okait, valamint növel</w:t>
      </w:r>
      <w:r w:rsidRPr="005619E6">
        <w:t>je a legkülönbözőbb helyzetű nők és lányok társadalmi szerepvállalását az oktatás, a képzés, az egész életen át tartó tanulás, a megkülönböztetésmentes munkalehetőségek, a szociális szolgáltatásokhoz való hozzáférés, a nem fizetett gondozás és a társadalmi</w:t>
      </w:r>
      <w:r w:rsidRPr="005619E6">
        <w:t xml:space="preserve"> felelősségek jogalkotási kezdeményezések révén </w:t>
      </w:r>
      <w:r w:rsidRPr="005619E6">
        <w:lastRenderedPageBreak/>
        <w:t>történő kiegyensúlyozása, a nemi sztereotípiák elleni küzdelem és a nők mint példaképek előmozdítása révén;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r)</w:t>
      </w:r>
      <w:r w:rsidRPr="005619E6">
        <w:tab/>
        <w:t xml:space="preserve">szólítson fel további erőfeszítésekre, jogalkotásra és a meglévő intézkedések végrehajtására a </w:t>
      </w:r>
      <w:r w:rsidRPr="005619E6">
        <w:t>női háztartási alkalmazottak jogainak biztosítása érdekében;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s)</w:t>
      </w:r>
      <w:r w:rsidRPr="005619E6">
        <w:tab/>
        <w:t>fokozza az EU belső és külső reagálását, erőforrásait és eszköztárát a nemi alapú erőszakkal – többek között a kapcsolati, szexuális, fizikai, pszichológiai és gazdasági erőszakkal – kapcsolat</w:t>
      </w:r>
      <w:r w:rsidRPr="005619E6">
        <w:t>ban, többek között a háborús övezetekben, figyelembe véve a migrációt, a prostitúciót és a szexuális kizsákmányolást;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t)</w:t>
      </w:r>
      <w:r w:rsidRPr="005619E6">
        <w:tab/>
        <w:t>biztosítsa, hogy a legkülönbözőbb helyzetű nők hozzáférjenek az egészségügyi szolgáltatásokhoz, többek között a szexuális jogok és a re</w:t>
      </w:r>
      <w:r w:rsidRPr="005619E6">
        <w:t>produktív egészség tekintetében, beleértve az életkornak megfelelő, szexualitással kapcsolatos és párkapcsolati oktatást, a fogamzásgátlást, a biztonságos és legális abortuszt, az anyai egészségügyi ellátást és az ápolás-gondozáson alapuló egészségügyi szo</w:t>
      </w:r>
      <w:r w:rsidRPr="005619E6">
        <w:t>lgáltatásokat;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spacing w:after="120"/>
        <w:ind w:left="1290" w:hanging="723"/>
      </w:pPr>
      <w:r w:rsidRPr="005619E6">
        <w:t>u)</w:t>
      </w:r>
      <w:r w:rsidRPr="005619E6">
        <w:tab/>
        <w:t>szólítson fel fokozott erőfeszítésekre a nemek közötti egyenlőséggel kapcsolatos kérdések kezelése érdekében a zöld átállással összefüggésben, tekintettel az éghajlatváltozás nőkre és lányokra gyakorolt interszekcionális és aránytalan hat</w:t>
      </w:r>
      <w:r w:rsidRPr="005619E6">
        <w:t>ására, különösen a fejlődő országokban, megjegyezve, hogy az éghajlatváltozás hatásai nem semlegesek a nemek között;</w:t>
      </w:r>
    </w:p>
    <w:p w:rsidR="00046422" w:rsidRPr="005619E6" w:rsidRDefault="0037619C" w:rsidP="00046422">
      <w:pPr>
        <w:pStyle w:val="Action"/>
        <w:keepNext w:val="0"/>
        <w:keepLines w:val="0"/>
        <w:tabs>
          <w:tab w:val="clear" w:pos="357"/>
        </w:tabs>
        <w:ind w:left="1293" w:hanging="726"/>
      </w:pPr>
      <w:r w:rsidRPr="005619E6">
        <w:t>v)</w:t>
      </w:r>
      <w:r w:rsidRPr="005619E6">
        <w:tab/>
        <w:t>támogassa és erősítse meg a nők jogait támogató civil társadalmi szervezeteket;</w:t>
      </w:r>
    </w:p>
    <w:p w:rsidR="00046422" w:rsidRPr="005619E6" w:rsidRDefault="0037619C" w:rsidP="00046422">
      <w:pPr>
        <w:pStyle w:val="NormalHanging12a"/>
      </w:pPr>
      <w:r w:rsidRPr="005619E6">
        <w:t>2.</w:t>
      </w:r>
      <w:r w:rsidRPr="005619E6">
        <w:tab/>
        <w:t>utasítja elnökét, hogy továbbítsa ezt az ajánlást a T</w:t>
      </w:r>
      <w:r w:rsidRPr="005619E6">
        <w:t>anácsnak, valamint tájékoztatás céljából a Bizottságnak.</w:t>
      </w:r>
    </w:p>
    <w:p w:rsidR="00F73A9F" w:rsidRPr="005619E6" w:rsidRDefault="0037619C">
      <w:pPr>
        <w:widowControl/>
      </w:pPr>
      <w:r w:rsidRPr="005619E6">
        <w:br w:type="page"/>
      </w:r>
    </w:p>
    <w:p w:rsidR="00F73A9F" w:rsidRPr="005619E6" w:rsidRDefault="0037619C" w:rsidP="00F73A9F">
      <w:pPr>
        <w:jc w:val="center"/>
        <w:outlineLvl w:val="0"/>
        <w:rPr>
          <w:rFonts w:ascii="Arial" w:hAnsi="Arial"/>
          <w:b/>
          <w:caps/>
        </w:rPr>
      </w:pPr>
      <w:r w:rsidRPr="005619E6">
        <w:rPr>
          <w:rFonts w:ascii="Arial" w:hAnsi="Arial"/>
          <w:b/>
        </w:rPr>
        <w:lastRenderedPageBreak/>
        <w:t xml:space="preserve">MELLÉKLET: </w:t>
      </w:r>
      <w:r w:rsidRPr="005619E6">
        <w:rPr>
          <w:rFonts w:ascii="Arial" w:hAnsi="Arial"/>
          <w:b/>
          <w:caps/>
        </w:rPr>
        <w:t>AZON SZERVEZETEK VAGY SZEMÉLYEK JEGYZÉKE, AMELYEKTŐL, ILLETVE AKIKTŐL AZ ELŐADÓ ÉSZREVÉTELEKET KAPOTT</w:t>
      </w:r>
    </w:p>
    <w:p w:rsidR="00F73A9F" w:rsidRPr="005619E6" w:rsidRDefault="00F73A9F" w:rsidP="00F73A9F">
      <w:pPr>
        <w:jc w:val="center"/>
        <w:outlineLvl w:val="0"/>
        <w:rPr>
          <w:rFonts w:eastAsia="Calibri"/>
          <w:sz w:val="22"/>
          <w:szCs w:val="22"/>
        </w:rPr>
      </w:pPr>
    </w:p>
    <w:p w:rsidR="00F73A9F" w:rsidRPr="005619E6" w:rsidRDefault="00F73A9F" w:rsidP="00F73A9F">
      <w:pPr>
        <w:rPr>
          <w:rFonts w:eastAsiaTheme="minorHAnsi"/>
          <w:sz w:val="22"/>
          <w:szCs w:val="22"/>
        </w:rPr>
      </w:pPr>
    </w:p>
    <w:p w:rsidR="00144AD8" w:rsidRPr="005619E6" w:rsidRDefault="0037619C" w:rsidP="006D4BBB">
      <w:pPr>
        <w:spacing w:line="360" w:lineRule="auto"/>
        <w:rPr>
          <w:iCs/>
          <w:sz w:val="22"/>
          <w:szCs w:val="22"/>
        </w:rPr>
      </w:pPr>
      <w:r w:rsidRPr="005619E6">
        <w:rPr>
          <w:sz w:val="22"/>
        </w:rPr>
        <w:t xml:space="preserve">Az előadó kizárólagos felelősségi körében kijelenti, hogy az eljárási szabályzat </w:t>
      </w:r>
      <w:r w:rsidRPr="005619E6">
        <w:rPr>
          <w:sz w:val="22"/>
        </w:rPr>
        <w:t>I. mellékletének 8. cikke értelmében feltüntetendő egyetlen szervezettől vagy személytől sem kapott észrevételeket.</w:t>
      </w:r>
    </w:p>
    <w:sectPr w:rsidR="00144AD8" w:rsidRPr="005619E6" w:rsidSect="005619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5619E6" w:rsidRDefault="0037619C">
      <w:r w:rsidRPr="005619E6">
        <w:separator/>
      </w:r>
    </w:p>
  </w:endnote>
  <w:endnote w:type="continuationSeparator" w:id="0">
    <w:p w:rsidR="00000000" w:rsidRPr="005619E6" w:rsidRDefault="0037619C">
      <w:r w:rsidRPr="005619E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E6" w:rsidRPr="005619E6" w:rsidRDefault="005619E6" w:rsidP="005619E6">
    <w:pPr>
      <w:pStyle w:val="EPFooter"/>
    </w:pPr>
    <w:r w:rsidRPr="005619E6">
      <w:t>PE</w:t>
    </w:r>
    <w:r w:rsidRPr="005619E6">
      <w:rPr>
        <w:rStyle w:val="HideTWBExt"/>
      </w:rPr>
      <w:t>&lt;NoPE&gt;</w:t>
    </w:r>
    <w:r w:rsidRPr="005619E6">
      <w:t>765.072</w:t>
    </w:r>
    <w:r w:rsidRPr="005619E6">
      <w:rPr>
        <w:rStyle w:val="HideTWBExt"/>
      </w:rPr>
      <w:t>&lt;/NoPE&gt;&lt;Version&gt;</w:t>
    </w:r>
    <w:r w:rsidRPr="005619E6">
      <w:t>v01-00</w:t>
    </w:r>
    <w:r w:rsidRPr="005619E6">
      <w:rPr>
        <w:rStyle w:val="HideTWBExt"/>
      </w:rPr>
      <w:t>&lt;/Version&gt;</w:t>
    </w:r>
    <w:r w:rsidRPr="005619E6">
      <w:tab/>
    </w:r>
    <w:r w:rsidRPr="005619E6">
      <w:fldChar w:fldCharType="begin"/>
    </w:r>
    <w:r w:rsidRPr="005619E6">
      <w:instrText xml:space="preserve"> PAGE  \* MERGEFORMAT </w:instrText>
    </w:r>
    <w:r w:rsidRPr="005619E6">
      <w:fldChar w:fldCharType="separate"/>
    </w:r>
    <w:r w:rsidR="0037619C">
      <w:rPr>
        <w:noProof/>
      </w:rPr>
      <w:t>8</w:t>
    </w:r>
    <w:r w:rsidRPr="005619E6">
      <w:fldChar w:fldCharType="end"/>
    </w:r>
    <w:r w:rsidRPr="005619E6">
      <w:t>/</w:t>
    </w:r>
    <w:fldSimple w:instr=" NUMPAGES  \* MERGEFORMAT ">
      <w:r w:rsidR="0037619C">
        <w:rPr>
          <w:noProof/>
        </w:rPr>
        <w:t>8</w:t>
      </w:r>
    </w:fldSimple>
    <w:r w:rsidRPr="005619E6">
      <w:tab/>
    </w:r>
    <w:r w:rsidRPr="005619E6">
      <w:rPr>
        <w:rStyle w:val="HideTWBExt"/>
      </w:rPr>
      <w:t>&lt;PathFdR&gt;</w:t>
    </w:r>
    <w:r w:rsidRPr="005619E6">
      <w:t>PR\1308027HU.docx</w:t>
    </w:r>
    <w:r w:rsidRPr="005619E6">
      <w:rPr>
        <w:rStyle w:val="HideTWBExt"/>
      </w:rPr>
      <w:t>&lt;/PathFdR&gt;</w:t>
    </w:r>
  </w:p>
  <w:p w:rsidR="00144AD8" w:rsidRPr="005619E6" w:rsidRDefault="005619E6" w:rsidP="005619E6">
    <w:pPr>
      <w:pStyle w:val="EPFooter2"/>
    </w:pPr>
    <w:r w:rsidRPr="005619E6">
      <w:t>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E6" w:rsidRPr="005619E6" w:rsidRDefault="005619E6" w:rsidP="005619E6">
    <w:pPr>
      <w:pStyle w:val="EPFooter"/>
    </w:pPr>
    <w:r w:rsidRPr="005619E6">
      <w:rPr>
        <w:rStyle w:val="HideTWBExt"/>
      </w:rPr>
      <w:t>&lt;PathFdR&gt;</w:t>
    </w:r>
    <w:r w:rsidRPr="005619E6">
      <w:t>PR\1308027HU.docx</w:t>
    </w:r>
    <w:r w:rsidRPr="005619E6">
      <w:rPr>
        <w:rStyle w:val="HideTWBExt"/>
      </w:rPr>
      <w:t>&lt;/PathFdR&gt;</w:t>
    </w:r>
    <w:r w:rsidRPr="005619E6">
      <w:tab/>
    </w:r>
    <w:r w:rsidRPr="005619E6">
      <w:fldChar w:fldCharType="begin"/>
    </w:r>
    <w:r w:rsidRPr="005619E6">
      <w:instrText xml:space="preserve"> PAGE  \* MERGEFORMAT </w:instrText>
    </w:r>
    <w:r w:rsidRPr="005619E6">
      <w:fldChar w:fldCharType="separate"/>
    </w:r>
    <w:r w:rsidR="0037619C">
      <w:rPr>
        <w:noProof/>
      </w:rPr>
      <w:t>8</w:t>
    </w:r>
    <w:r w:rsidRPr="005619E6">
      <w:fldChar w:fldCharType="end"/>
    </w:r>
    <w:r w:rsidRPr="005619E6">
      <w:t>/</w:t>
    </w:r>
    <w:fldSimple w:instr=" NUMPAGES  \* MERGEFORMAT ">
      <w:r w:rsidR="0037619C">
        <w:rPr>
          <w:noProof/>
        </w:rPr>
        <w:t>8</w:t>
      </w:r>
    </w:fldSimple>
    <w:r w:rsidRPr="005619E6">
      <w:tab/>
      <w:t>PE</w:t>
    </w:r>
    <w:r w:rsidRPr="005619E6">
      <w:rPr>
        <w:rStyle w:val="HideTWBExt"/>
      </w:rPr>
      <w:t>&lt;NoPE&gt;</w:t>
    </w:r>
    <w:r w:rsidRPr="005619E6">
      <w:t>765.072</w:t>
    </w:r>
    <w:r w:rsidRPr="005619E6">
      <w:rPr>
        <w:rStyle w:val="HideTWBExt"/>
      </w:rPr>
      <w:t>&lt;/NoPE&gt;&lt;Version&gt;</w:t>
    </w:r>
    <w:r w:rsidRPr="005619E6">
      <w:t>v01-00</w:t>
    </w:r>
    <w:r w:rsidRPr="005619E6">
      <w:rPr>
        <w:rStyle w:val="HideTWBExt"/>
      </w:rPr>
      <w:t>&lt;/Version&gt;</w:t>
    </w:r>
  </w:p>
  <w:p w:rsidR="00144AD8" w:rsidRPr="005619E6" w:rsidRDefault="005619E6" w:rsidP="005619E6">
    <w:pPr>
      <w:pStyle w:val="EPFooter2"/>
    </w:pPr>
    <w:r w:rsidRPr="005619E6">
      <w:tab/>
    </w:r>
    <w:r w:rsidRPr="005619E6">
      <w:tab/>
      <w:t>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E6" w:rsidRPr="005619E6" w:rsidRDefault="005619E6" w:rsidP="005619E6">
    <w:pPr>
      <w:pStyle w:val="EPFooter"/>
    </w:pPr>
    <w:r w:rsidRPr="005619E6">
      <w:rPr>
        <w:rStyle w:val="HideTWBExt"/>
      </w:rPr>
      <w:t>&lt;PathFdR&gt;</w:t>
    </w:r>
    <w:r w:rsidRPr="005619E6">
      <w:t>PR\1308027HU.docx</w:t>
    </w:r>
    <w:r w:rsidRPr="005619E6">
      <w:rPr>
        <w:rStyle w:val="HideTWBExt"/>
      </w:rPr>
      <w:t>&lt;/PathFdR&gt;</w:t>
    </w:r>
    <w:r w:rsidRPr="005619E6">
      <w:tab/>
    </w:r>
    <w:r w:rsidRPr="005619E6">
      <w:tab/>
      <w:t>PE</w:t>
    </w:r>
    <w:r w:rsidRPr="005619E6">
      <w:rPr>
        <w:rStyle w:val="HideTWBExt"/>
      </w:rPr>
      <w:t>&lt;NoPE&gt;</w:t>
    </w:r>
    <w:r w:rsidRPr="005619E6">
      <w:t>765.072</w:t>
    </w:r>
    <w:r w:rsidRPr="005619E6">
      <w:rPr>
        <w:rStyle w:val="HideTWBExt"/>
      </w:rPr>
      <w:t>&lt;/NoPE&gt;&lt;Version&gt;</w:t>
    </w:r>
    <w:r w:rsidRPr="005619E6">
      <w:t>v01-00</w:t>
    </w:r>
    <w:r w:rsidRPr="005619E6">
      <w:rPr>
        <w:rStyle w:val="HideTWBExt"/>
      </w:rPr>
      <w:t>&lt;/Version&gt;</w:t>
    </w:r>
  </w:p>
  <w:p w:rsidR="00144AD8" w:rsidRPr="005619E6" w:rsidRDefault="005619E6" w:rsidP="005619E6">
    <w:pPr>
      <w:pStyle w:val="EPFooter2"/>
    </w:pPr>
    <w:r w:rsidRPr="005619E6">
      <w:t>HU</w:t>
    </w:r>
    <w:r w:rsidRPr="005619E6">
      <w:tab/>
    </w:r>
    <w:r w:rsidRPr="005619E6">
      <w:rPr>
        <w:b w:val="0"/>
        <w:i/>
        <w:color w:val="C0C0C0"/>
        <w:sz w:val="22"/>
      </w:rPr>
      <w:t>Egyesülve a sokféleségben</w:t>
    </w:r>
    <w:r w:rsidRPr="005619E6">
      <w:tab/>
      <w:t>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F24" w:rsidRPr="005619E6" w:rsidRDefault="0037619C">
      <w:r w:rsidRPr="005619E6">
        <w:separator/>
      </w:r>
    </w:p>
  </w:footnote>
  <w:footnote w:type="continuationSeparator" w:id="0">
    <w:p w:rsidR="00636F24" w:rsidRPr="005619E6" w:rsidRDefault="0037619C">
      <w:r w:rsidRPr="005619E6">
        <w:continuationSeparator/>
      </w:r>
    </w:p>
  </w:footnote>
  <w:footnote w:id="1">
    <w:p w:rsidR="00046422" w:rsidRPr="005619E6" w:rsidRDefault="0037619C" w:rsidP="00046422">
      <w:pPr>
        <w:pStyle w:val="FootnoteText"/>
      </w:pPr>
      <w:r w:rsidRPr="005619E6">
        <w:rPr>
          <w:rStyle w:val="FootnoteReference"/>
        </w:rPr>
        <w:footnoteRef/>
      </w:r>
      <w:r w:rsidRPr="005619E6">
        <w:t xml:space="preserve"> HL C 347., 2022.9.9., 150. o.</w:t>
      </w:r>
    </w:p>
  </w:footnote>
  <w:footnote w:id="2">
    <w:p w:rsidR="00046422" w:rsidRPr="005619E6" w:rsidRDefault="0037619C" w:rsidP="00046422">
      <w:pPr>
        <w:pStyle w:val="FootnoteText"/>
      </w:pPr>
      <w:r w:rsidRPr="005619E6">
        <w:rPr>
          <w:rStyle w:val="FootnoteReference"/>
        </w:rPr>
        <w:footnoteRef/>
      </w:r>
      <w:r w:rsidRPr="005619E6">
        <w:t xml:space="preserve"> HL C 465., 2021.11.17., 160. o.</w:t>
      </w:r>
    </w:p>
  </w:footnote>
  <w:footnote w:id="3">
    <w:p w:rsidR="00046422" w:rsidRPr="005619E6" w:rsidRDefault="0037619C" w:rsidP="00046422">
      <w:pPr>
        <w:pStyle w:val="NormalHanging12a"/>
        <w:widowControl/>
        <w:spacing w:after="0"/>
        <w:ind w:firstLine="0"/>
        <w:rPr>
          <w:sz w:val="20"/>
        </w:rPr>
      </w:pPr>
      <w:r w:rsidRPr="005619E6">
        <w:rPr>
          <w:rStyle w:val="FootnoteReference"/>
          <w:sz w:val="20"/>
        </w:rPr>
        <w:footnoteRef/>
      </w:r>
      <w:r w:rsidRPr="005619E6">
        <w:rPr>
          <w:sz w:val="20"/>
        </w:rPr>
        <w:t xml:space="preserve"> ENSZ, </w:t>
      </w:r>
      <w:r w:rsidRPr="005619E6">
        <w:rPr>
          <w:i/>
          <w:sz w:val="20"/>
        </w:rPr>
        <w:t>Are we getting there? A synthesis of UN system evaluations of SDG 5</w:t>
      </w:r>
      <w:r w:rsidRPr="005619E6">
        <w:rPr>
          <w:sz w:val="20"/>
        </w:rPr>
        <w:t xml:space="preserve"> [ENSZ, </w:t>
      </w:r>
      <w:r w:rsidRPr="005619E6">
        <w:rPr>
          <w:sz w:val="20"/>
        </w:rPr>
        <w:t xml:space="preserve">Elértük már? Az ENSZ 5. fenntartható fejlesztési célra vonatkozó rendszer értékeléseinek összefoglalása], 2024. március, </w:t>
      </w:r>
      <w:hyperlink r:id="rId1" w:history="1">
        <w:r w:rsidRPr="005619E6">
          <w:rPr>
            <w:rStyle w:val="Hyperlink"/>
            <w:sz w:val="20"/>
          </w:rPr>
          <w:t>https://www.unwomen.org/en/digital-library/publications/2024/03/are-we-getting-there-a-synthesis-of-un-system-evaluations-of-sdg-5</w:t>
        </w:r>
      </w:hyperlink>
      <w:r w:rsidRPr="005619E6">
        <w:rPr>
          <w:rStyle w:val="Hyperlink"/>
          <w:color w:val="auto"/>
          <w:sz w:val="20"/>
          <w:u w:val="none"/>
        </w:rPr>
        <w:t>.</w:t>
      </w:r>
    </w:p>
  </w:footnote>
  <w:footnote w:id="4">
    <w:p w:rsidR="00046422" w:rsidRPr="005619E6" w:rsidRDefault="0037619C" w:rsidP="00046422">
      <w:pPr>
        <w:pStyle w:val="NormalHanging12a"/>
        <w:spacing w:after="0"/>
        <w:ind w:firstLine="0"/>
        <w:rPr>
          <w:sz w:val="20"/>
        </w:rPr>
      </w:pPr>
      <w:r w:rsidRPr="005619E6">
        <w:rPr>
          <w:rStyle w:val="FootnoteReference"/>
          <w:sz w:val="20"/>
        </w:rPr>
        <w:footnoteRef/>
      </w:r>
      <w:r w:rsidRPr="005619E6">
        <w:rPr>
          <w:sz w:val="20"/>
        </w:rPr>
        <w:t xml:space="preserve"> Az ENSZ Közgyűlése: </w:t>
      </w:r>
      <w:r w:rsidRPr="005619E6">
        <w:rPr>
          <w:i/>
          <w:sz w:val="20"/>
        </w:rPr>
        <w:t>Escalating backlash against gender equality and urgency of reaffirming substantive equalit</w:t>
      </w:r>
      <w:r w:rsidRPr="005619E6">
        <w:rPr>
          <w:i/>
          <w:sz w:val="20"/>
        </w:rPr>
        <w:t>y and the human rights of women and girls: Report of the Working Group on discrimination against women and girls</w:t>
      </w:r>
      <w:r w:rsidRPr="005619E6">
        <w:rPr>
          <w:sz w:val="20"/>
        </w:rPr>
        <w:t xml:space="preserve"> [A nemek közötti egyenlőség elleni fokozott visszaesés, valamint a nők és lányok érdemi egyenlősége és emberi jogai megerősítésének sürgőssége:</w:t>
      </w:r>
      <w:r w:rsidRPr="005619E6">
        <w:rPr>
          <w:i/>
          <w:sz w:val="20"/>
        </w:rPr>
        <w:t xml:space="preserve"> </w:t>
      </w:r>
      <w:r w:rsidRPr="005619E6">
        <w:rPr>
          <w:sz w:val="20"/>
        </w:rPr>
        <w:t xml:space="preserve">A nőkkel és lányokkal szembeni megkülönböztetéssel foglalkozó munkacsoport jelentése], 2024. május 15. </w:t>
      </w:r>
      <w:hyperlink r:id="rId2" w:history="1">
        <w:r w:rsidRPr="005619E6">
          <w:rPr>
            <w:rStyle w:val="Hyperlink"/>
            <w:sz w:val="20"/>
          </w:rPr>
          <w:t>https://documents.un.org/doc/undoc/gen/g24/073/47/pdf/g2407347.pdf</w:t>
        </w:r>
      </w:hyperlink>
      <w:r w:rsidRPr="005619E6">
        <w:rPr>
          <w:rStyle w:val="Hyperlink"/>
          <w:color w:val="auto"/>
          <w:sz w:val="20"/>
          <w:u w:val="none"/>
        </w:rPr>
        <w:t>.</w:t>
      </w:r>
    </w:p>
    <w:p w:rsidR="00046422" w:rsidRPr="005619E6" w:rsidRDefault="00046422" w:rsidP="00046422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19C" w:rsidRDefault="003761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19C" w:rsidRDefault="003761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19C" w:rsidRDefault="00376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D90B9F"/>
    <w:multiLevelType w:val="hybridMultilevel"/>
    <w:tmpl w:val="2D185E42"/>
    <w:lvl w:ilvl="0" w:tplc="8DEE793E">
      <w:start w:val="1"/>
      <w:numFmt w:val="upperLetter"/>
      <w:lvlText w:val="%1."/>
      <w:lvlJc w:val="left"/>
      <w:pPr>
        <w:ind w:left="720" w:hanging="360"/>
      </w:pPr>
    </w:lvl>
    <w:lvl w:ilvl="1" w:tplc="D09EC424">
      <w:start w:val="1"/>
      <w:numFmt w:val="lowerLetter"/>
      <w:lvlText w:val="%2."/>
      <w:lvlJc w:val="left"/>
      <w:pPr>
        <w:ind w:left="1440" w:hanging="360"/>
      </w:pPr>
    </w:lvl>
    <w:lvl w:ilvl="2" w:tplc="42BC98FA">
      <w:start w:val="1"/>
      <w:numFmt w:val="lowerRoman"/>
      <w:lvlText w:val="%3."/>
      <w:lvlJc w:val="right"/>
      <w:pPr>
        <w:ind w:left="2160" w:hanging="180"/>
      </w:pPr>
    </w:lvl>
    <w:lvl w:ilvl="3" w:tplc="3F52864C">
      <w:start w:val="1"/>
      <w:numFmt w:val="decimal"/>
      <w:lvlText w:val="%4."/>
      <w:lvlJc w:val="left"/>
      <w:pPr>
        <w:ind w:left="2880" w:hanging="360"/>
      </w:pPr>
    </w:lvl>
    <w:lvl w:ilvl="4" w:tplc="A3BAB2DC">
      <w:start w:val="1"/>
      <w:numFmt w:val="lowerLetter"/>
      <w:lvlText w:val="%5."/>
      <w:lvlJc w:val="left"/>
      <w:pPr>
        <w:ind w:left="3600" w:hanging="360"/>
      </w:pPr>
    </w:lvl>
    <w:lvl w:ilvl="5" w:tplc="317EFE4C">
      <w:start w:val="1"/>
      <w:numFmt w:val="lowerRoman"/>
      <w:lvlText w:val="%6."/>
      <w:lvlJc w:val="right"/>
      <w:pPr>
        <w:ind w:left="4320" w:hanging="180"/>
      </w:pPr>
    </w:lvl>
    <w:lvl w:ilvl="6" w:tplc="44CA5206">
      <w:start w:val="1"/>
      <w:numFmt w:val="decimal"/>
      <w:lvlText w:val="%7."/>
      <w:lvlJc w:val="left"/>
      <w:pPr>
        <w:ind w:left="5040" w:hanging="360"/>
      </w:pPr>
    </w:lvl>
    <w:lvl w:ilvl="7" w:tplc="359AE758">
      <w:start w:val="1"/>
      <w:numFmt w:val="lowerLetter"/>
      <w:lvlText w:val="%8."/>
      <w:lvlJc w:val="left"/>
      <w:pPr>
        <w:ind w:left="5760" w:hanging="360"/>
      </w:pPr>
    </w:lvl>
    <w:lvl w:ilvl="8" w:tplc="A7D6661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F0816"/>
    <w:multiLevelType w:val="hybridMultilevel"/>
    <w:tmpl w:val="B29A371E"/>
    <w:lvl w:ilvl="0" w:tplc="74F4574C">
      <w:start w:val="1"/>
      <w:numFmt w:val="lowerLetter"/>
      <w:lvlText w:val="(%1)"/>
      <w:lvlJc w:val="left"/>
      <w:pPr>
        <w:ind w:left="1137" w:hanging="570"/>
      </w:pPr>
      <w:rPr>
        <w:rFonts w:hint="default"/>
      </w:rPr>
    </w:lvl>
    <w:lvl w:ilvl="1" w:tplc="5E8464AE" w:tentative="1">
      <w:start w:val="1"/>
      <w:numFmt w:val="lowerLetter"/>
      <w:lvlText w:val="%2."/>
      <w:lvlJc w:val="left"/>
      <w:pPr>
        <w:ind w:left="1647" w:hanging="360"/>
      </w:pPr>
    </w:lvl>
    <w:lvl w:ilvl="2" w:tplc="058058F4" w:tentative="1">
      <w:start w:val="1"/>
      <w:numFmt w:val="lowerRoman"/>
      <w:lvlText w:val="%3."/>
      <w:lvlJc w:val="right"/>
      <w:pPr>
        <w:ind w:left="2367" w:hanging="180"/>
      </w:pPr>
    </w:lvl>
    <w:lvl w:ilvl="3" w:tplc="F3FA7360" w:tentative="1">
      <w:start w:val="1"/>
      <w:numFmt w:val="decimal"/>
      <w:lvlText w:val="%4."/>
      <w:lvlJc w:val="left"/>
      <w:pPr>
        <w:ind w:left="3087" w:hanging="360"/>
      </w:pPr>
    </w:lvl>
    <w:lvl w:ilvl="4" w:tplc="CBA4D980" w:tentative="1">
      <w:start w:val="1"/>
      <w:numFmt w:val="lowerLetter"/>
      <w:lvlText w:val="%5."/>
      <w:lvlJc w:val="left"/>
      <w:pPr>
        <w:ind w:left="3807" w:hanging="360"/>
      </w:pPr>
    </w:lvl>
    <w:lvl w:ilvl="5" w:tplc="8E3C2312" w:tentative="1">
      <w:start w:val="1"/>
      <w:numFmt w:val="lowerRoman"/>
      <w:lvlText w:val="%6."/>
      <w:lvlJc w:val="right"/>
      <w:pPr>
        <w:ind w:left="4527" w:hanging="180"/>
      </w:pPr>
    </w:lvl>
    <w:lvl w:ilvl="6" w:tplc="E4AC2116" w:tentative="1">
      <w:start w:val="1"/>
      <w:numFmt w:val="decimal"/>
      <w:lvlText w:val="%7."/>
      <w:lvlJc w:val="left"/>
      <w:pPr>
        <w:ind w:left="5247" w:hanging="360"/>
      </w:pPr>
    </w:lvl>
    <w:lvl w:ilvl="7" w:tplc="CE4843A6" w:tentative="1">
      <w:start w:val="1"/>
      <w:numFmt w:val="lowerLetter"/>
      <w:lvlText w:val="%8."/>
      <w:lvlJc w:val="left"/>
      <w:pPr>
        <w:ind w:left="5967" w:hanging="360"/>
      </w:pPr>
    </w:lvl>
    <w:lvl w:ilvl="8" w:tplc="CA7EED8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EA7454C"/>
    <w:multiLevelType w:val="hybridMultilevel"/>
    <w:tmpl w:val="65303E48"/>
    <w:lvl w:ilvl="0" w:tplc="2EC0FB1A">
      <w:start w:val="1"/>
      <w:numFmt w:val="lowerLetter"/>
      <w:lvlText w:val="(%1)"/>
      <w:lvlJc w:val="left"/>
      <w:pPr>
        <w:ind w:left="1290" w:hanging="360"/>
      </w:pPr>
    </w:lvl>
    <w:lvl w:ilvl="1" w:tplc="CB088B00">
      <w:start w:val="1"/>
      <w:numFmt w:val="lowerLetter"/>
      <w:lvlText w:val="%2."/>
      <w:lvlJc w:val="left"/>
      <w:pPr>
        <w:ind w:left="1440" w:hanging="360"/>
      </w:pPr>
    </w:lvl>
    <w:lvl w:ilvl="2" w:tplc="F1E69386">
      <w:start w:val="1"/>
      <w:numFmt w:val="lowerRoman"/>
      <w:lvlText w:val="%3."/>
      <w:lvlJc w:val="right"/>
      <w:pPr>
        <w:ind w:left="2160" w:hanging="180"/>
      </w:pPr>
    </w:lvl>
    <w:lvl w:ilvl="3" w:tplc="282A2FF8">
      <w:start w:val="1"/>
      <w:numFmt w:val="decimal"/>
      <w:lvlText w:val="%4."/>
      <w:lvlJc w:val="left"/>
      <w:pPr>
        <w:ind w:left="2880" w:hanging="360"/>
      </w:pPr>
    </w:lvl>
    <w:lvl w:ilvl="4" w:tplc="BEEE2CC8">
      <w:start w:val="1"/>
      <w:numFmt w:val="lowerLetter"/>
      <w:lvlText w:val="%5."/>
      <w:lvlJc w:val="left"/>
      <w:pPr>
        <w:ind w:left="3600" w:hanging="360"/>
      </w:pPr>
    </w:lvl>
    <w:lvl w:ilvl="5" w:tplc="3CC2419C">
      <w:start w:val="1"/>
      <w:numFmt w:val="lowerRoman"/>
      <w:lvlText w:val="%6."/>
      <w:lvlJc w:val="right"/>
      <w:pPr>
        <w:ind w:left="4320" w:hanging="180"/>
      </w:pPr>
    </w:lvl>
    <w:lvl w:ilvl="6" w:tplc="6624069A">
      <w:start w:val="1"/>
      <w:numFmt w:val="decimal"/>
      <w:lvlText w:val="%7."/>
      <w:lvlJc w:val="left"/>
      <w:pPr>
        <w:ind w:left="5040" w:hanging="360"/>
      </w:pPr>
    </w:lvl>
    <w:lvl w:ilvl="7" w:tplc="9FE48E86">
      <w:start w:val="1"/>
      <w:numFmt w:val="lowerLetter"/>
      <w:lvlText w:val="%8."/>
      <w:lvlJc w:val="left"/>
      <w:pPr>
        <w:ind w:left="5760" w:hanging="360"/>
      </w:pPr>
    </w:lvl>
    <w:lvl w:ilvl="8" w:tplc="24F89F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1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KEY" w:val="FEMM"/>
    <w:docVar w:name="INSTMNU" w:val=" 1"/>
    <w:docVar w:name="LastEditedSection" w:val=" 1"/>
    <w:docVar w:name="strDocTypeID" w:val="PR_INI_RecommCFSP"/>
    <w:docVar w:name="strSubDir" w:val="1308"/>
    <w:docVar w:name="TXTLANGUE" w:val="EN"/>
    <w:docVar w:name="TXTLANGUEMIN" w:val="en"/>
    <w:docVar w:name="TXTNRINI" w:val="2024/2057"/>
    <w:docVar w:name="TXTNRPE" w:val="765.072"/>
    <w:docVar w:name="TXTPEorAP" w:val="PE"/>
    <w:docVar w:name="TXTROUTE" w:val="PR\1308027EN.docx"/>
    <w:docVar w:name="TXTTITLE" w:val="the EU priorities for the 69th session of the UN Comission on the Status of Women"/>
    <w:docVar w:name="TXTVERSION" w:val="01-00"/>
  </w:docVars>
  <w:rsids>
    <w:rsidRoot w:val="00636F24"/>
    <w:rsid w:val="000005E5"/>
    <w:rsid w:val="00001993"/>
    <w:rsid w:val="00005D56"/>
    <w:rsid w:val="00010437"/>
    <w:rsid w:val="00046422"/>
    <w:rsid w:val="00092F7D"/>
    <w:rsid w:val="000B4705"/>
    <w:rsid w:val="000C5C14"/>
    <w:rsid w:val="0012656E"/>
    <w:rsid w:val="00144AD8"/>
    <w:rsid w:val="00152744"/>
    <w:rsid w:val="001533B4"/>
    <w:rsid w:val="00160F77"/>
    <w:rsid w:val="001723C5"/>
    <w:rsid w:val="00176DF9"/>
    <w:rsid w:val="00180424"/>
    <w:rsid w:val="001A2622"/>
    <w:rsid w:val="001B22EB"/>
    <w:rsid w:val="001C03A5"/>
    <w:rsid w:val="001D7279"/>
    <w:rsid w:val="00234B03"/>
    <w:rsid w:val="0024591C"/>
    <w:rsid w:val="00267945"/>
    <w:rsid w:val="002913A8"/>
    <w:rsid w:val="002B7F91"/>
    <w:rsid w:val="0032649C"/>
    <w:rsid w:val="0037619C"/>
    <w:rsid w:val="00387C58"/>
    <w:rsid w:val="00392F42"/>
    <w:rsid w:val="003D0074"/>
    <w:rsid w:val="00425BFB"/>
    <w:rsid w:val="00433A59"/>
    <w:rsid w:val="00434A68"/>
    <w:rsid w:val="004A388E"/>
    <w:rsid w:val="004A5141"/>
    <w:rsid w:val="00502162"/>
    <w:rsid w:val="00510416"/>
    <w:rsid w:val="00512EF3"/>
    <w:rsid w:val="005577F1"/>
    <w:rsid w:val="005619E6"/>
    <w:rsid w:val="006270AA"/>
    <w:rsid w:val="0062719E"/>
    <w:rsid w:val="00627DF1"/>
    <w:rsid w:val="00636F24"/>
    <w:rsid w:val="00686DFF"/>
    <w:rsid w:val="00691BBA"/>
    <w:rsid w:val="0069495A"/>
    <w:rsid w:val="006D4BBB"/>
    <w:rsid w:val="006D4C8E"/>
    <w:rsid w:val="006E363A"/>
    <w:rsid w:val="006F6B8D"/>
    <w:rsid w:val="00713D1C"/>
    <w:rsid w:val="007841F3"/>
    <w:rsid w:val="007C4764"/>
    <w:rsid w:val="0081489C"/>
    <w:rsid w:val="00855A58"/>
    <w:rsid w:val="0086407B"/>
    <w:rsid w:val="00865AB2"/>
    <w:rsid w:val="00866389"/>
    <w:rsid w:val="008D0774"/>
    <w:rsid w:val="00902C4B"/>
    <w:rsid w:val="009062FC"/>
    <w:rsid w:val="009302EC"/>
    <w:rsid w:val="00931782"/>
    <w:rsid w:val="009340AC"/>
    <w:rsid w:val="009340F8"/>
    <w:rsid w:val="009B3734"/>
    <w:rsid w:val="009E7818"/>
    <w:rsid w:val="00A144CA"/>
    <w:rsid w:val="00A22B21"/>
    <w:rsid w:val="00AB73F2"/>
    <w:rsid w:val="00AF2187"/>
    <w:rsid w:val="00B05925"/>
    <w:rsid w:val="00B10048"/>
    <w:rsid w:val="00B22CC1"/>
    <w:rsid w:val="00B26C55"/>
    <w:rsid w:val="00B40972"/>
    <w:rsid w:val="00B6527B"/>
    <w:rsid w:val="00B6642B"/>
    <w:rsid w:val="00BB25C0"/>
    <w:rsid w:val="00BB75D7"/>
    <w:rsid w:val="00BD3784"/>
    <w:rsid w:val="00BE7750"/>
    <w:rsid w:val="00BF6904"/>
    <w:rsid w:val="00C3019B"/>
    <w:rsid w:val="00C47D1A"/>
    <w:rsid w:val="00C522E0"/>
    <w:rsid w:val="00C7235E"/>
    <w:rsid w:val="00C7360B"/>
    <w:rsid w:val="00C75069"/>
    <w:rsid w:val="00C85D0F"/>
    <w:rsid w:val="00CA0DE5"/>
    <w:rsid w:val="00CB2AC0"/>
    <w:rsid w:val="00D02283"/>
    <w:rsid w:val="00D3260F"/>
    <w:rsid w:val="00D349C1"/>
    <w:rsid w:val="00D67932"/>
    <w:rsid w:val="00D860C1"/>
    <w:rsid w:val="00E048E2"/>
    <w:rsid w:val="00E05579"/>
    <w:rsid w:val="00E17A22"/>
    <w:rsid w:val="00E24484"/>
    <w:rsid w:val="00E26C78"/>
    <w:rsid w:val="00E34F46"/>
    <w:rsid w:val="00E40E95"/>
    <w:rsid w:val="00E5543A"/>
    <w:rsid w:val="00EA624D"/>
    <w:rsid w:val="00EB051E"/>
    <w:rsid w:val="00F65426"/>
    <w:rsid w:val="00F73A9F"/>
    <w:rsid w:val="00F911F4"/>
    <w:rsid w:val="00FA5FD5"/>
    <w:rsid w:val="00FA7E38"/>
    <w:rsid w:val="00FC504F"/>
    <w:rsid w:val="00FC5F47"/>
    <w:rsid w:val="00FD2A18"/>
    <w:rsid w:val="00FD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1ACFC-C6FC-47CB-8B49-81D002EC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B0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A144C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05D5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paragraph" w:customStyle="1" w:styleId="EPName">
    <w:name w:val="EPName"/>
    <w:basedOn w:val="Normal"/>
    <w:rsid w:val="009340AC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C47D1A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E363A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C47D1A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6D4C8E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rsid w:val="00C7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235E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235E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235E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340AC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340AC"/>
    <w:pPr>
      <w:jc w:val="right"/>
    </w:pPr>
  </w:style>
  <w:style w:type="paragraph" w:customStyle="1" w:styleId="EPFooter">
    <w:name w:val="EPFooter"/>
    <w:basedOn w:val="Normal"/>
    <w:rsid w:val="00C47D1A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6D4C8E"/>
    <w:rPr>
      <w:sz w:val="24"/>
    </w:rPr>
  </w:style>
  <w:style w:type="paragraph" w:customStyle="1" w:styleId="NormalHangingLeft12a">
    <w:name w:val="NormalHangingLeft12a"/>
    <w:basedOn w:val="Normal"/>
    <w:rsid w:val="00F65426"/>
    <w:pPr>
      <w:spacing w:after="240"/>
      <w:ind w:left="1134" w:hanging="567"/>
    </w:pPr>
  </w:style>
  <w:style w:type="paragraph" w:customStyle="1" w:styleId="Normal12a">
    <w:name w:val="Normal12a"/>
    <w:basedOn w:val="Normal"/>
    <w:rsid w:val="00902C4B"/>
    <w:pPr>
      <w:spacing w:after="240"/>
    </w:pPr>
  </w:style>
  <w:style w:type="character" w:customStyle="1" w:styleId="NormalHanging12aChar">
    <w:name w:val="NormalHanging12a Char"/>
    <w:basedOn w:val="DefaultParagraphFont"/>
    <w:link w:val="NormalHanging12a"/>
    <w:locked/>
    <w:rsid w:val="00866389"/>
    <w:rPr>
      <w:sz w:val="24"/>
    </w:rPr>
  </w:style>
  <w:style w:type="character" w:styleId="Hyperlink">
    <w:name w:val="Hyperlink"/>
    <w:basedOn w:val="DefaultParagraphFont"/>
    <w:unhideWhenUsed/>
    <w:rsid w:val="0086638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6389"/>
    <w:pPr>
      <w:widowControl/>
      <w:ind w:left="720"/>
      <w:contextualSpacing/>
      <w:jc w:val="both"/>
    </w:pPr>
    <w:rPr>
      <w:rFonts w:eastAsiaTheme="minorHAnsi"/>
      <w:szCs w:val="24"/>
      <w:lang w:eastAsia="en-US"/>
    </w:rPr>
  </w:style>
  <w:style w:type="paragraph" w:styleId="Footer">
    <w:name w:val="footer"/>
    <w:basedOn w:val="Normal"/>
    <w:link w:val="FooterChar"/>
    <w:semiHidden/>
    <w:unhideWhenUsed/>
    <w:rsid w:val="00E5543A"/>
    <w:pPr>
      <w:widowControl/>
      <w:tabs>
        <w:tab w:val="center" w:pos="4320"/>
        <w:tab w:val="right" w:pos="8640"/>
      </w:tabs>
    </w:pPr>
    <w:rPr>
      <w:sz w:val="20"/>
    </w:rPr>
  </w:style>
  <w:style w:type="character" w:customStyle="1" w:styleId="FooterChar">
    <w:name w:val="Footer Char"/>
    <w:basedOn w:val="DefaultParagraphFont"/>
    <w:link w:val="Footer"/>
    <w:semiHidden/>
    <w:rsid w:val="00E5543A"/>
  </w:style>
  <w:style w:type="paragraph" w:customStyle="1" w:styleId="Action">
    <w:name w:val="Action"/>
    <w:basedOn w:val="Normal"/>
    <w:rsid w:val="00E5543A"/>
    <w:pPr>
      <w:keepNext/>
      <w:keepLines/>
      <w:tabs>
        <w:tab w:val="left" w:pos="357"/>
      </w:tabs>
      <w:snapToGrid w:val="0"/>
      <w:spacing w:after="240"/>
      <w:ind w:left="357" w:hanging="357"/>
    </w:pPr>
    <w:rPr>
      <w:lang w:eastAsia="en-US"/>
    </w:rPr>
  </w:style>
  <w:style w:type="paragraph" w:styleId="FootnoteText">
    <w:name w:val="footnote text"/>
    <w:basedOn w:val="Normal"/>
    <w:link w:val="FootnoteTextChar"/>
    <w:rsid w:val="001D727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1D7279"/>
  </w:style>
  <w:style w:type="character" w:styleId="FootnoteReference">
    <w:name w:val="footnote reference"/>
    <w:basedOn w:val="DefaultParagraphFont"/>
    <w:rsid w:val="001D7279"/>
    <w:rPr>
      <w:vertAlign w:val="superscript"/>
    </w:rPr>
  </w:style>
  <w:style w:type="character" w:styleId="CommentReference">
    <w:name w:val="annotation reference"/>
    <w:basedOn w:val="DefaultParagraphFont"/>
    <w:rsid w:val="000464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04642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046422"/>
  </w:style>
  <w:style w:type="paragraph" w:styleId="BalloonText">
    <w:name w:val="Balloon Text"/>
    <w:basedOn w:val="Normal"/>
    <w:link w:val="BalloonTextChar"/>
    <w:semiHidden/>
    <w:unhideWhenUsed/>
    <w:rsid w:val="000464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4642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rsid w:val="00046422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34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34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uments.un.org/doc/undoc/gen/g24/073/47/pdf/g2407347.pdf" TargetMode="External"/><Relationship Id="rId1" Type="http://schemas.openxmlformats.org/officeDocument/2006/relationships/hyperlink" Target="https://www.unwomen.org/en/digital-library/publications/2024/03/are-we-getting-there-a-synthesis-of-un-system-evaluations-of-sdg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663C9-89A5-49FA-9E7F-44CDDA08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1760</Words>
  <Characters>12182</Characters>
  <Application>Microsoft Office Word</Application>
  <DocSecurity>0</DocSecurity>
  <Lines>217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PR_INI_RecommCFSP</vt:lpstr>
    </vt:vector>
  </TitlesOfParts>
  <Company/>
  <LinksUpToDate>false</LinksUpToDate>
  <CharactersWithSpaces>13871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PR_INI_RecommCFSP</dc:title>
  <dc:creator>NITSCHE Susan</dc:creator>
  <cp:lastModifiedBy>TAKACS Tamas</cp:lastModifiedBy>
  <cp:revision>2</cp:revision>
  <cp:lastPrinted>2024-10-14T14:19:00Z</cp:lastPrinted>
  <dcterms:created xsi:type="dcterms:W3CDTF">2024-10-24T08:29:00Z</dcterms:created>
  <dcterms:modified xsi:type="dcterms:W3CDTF">2024-10-24T08:29:00Z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1308027</vt:lpwstr>
  </property>
  <property fmtid="{D5CDD505-2E9C-101B-9397-08002B2CF9AE}" pid="4" name="&lt;Model&gt;">
    <vt:lpwstr>PR_INI_RecommCFSP</vt:lpwstr>
  </property>
  <property fmtid="{D5CDD505-2E9C-101B-9397-08002B2CF9AE}" pid="5" name="&lt;ModelCod&gt;">
    <vt:lpwstr>\\eiciBRUpr1\pdocep$\DocEP\DOCS\General\PR\PR_NonLeg\INI\PR_INI_RecommCFSP.dotx(23/11/2023 20:35:01)</vt:lpwstr>
  </property>
  <property fmtid="{D5CDD505-2E9C-101B-9397-08002B2CF9AE}" pid="6" name="&lt;ModelTra&gt;">
    <vt:lpwstr>\\eiciBRUpr1\pdocep$\DocEP\TRANSFIL\EN\PR_INI_RecommCFSP.EN(14/08/2024 20:08:08)</vt:lpwstr>
  </property>
  <property fmtid="{D5CDD505-2E9C-101B-9397-08002B2CF9AE}" pid="7" name="&lt;Type&gt;">
    <vt:lpwstr>PR</vt:lpwstr>
  </property>
  <property fmtid="{D5CDD505-2E9C-101B-9397-08002B2CF9AE}" pid="8" name="Bookout">
    <vt:lpwstr>OK - 2024/10/24 10:29</vt:lpwstr>
  </property>
  <property fmtid="{D5CDD505-2E9C-101B-9397-08002B2CF9AE}" pid="9" name="Created with">
    <vt:lpwstr>9.18.0 Build [20240401]</vt:lpwstr>
  </property>
  <property fmtid="{D5CDD505-2E9C-101B-9397-08002B2CF9AE}" pid="10" name="FooterPath">
    <vt:lpwstr>PR\1308027HU.docx</vt:lpwstr>
  </property>
  <property fmtid="{D5CDD505-2E9C-101B-9397-08002B2CF9AE}" pid="11" name="LastEdited with">
    <vt:lpwstr>9.18.0 Build [20240401]</vt:lpwstr>
  </property>
  <property fmtid="{D5CDD505-2E9C-101B-9397-08002B2CF9AE}" pid="12" name="PE number">
    <vt:lpwstr>765.072</vt:lpwstr>
  </property>
  <property fmtid="{D5CDD505-2E9C-101B-9397-08002B2CF9AE}" pid="13" name="SDLStudio">
    <vt:lpwstr/>
  </property>
  <property fmtid="{D5CDD505-2E9C-101B-9397-08002B2CF9AE}" pid="14" name="SendToEpades">
    <vt:lpwstr>OK - 2024/10/10 16:02</vt:lpwstr>
  </property>
</Properties>
</file>