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AA3F5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9495A" w:rsidRPr="00AA3F57" w:rsidRDefault="00AA3F57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69495A" w:rsidRPr="007543F7" w:rsidRDefault="007543F7" w:rsidP="007543F7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69495A" w:rsidRPr="00AA3F57" w:rsidRDefault="0069495A" w:rsidP="00C85D0F">
            <w:pPr>
              <w:pStyle w:val="EPLogo"/>
            </w:pPr>
            <w:r w:rsidRPr="00AA3F57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35E" w:rsidRPr="00AA3F57" w:rsidRDefault="00C7235E" w:rsidP="00C7235E">
      <w:pPr>
        <w:pStyle w:val="LineTop"/>
      </w:pPr>
    </w:p>
    <w:p w:rsidR="00C7235E" w:rsidRPr="00AA3F57" w:rsidRDefault="00C7235E" w:rsidP="00C7235E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Kumitat għad-Drittijiet tan-Nisa u l-Ugwaljanza bejn is-Sessi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C7235E" w:rsidRPr="00AA3F57" w:rsidRDefault="00C7235E" w:rsidP="00C7235E">
      <w:pPr>
        <w:pStyle w:val="LineBottom"/>
      </w:pPr>
    </w:p>
    <w:p w:rsidR="00144AD8" w:rsidRPr="00AA3F57" w:rsidRDefault="00144AD8">
      <w:pPr>
        <w:pStyle w:val="CoverReference"/>
      </w:pPr>
      <w:r>
        <w:rPr>
          <w:rStyle w:val="HideTWBExt"/>
          <w:b w:val="0"/>
        </w:rPr>
        <w:t>&lt;RefProc&gt;</w:t>
      </w:r>
      <w:r>
        <w:t>2024/2057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:rsidR="00144AD8" w:rsidRPr="00AA3F57" w:rsidRDefault="00144AD8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{10/10/2024}</w:t>
      </w:r>
      <w:r>
        <w:t>10.10.2024</w:t>
      </w:r>
      <w:r>
        <w:rPr>
          <w:rStyle w:val="HideTWBExt"/>
        </w:rPr>
        <w:t>&lt;/Date&gt;</w:t>
      </w:r>
    </w:p>
    <w:p w:rsidR="00144AD8" w:rsidRPr="00AA3F57" w:rsidRDefault="00144AD8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:rsidR="00144AD8" w:rsidRPr="00AA3F57" w:rsidRDefault="00144AD8">
      <w:pPr>
        <w:pStyle w:val="CoverNormal"/>
      </w:pPr>
      <w:r>
        <w:rPr>
          <w:rStyle w:val="HideTWBExt"/>
        </w:rPr>
        <w:t>&lt;Titre&gt;</w:t>
      </w:r>
      <w:r>
        <w:t>dwar rakkomandazzjoni tal-Parlament Ewropew lill-Kunsill dwar il-prijoritajiet tal-UE għad-69 sessjoni tal-Kummissjoni tan-NU dwar l-Istatus tan-Nisa</w:t>
      </w:r>
      <w:r>
        <w:rPr>
          <w:rStyle w:val="HideTWBExt"/>
        </w:rPr>
        <w:t>&lt;/Titre&gt;</w:t>
      </w:r>
    </w:p>
    <w:p w:rsidR="00144AD8" w:rsidRPr="00AA3F57" w:rsidRDefault="00144AD8">
      <w:pPr>
        <w:pStyle w:val="CoverNormal24a"/>
      </w:pPr>
      <w:r>
        <w:rPr>
          <w:rStyle w:val="HideTWBExt"/>
        </w:rPr>
        <w:t>&lt;DocRef&gt;</w:t>
      </w:r>
      <w:r>
        <w:t>(2024/2057(INI))</w:t>
      </w:r>
      <w:r>
        <w:rPr>
          <w:rStyle w:val="HideTWBExt"/>
        </w:rPr>
        <w:t>&lt;/DocRef&gt;</w:t>
      </w:r>
    </w:p>
    <w:p w:rsidR="00144AD8" w:rsidRPr="00AA3F57" w:rsidRDefault="00144AD8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{FEMM}</w:t>
      </w:r>
      <w:r>
        <w:t>Kumitat għad-Drittijiet tan-Nisa u l-Ugwaljanza bejn is-Sessi</w:t>
      </w:r>
      <w:r>
        <w:rPr>
          <w:rStyle w:val="HideTWBExt"/>
        </w:rPr>
        <w:t>&lt;/Commission&gt;</w:t>
      </w:r>
    </w:p>
    <w:p w:rsidR="00144AD8" w:rsidRPr="00AA3F57" w:rsidRDefault="00AA3F57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Lina Gálvez</w:t>
      </w:r>
      <w:r>
        <w:rPr>
          <w:rStyle w:val="HideTWBExt"/>
        </w:rPr>
        <w:t>&lt;/Depute&gt;</w:t>
      </w:r>
    </w:p>
    <w:p w:rsidR="00627DF1" w:rsidRPr="00AA3F57" w:rsidRDefault="00627DF1" w:rsidP="00627DF1">
      <w:pPr>
        <w:pStyle w:val="CoverNormal"/>
      </w:pPr>
    </w:p>
    <w:p w:rsidR="00144AD8" w:rsidRPr="00AA3F57" w:rsidRDefault="00144AD8" w:rsidP="009340AC">
      <w:pPr>
        <w:widowControl/>
        <w:tabs>
          <w:tab w:val="center" w:pos="4677"/>
        </w:tabs>
      </w:pPr>
      <w:r>
        <w:br w:type="page"/>
      </w:r>
      <w:r>
        <w:lastRenderedPageBreak/>
        <w:t>PR_INI_RecommCFSP</w:t>
      </w:r>
    </w:p>
    <w:p w:rsidR="00144AD8" w:rsidRPr="00AA3F57" w:rsidRDefault="00AA3F57">
      <w:pPr>
        <w:pStyle w:val="TOCHeading"/>
      </w:pPr>
      <w:r>
        <w:t>WERREJ</w:t>
      </w:r>
    </w:p>
    <w:p w:rsidR="00144AD8" w:rsidRPr="00AA3F57" w:rsidRDefault="00AA3F57">
      <w:pPr>
        <w:pStyle w:val="TOCPage"/>
      </w:pPr>
      <w:r>
        <w:t>Paġna</w:t>
      </w:r>
    </w:p>
    <w:p w:rsidR="007E2B26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A3F57">
        <w:fldChar w:fldCharType="begin"/>
      </w:r>
      <w:r w:rsidRPr="00AA3F57">
        <w:instrText xml:space="preserve"> TOC \t "PageHeading</w:instrText>
      </w:r>
      <w:r w:rsidR="007543F7">
        <w:instrText>;</w:instrText>
      </w:r>
      <w:r w:rsidRPr="00AA3F57">
        <w:instrText xml:space="preserve">1" </w:instrText>
      </w:r>
      <w:r w:rsidRPr="00AA3F57">
        <w:fldChar w:fldCharType="separate"/>
      </w:r>
      <w:r w:rsidR="007E2B26">
        <w:rPr>
          <w:noProof/>
        </w:rPr>
        <w:t>ABBOZZ TA’ RAKKOMANDAZZJONI TAL-PARLAMENT EWROPEW</w:t>
      </w:r>
      <w:r w:rsidR="007E2B26">
        <w:rPr>
          <w:noProof/>
        </w:rPr>
        <w:tab/>
      </w:r>
      <w:r w:rsidR="007E2B26">
        <w:rPr>
          <w:noProof/>
        </w:rPr>
        <w:fldChar w:fldCharType="begin"/>
      </w:r>
      <w:r w:rsidR="007E2B26">
        <w:rPr>
          <w:noProof/>
        </w:rPr>
        <w:instrText xml:space="preserve"> PAGEREF _Toc180657980 \h </w:instrText>
      </w:r>
      <w:r w:rsidR="007E2B26">
        <w:rPr>
          <w:noProof/>
        </w:rPr>
      </w:r>
      <w:r w:rsidR="007E2B26">
        <w:rPr>
          <w:noProof/>
        </w:rPr>
        <w:fldChar w:fldCharType="separate"/>
      </w:r>
      <w:r w:rsidR="007E2B26">
        <w:rPr>
          <w:noProof/>
        </w:rPr>
        <w:t>3</w:t>
      </w:r>
      <w:r w:rsidR="007E2B26">
        <w:rPr>
          <w:noProof/>
        </w:rPr>
        <w:fldChar w:fldCharType="end"/>
      </w:r>
    </w:p>
    <w:p w:rsidR="007E2B26" w:rsidRDefault="007E2B2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ENTITAJIET JEW PERSUNI LI R-RAPPORTEUR IRĊEVIET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_Toc180657981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27DF1" w:rsidRPr="00AA3F57" w:rsidRDefault="00144AD8" w:rsidP="00865AB2">
      <w:r w:rsidRPr="00AA3F57">
        <w:fldChar w:fldCharType="end"/>
      </w:r>
    </w:p>
    <w:p w:rsidR="00144AD8" w:rsidRPr="00AA3F57" w:rsidRDefault="00144AD8">
      <w:pPr>
        <w:pStyle w:val="PageHeading"/>
      </w:pPr>
      <w:r>
        <w:br w:type="page"/>
      </w:r>
      <w:bookmarkStart w:id="1" w:name="_Toc180657980"/>
      <w:r>
        <w:lastRenderedPageBreak/>
        <w:t>ABBOZZ TA’ RAKKOMANDAZZJONI TAL-PARLAMENT EWROPEW</w:t>
      </w:r>
      <w:bookmarkEnd w:id="1"/>
    </w:p>
    <w:p w:rsidR="007543F7" w:rsidRPr="0012656E" w:rsidRDefault="007543F7" w:rsidP="007543F7">
      <w:pPr>
        <w:pStyle w:val="NormalBold"/>
      </w:pPr>
      <w:r>
        <w:t>lill-Kunsill dwar il-prijoritajiet tal-UE għad-69 sessjoni tal-Kummissjoni tan-NU dwar l-Istatus tan-Nisa</w:t>
      </w:r>
    </w:p>
    <w:p w:rsidR="00144AD8" w:rsidRPr="00AA3F57" w:rsidRDefault="007543F7" w:rsidP="007543F7">
      <w:pPr>
        <w:pStyle w:val="NormalBold"/>
      </w:pPr>
      <w:r>
        <w:t>(2024/2057(INI))</w:t>
      </w:r>
    </w:p>
    <w:p w:rsidR="00144AD8" w:rsidRPr="00AA3F57" w:rsidRDefault="00AA3F57">
      <w:pPr>
        <w:pStyle w:val="EPComma"/>
      </w:pPr>
      <w:r>
        <w:rPr>
          <w:i/>
        </w:rPr>
        <w:t>Il-Parlament Ewropew</w:t>
      </w:r>
      <w:r>
        <w:t>,</w:t>
      </w:r>
    </w:p>
    <w:p w:rsidR="007543F7" w:rsidRPr="002B7F91" w:rsidRDefault="007543F7" w:rsidP="007543F7">
      <w:pPr>
        <w:pStyle w:val="NormalHanging12a"/>
      </w:pPr>
      <w:r>
        <w:t>–</w:t>
      </w:r>
      <w:r>
        <w:tab/>
        <w:t>wara li kkunsidra d-Dikjarazzjoni tan-NU tal-15 ta’ Settembru 1995 bit-titlu “Id-Dikjarazzjoni u l-Pjattaforma ta’ Azzjoni ta’ Beijing” u l-eżiti tal-konferenzi ta’ rieżami tagħha,</w:t>
      </w:r>
    </w:p>
    <w:p w:rsidR="007543F7" w:rsidRPr="002B7F91" w:rsidRDefault="007543F7" w:rsidP="007543F7">
      <w:pPr>
        <w:pStyle w:val="NormalHanging12a"/>
        <w:rPr>
          <w:sz w:val="20"/>
        </w:rPr>
      </w:pPr>
      <w:r>
        <w:t>–</w:t>
      </w:r>
      <w:r>
        <w:tab/>
        <w:t>wara li kkunsidra r-rapport tas-Segretarju Ġenerali tan-NU tat-13 ta’ Diċembru 2019 lill-Kummissjoni tan-NU dwar l-Istatus tan-Nisa, bit-titlu “Rieżami u valutazzjoni tal-implimentazzjoni tad-Dikjarazzjoni u l-Pjattaforma ta’ Azzjoni ta’ Beijing u l-eżiti tat-23 sessjoni speċjali tal-Assemblea Ġenerali”,</w:t>
      </w:r>
    </w:p>
    <w:p w:rsidR="007543F7" w:rsidRPr="002B7F91" w:rsidRDefault="007543F7" w:rsidP="007543F7">
      <w:pPr>
        <w:pStyle w:val="NormalHanging12a"/>
      </w:pPr>
      <w:r>
        <w:t>–</w:t>
      </w:r>
      <w:r>
        <w:tab/>
        <w:t>wara li kkunsidra l-komunikazzjoni konġunta tal-Kummissjoni u tar-Rappreżentant Għoli tal-Unjoni għall-Affarijiet Barranin u l-Politika ta’ Sigurtà tal-25 ta’ Novembru 2020 bit-titlu “Pjan ta’ Azzjoni tal-UE dwar il-Ġeneru (Gender Action Plan, GAP) III: Aġenda Ambizzjuża għall-Ugwaljanza bejn il-Ġeneri u l-Għoti tas-Setgħa lin-Nisa fl-Azzjoni Esterna tal-UE” (JOIN(2020)0017) u d-dokument ta’ ħidma konġunt tal-persunal li jakkumpanjaha tal-25 ta’ Novembru 2020 bit-titlu “Objettivi u indikaturi biex tiġi inkwadrata l-implimentazzjoni tal-Pjan ta’ Azzjoni tal-UE dwar il-Ġeneru III (2021-25)” (SWD(2020)0284),</w:t>
      </w:r>
    </w:p>
    <w:p w:rsidR="007543F7" w:rsidRPr="002B7F91" w:rsidRDefault="007543F7" w:rsidP="007543F7">
      <w:pPr>
        <w:pStyle w:val="NormalHanging12a"/>
      </w:pPr>
      <w:r>
        <w:t>–</w:t>
      </w:r>
      <w:r>
        <w:tab/>
        <w:t>wara li kkunsidra r-riżoluzzjoni tiegħu tal-10 ta’ Marzu 2022 dwar il-Pjan ta’ Azzjoni tal-UE dwar il-Ġeneru III</w:t>
      </w:r>
      <w:r>
        <w:rPr>
          <w:rStyle w:val="FootnoteReference"/>
        </w:rPr>
        <w:footnoteReference w:id="1"/>
      </w:r>
      <w:r>
        <w:t>,</w:t>
      </w:r>
    </w:p>
    <w:p w:rsidR="007543F7" w:rsidRPr="002B7F91" w:rsidRDefault="007543F7" w:rsidP="007543F7">
      <w:pPr>
        <w:pStyle w:val="NormalHanging12a"/>
      </w:pPr>
      <w:r>
        <w:t>–</w:t>
      </w:r>
      <w:r>
        <w:tab/>
        <w:t>wara li kkunsidra r-riżoluzzjoni tiegħu tal-11 ta’ Frar 2021 dwar l-isfidi għad-drittijiet tan-nisa fl-Ewropa fil-futur: aktar minn 25 sena wara d-Dikjarazzjoni u l-Pjattaforma ta’ Azzjoni ta’ Beijing</w:t>
      </w:r>
      <w:r>
        <w:rPr>
          <w:rStyle w:val="FootnoteReference"/>
        </w:rPr>
        <w:footnoteReference w:id="2"/>
      </w:r>
      <w:r>
        <w:t>,</w:t>
      </w:r>
    </w:p>
    <w:p w:rsidR="007543F7" w:rsidRPr="002B7F91" w:rsidRDefault="007543F7" w:rsidP="007543F7">
      <w:pPr>
        <w:pStyle w:val="NormalHanging12a"/>
      </w:pPr>
      <w:r>
        <w:t>–</w:t>
      </w:r>
      <w:r>
        <w:tab/>
        <w:t>wara li kkunsidra l-briefing bit-titlu “Accelerating progress on Sustainable Development Goal 5 (SDG 5): Achieving gender equality and empowering women and girls” (L-aċċellerazzjoni tal-progress b’rabta mal-Għan ta’ Żvilupp Sostenibbli 5 (SDG 5): il-kisba tal-ugwaljanza bejn il-ġeneri u l-għoti tas-setgħa lin-nisa), ippubblikat mid-Direttorat Ġenerali tiegħu għas-Servizzi ta’ Riċerka Parlamentari fit-18 ta’ Settembru 2024,</w:t>
      </w:r>
    </w:p>
    <w:p w:rsidR="007543F7" w:rsidRPr="002B7F91" w:rsidRDefault="007543F7" w:rsidP="007543F7">
      <w:pPr>
        <w:pStyle w:val="NormalHanging12a"/>
      </w:pPr>
      <w:r>
        <w:t>–</w:t>
      </w:r>
      <w:r>
        <w:tab/>
        <w:t>wara li kkunsidra r-rapport tal-UN Women u tad-Dipartiment tal-Affarijiet Ekonomiċi u Soċjali tan-NU ta’ Settembru 2024 bit-titlu “Progress on the Sustainable Development Goals: The Gender Snapshot 2024” (Progress b’rabta mal-Għanijiet ta’ Żvilupp Sostenibbli: stampa dwar il-kwistjoni tal-ġeneru 2024),</w:t>
      </w:r>
    </w:p>
    <w:p w:rsidR="007543F7" w:rsidRPr="002B7F91" w:rsidRDefault="007543F7" w:rsidP="007543F7">
      <w:pPr>
        <w:pStyle w:val="NormalHanging12a"/>
      </w:pPr>
      <w:r>
        <w:lastRenderedPageBreak/>
        <w:t>–</w:t>
      </w:r>
      <w:r>
        <w:tab/>
        <w:t>wara li kkunsidra l-Artikolu 121 tar-Regoli ta’ Proċedura tiegħu;</w:t>
      </w:r>
    </w:p>
    <w:p w:rsidR="007543F7" w:rsidRPr="002B7F91" w:rsidRDefault="007543F7" w:rsidP="007543F7">
      <w:pPr>
        <w:pStyle w:val="NormalHanging12a"/>
      </w:pPr>
      <w:r>
        <w:t>–</w:t>
      </w:r>
      <w:r>
        <w:tab/>
        <w:t>wara li kkunsidra r-rapport tal-Kumitat għad-Drittijiet tan-Nisa u l-Ugwaljanza bejn is-Sessi (A10</w:t>
      </w:r>
      <w:r>
        <w:noBreakHyphen/>
        <w:t>0000/2024),</w:t>
      </w:r>
    </w:p>
    <w:p w:rsidR="007543F7" w:rsidRPr="002B7F91" w:rsidRDefault="007543F7" w:rsidP="007543F7">
      <w:pPr>
        <w:pStyle w:val="NormalHanging12a"/>
        <w:widowControl/>
      </w:pPr>
      <w:r>
        <w:t>A.</w:t>
      </w:r>
      <w:r>
        <w:tab/>
        <w:t>billi l-ugwaljanza bejn in-nisa u l-irġiel hija prinċipju fundamentali tal-UE, u billi l-azzjoni esterna tal-UE trid tkun iggwidata minn dan il-prinċipju;</w:t>
      </w:r>
    </w:p>
    <w:p w:rsidR="007543F7" w:rsidRPr="002B7F91" w:rsidRDefault="007543F7" w:rsidP="007543F7">
      <w:pPr>
        <w:pStyle w:val="NormalHanging12a"/>
        <w:widowControl/>
        <w:rPr>
          <w:szCs w:val="24"/>
        </w:rPr>
      </w:pPr>
      <w:r>
        <w:t>B.</w:t>
      </w:r>
      <w:r>
        <w:tab/>
        <w:t>billi d-drittijiet tal-bniedem tan-nisa u l-ugwaljanza bejn il-ġeneri mhumiex biss drittijiet fundamentali tal-bniedem, iżda huma prekundizzjonijiet għall-avvanz tal-iżvilupp u t-tnaqqis tal-faqar u pedament meħtieġ għal dinja paċifika, prospera u sostenibbli;</w:t>
      </w:r>
    </w:p>
    <w:p w:rsidR="007543F7" w:rsidRPr="002B7F91" w:rsidRDefault="007543F7" w:rsidP="007543F7">
      <w:pPr>
        <w:pStyle w:val="NormalHanging12a"/>
        <w:widowControl/>
        <w:rPr>
          <w:szCs w:val="24"/>
        </w:rPr>
      </w:pPr>
      <w:r>
        <w:t>C.</w:t>
      </w:r>
      <w:r>
        <w:tab/>
        <w:t>billi 189 gvern madwar id-dinja, inklużi l-UE u l-Istati Membri tagħha, impenjaw ruħhom li jaħdmu favur l-ugwaljanza bejn il-ġeneri u l-għoti tas-setgħa lin-nisa u l-bniet kollha fir-Raba’ Konferenza Dinjija tal-1995 dwar in-Nisa f’Beijing;</w:t>
      </w:r>
    </w:p>
    <w:p w:rsidR="007543F7" w:rsidRPr="002B7F91" w:rsidRDefault="007543F7" w:rsidP="007543F7">
      <w:pPr>
        <w:pStyle w:val="NormalHanging12a"/>
        <w:widowControl/>
      </w:pPr>
      <w:r>
        <w:t>D.</w:t>
      </w:r>
      <w:r>
        <w:tab/>
        <w:t xml:space="preserve">billi d-Dikjarazzjoni u l-Pjattaforma ta’ Azzjoni ta’ Beijing huma l-aktar aġenda globali komprensiva għall-promozzjoni tal-ugwaljanza bejn il-ġeneri u huma meqjusa l-“Karta tad-Drittijiet” internazzjonali għan-nisa, li tiddefinixxi d-drittijiet tan-nisa bħala drittijiet tal-bniedem u </w:t>
      </w:r>
      <w:r>
        <w:rPr>
          <w:shd w:val="clear" w:color="auto" w:fill="FFFFFF"/>
        </w:rPr>
        <w:t>li tartikola viżjoni ta’ drittijiet, libertà u opportunitajiet ugwali għan-nisa kollha fid-dinja, u ġiet</w:t>
      </w:r>
      <w:r>
        <w:t xml:space="preserve"> affermata mill-ġdid fl-2015 bl-Għan 5, “Jinkisbu l-ugwaljanza bejn il-ġeneri u l-emanċipazzjoni tan-nisa u tal-bniet kollha”, tal-għanijiet ta’ żvilupp sostenibbli (SDGs) stabbiliti fl-Aġenda 2030 tan-NU għall-Iżvilupp Sostenibbli, billi jiġu speċifikati miri u miżuri konkreti f’firxa ta’ kwistjonijiet li jaffettwaw lin-nisa u l-bniet;</w:t>
      </w:r>
    </w:p>
    <w:p w:rsidR="007543F7" w:rsidRPr="002B7F91" w:rsidRDefault="007543F7" w:rsidP="007543F7">
      <w:pPr>
        <w:pStyle w:val="NormalHanging12a"/>
        <w:widowControl/>
      </w:pPr>
      <w:r>
        <w:t>E.</w:t>
      </w:r>
      <w:r>
        <w:tab/>
        <w:t>billi sitt snin biss qabel l-iskadenza tal-2030 għall-SDGs tan-NU, lanqas indikatur wieħed skont l-Għan 5 ma ntlaħaq bis-sħiħ; billi n-NU tistma li huma meħtieġa azzjonijiet radikali sabiex jitħaffef il-progress u jiġi evitat li jittieħdu 286 sena biex jingħalqu l-lakuni fil-protezzjoni legali u titneħħa l-leġiżlazzjoni diskriminatorja għan-nisa;</w:t>
      </w:r>
    </w:p>
    <w:p w:rsidR="007543F7" w:rsidRPr="002B7F91" w:rsidRDefault="007543F7" w:rsidP="007543F7">
      <w:pPr>
        <w:pStyle w:val="NormalHanging12a"/>
        <w:widowControl/>
      </w:pPr>
      <w:r>
        <w:t>F.</w:t>
      </w:r>
      <w:r>
        <w:tab/>
        <w:t>billi studju tan-NU tal-2024</w:t>
      </w:r>
      <w:r w:rsidRPr="002B7F91">
        <w:rPr>
          <w:rStyle w:val="FootnoteReference"/>
        </w:rPr>
        <w:footnoteReference w:id="3"/>
      </w:r>
      <w:r>
        <w:t xml:space="preserve"> dwar l-evalwazzjoni tal-SDG 5 jenfasizza li għadhom jeżistu normi soċjali li jilleġittimizzaw il-vjolenza kontra n-nisa u l-bniet, inaqqsu l-aċċess għas-servizzi tal-kura tas-saħħa, jassenjaw kura mhux imħallsa u xogħol domestiku lin-nisa biss u jirrestrinġu l-opportunitajiet ta’ tmexxija;</w:t>
      </w:r>
    </w:p>
    <w:p w:rsidR="007543F7" w:rsidRPr="002B7F91" w:rsidRDefault="007543F7" w:rsidP="007543F7">
      <w:pPr>
        <w:pStyle w:val="NormalHanging12a"/>
        <w:widowControl/>
      </w:pPr>
      <w:r>
        <w:t>G.</w:t>
      </w:r>
      <w:r>
        <w:tab/>
        <w:t>billi l-Assemblea Ġenerali tan-NU qajmet allarm dwar ir-reżistenza attiva għall-avvanzi fl-ugwaljanza bejn il-ġeneri u r-rigressjoni transnazzjonali dejjem akbar kontra d-drittijiet tan-nisa; billi hemm ħtieġa ċara u urġenti li jiġu affermati mill-ġdid l-ugwaljanza sostantiva u d-drittijiet tal-bniedem tan-nisa u t-tfajliet</w:t>
      </w:r>
      <w:r w:rsidRPr="002B7F91">
        <w:rPr>
          <w:rStyle w:val="FootnoteReference"/>
        </w:rPr>
        <w:footnoteReference w:id="4"/>
      </w:r>
      <w:r>
        <w:t>;</w:t>
      </w:r>
    </w:p>
    <w:p w:rsidR="007543F7" w:rsidRPr="002B7F91" w:rsidRDefault="007543F7" w:rsidP="007543F7">
      <w:pPr>
        <w:pStyle w:val="NormalHanging12a"/>
      </w:pPr>
      <w:r>
        <w:lastRenderedPageBreak/>
        <w:t>1.</w:t>
      </w:r>
      <w:r>
        <w:tab/>
        <w:t>Jirrakkomanda li l-Kunsill: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(a)</w:t>
      </w:r>
      <w:r>
        <w:tab/>
        <w:t>jikkonferma l-impenn tiegħu favur id-Dikjarazzjoni u l-Pjattaforma ta’ Azzjoni ta’ Beijing u favur il-firxa ta’ azzjonijiet għad-drittijiet tal-bniedem tan-nisa u għall-ugwaljanza bejn il-ġeneri deskritta fihom; jikkonferma l-impenn tiegħu favur id-drittijiet tal-bniedem tan-nisa, permezz tal-integrazzjoni tal-perspettiva tal-ġeneri fl-oqsma u ċ-ċikli kollha ta’ politika, għall-implimentazzjoni ta’ azzjonijiet speċifiċi u mmirati għad-drittijiet tal-bniedem tan-nisa u l-ugwaljanza bejn il-ġeneri, u biex jiġi żgurat ibbaġitjar xieraq skont il-ġeneru;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(b)</w:t>
      </w:r>
      <w:r>
        <w:tab/>
        <w:t>jiżgura li l-ugwaljanza bejn il-ġeneri u d-drittijiet tan-nisa jiġu implimentati bis-sħiħ u bi kburija fl-aspetti kollha tal-azzjoni esterna tal-UE permezz ta’ approċċ iffinanzjat b’mod adegwat, trasformattiv fir-rigward tal-ġeneru, inklużiv u intersezzjonali;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(c)</w:t>
      </w:r>
      <w:r>
        <w:tab/>
        <w:t>jiżgura l-involviment sħiħ tal-Parlament u tal-Kumitat tiegħu għad-Drittijiet tan-Nisa u l-Ugwaljanza bejn is-Sessi fil-proċess tat-teħid ta’ deċiżjonijiet dwar il-pożizzjoni tal-UE fid-69 sessjoni tal-Kummissjoni tan-NU dwar l-Istatus tan-Nisa (10-25 ta’ Marzu 2025); jiżgura li l-Parlament ikollu informazzjoni adegwata u f’waqtha u aċċess għad-dokument ta’ pożizzjoni tal-UE qabel in-negozjati; u jkompli jtejjeb il-kooperazzjoni interistituzzjonali u l-konsultazzjoni informali, inkluż qabel u matul in-negozjati, sabiex il-prijoritajiet tal-Parlament jiġu inkorporati kif xieraq;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(d)</w:t>
      </w:r>
      <w:r>
        <w:tab/>
        <w:t>iqis kif xieraq il-progress, u l-ostakli, iffaċċjati fl-implimentazzjoni tad-Dikjarazzjoni u l-Pjattaforma ta’ Azzjoni ta’ Beijing;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(e)</w:t>
      </w:r>
      <w:r>
        <w:tab/>
        <w:t>isaħħaħ mill-ġdid l-isforzi tal-UE biex jingħelbu l-isfidi li fadal għall-implimentazzjoni sħiħa tad-Dikjarazzjoni u l-Pjattaforma ta’ Azzjoni ta’ Beijing; jiżgura li l-UE tmexxi bl-eżempju billi tistabbilixxi miżuri ta’ politika robusti biex tindirizza, tiġġieled u tantiċipa l-inugwaljanza bejn il-ġeneri fil-manifestazzjonijiet kollha tagħha, u tagħti s-setgħa lin-nisa fid-diversità kollha tagħhom;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(f)</w:t>
      </w:r>
      <w:r>
        <w:tab/>
        <w:t>itenni li l-UE għandha rwol importanti fil-kisba ta’ dinja b’ugwaljanza bejn il-ġeneri billi tappoġġja lill-pajjiżi sħab biex jindirizzaw id-diskriminazzjoni bejn il-ġeneri; jiżgura li l-UE tmexxi bl-eżempju billi tħeġġeġ lill-ħames Stati Membri li għad ma rratifikawx u ma implimentawx il-Konvenzjoni ta’ Istanbul biex jagħmlu dan fl-iqsar żmien possibbli;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(g)</w:t>
      </w:r>
      <w:r>
        <w:tab/>
        <w:t>jinsisti għal opportunitajiet indaqs għal kulħadd fl-oqsma kollha tal-ħajja, biex in-nisa fid-diversità kollha tagħhom ikunu jistgħu jilħqu l-potenzjal tagħhom, b’mod partikolari fit-teħid ta’ deċiżjonijiet, kemm jekk politiċi, ekonomiċi, akkademiċi jew kulturali, u dan huwa essenzjali wkoll għal governanza tajba u tfassil ta’ politika; f’dan il-kuntest, jesprimi oppożizzjoni għall-vjolenza semjotika kontra n-nisa fil-politika, li ssostni u ssaħħaħ l-istereotipi negattivi dwar in-nisa u tiskoraġġixxi lin-nisa żgħażagħ milli jidħlu fil-politika u fl-isfera pubblika;</w:t>
      </w:r>
    </w:p>
    <w:p w:rsidR="007543F7" w:rsidRPr="002B7F91" w:rsidRDefault="007543F7" w:rsidP="007543F7">
      <w:pPr>
        <w:pStyle w:val="Action"/>
        <w:keepNext w:val="0"/>
        <w:keepLines w:val="0"/>
        <w:widowControl/>
        <w:tabs>
          <w:tab w:val="clear" w:pos="357"/>
        </w:tabs>
        <w:spacing w:after="120"/>
        <w:ind w:left="1290" w:hanging="723"/>
        <w:rPr>
          <w:szCs w:val="24"/>
        </w:rPr>
      </w:pPr>
      <w:r>
        <w:t>(h)</w:t>
      </w:r>
      <w:r>
        <w:tab/>
        <w:t xml:space="preserve">jenfasizza li tmexxija politika dgħajfa, nuqqas ta’ impenn, lakuni fid-data, investiment insuffiċjenti, u ż-żieda ta’ movimenti kontra d-drittijiet ġew </w:t>
      </w:r>
      <w:r>
        <w:lastRenderedPageBreak/>
        <w:t>identifikati bħala ostakli; b’hekk ikun meħtieġ li jiġu promossi aktar nisa fit-tmexxija, jiżdied l-investiment, u jiġu implimentati riformi ta’ politika komprensivi biex jingħelbu dawn l-ostakli sistemiċi u tinkiseb soċjetà verament ugwali;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(i)</w:t>
      </w:r>
      <w:r>
        <w:tab/>
        <w:t>japplika l-integrazzjoni tal-perspettiva tal-ġeneri u l-ibbaġitjar skont il-ġeneru fl-oqsma ta’ politika kollha tal-UE, inkluża l-azzjoni esterna, u jmexxi bl-eżempju f’dan ir-rigward;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(j)</w:t>
      </w:r>
      <w:r>
        <w:tab/>
        <w:t>jimpenja ruħu għal valutazzjoni kostanti u azzjoni korrettiva proattiva fil-politiki interni u esterni tal-UE fir-rigward tal-ugwaljanza bejn il-ġeneri, l-integrazzjoni tal-perspettiva tal-ġeneri u l-ibbaġitjar skont il-ġeneru;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(k)</w:t>
      </w:r>
      <w:r>
        <w:tab/>
        <w:t>jistieden lill-Kummissjoni tkompli tiżviluppa u tintroduċi pjanijiet u azzjonijiet konkreti u ffinanzjati tajjeb biex tindirizza l-SDGs tan-NU, speċifikament dawk relatati mal-ugwaljanza bejn il-ġeneri;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(l)</w:t>
      </w:r>
      <w:r>
        <w:tab/>
        <w:t>jieħu rwol ta’ tmexxija fil-ġlieda globali kontra r-rigressjoni fir-rigward tal-ugwaljanza bejn il-ġeneri u d-drittijiet tan-nisa;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(m)</w:t>
      </w:r>
      <w:r>
        <w:tab/>
        <w:t>iħeġġeġ lill-Kummissjoni tkompli tiżviluppa u ttejjeb il-ġbir ta’ data diżaggregata skont il-ġeneru u tiżgura li din id-data tikkontribwixxi għal tfassil aħjar tal-politika; kif ukoll jissaħħaħ l-Istitut Ewropew għall-Ugwaljanza bejn is-Sessi kemm f’termini ta’ finanzjament kif ukoll ta’ kapaċità;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(n)</w:t>
      </w:r>
      <w:r>
        <w:tab/>
        <w:t xml:space="preserve">jimplimenta mingħajr dewmien u bis-sħiħ il-Pjan ta’ Azzjoni tal-UE dwar il-Ġeneru III u jiżgura li </w:t>
      </w:r>
      <w:r>
        <w:rPr>
          <w:shd w:val="clear" w:color="auto" w:fill="FFFFFF"/>
        </w:rPr>
        <w:t>85 % tal-azzjonijiet il-ġodda kollha fir-relazzjonijiet esterni kollha sal-2025 jikkontribwixxu għall-ugwaljanza bejn il-ġeneri u għall-għoti tas-setgħa lin-nisa;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(o)</w:t>
      </w:r>
      <w:r>
        <w:tab/>
        <w:t>jieħu nota u jimplimenta r-rakkomandazzjonijiet tar-riżoluzzjoni tal-Parlament tal-10 ta’ Marzu 2022 dwar il-GAP III tal-UE, u b’hekk jagħti prijorità lill-GAP III f’kull aspett tal-azzjoni esterna tal-UE permezz ta’ approċċ trasformattiv għall-ġeneru u intersezzjonali, kemm f’termini tal-kopertura ġeografika u l-oqsma ta’ azzjoni tal-GAP III, kif ukoll l-integrazzjoni tal-perspettiva tal-ġeneri fl-oqsma kollha tal-azzjoni esterna, kemm jekk huma l-kummerċ, il-politika tal-iżvilupp, l-għajnuna umanitarja, is-sigurtà jew setturi bħall-enerġija u l-agrikoltura;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(p)</w:t>
      </w:r>
      <w:r>
        <w:tab/>
        <w:t>ifassal, jiffinanzja u jimplimenta politiki li jnaqqsu r-rwol tal-ġeneru bħala fattur fil-faqar kemm fi ħdan l-UE kif ukoll ’il barra minnha, permezz ta’ azzjoni esterna filwaqt li jqis kif xieraq il-fatturi intersezzjonali, inklużi l-età, ir-responsabbiltajiet ta’ kura, id-diżabbiltà, ir-razza u s-sesswalità;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(q)</w:t>
      </w:r>
      <w:r>
        <w:tab/>
        <w:t>jindirizza l-kawżi sistemiċi u ewlenin tal-faqar tan-nisa u jagħti s-setgħa lin-nisa u lill-bniet fid-diversità kollha tagħhom permezz tal-edukazzjoni, it-taħriġ, it-tagħlim tul il-ħajja, l-opportunitajiet ta’ xogħol mhux diskriminatorji, l-aċċess għas-servizzi soċjali, l-ibbilanċjar tar-responsabbiltajiet ta’ kura u soċjali mhux imħallsa permezz ta’ inizjattivi leġiżlattivi, il-ġlieda kontra l-istereotipizzazzjoni tal-ġeneru u l-promozzjoni tan-nisa bħala mudelli eżemplari;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(r)</w:t>
      </w:r>
      <w:r>
        <w:tab/>
        <w:t>jappella għal aktar sforzi, leġiżlazzjoni u infurzar tal-miżuri eżistenti biex jiġu żgurati d-drittijiet tal-ħaddiema domestiċi nisa;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(s)</w:t>
      </w:r>
      <w:r>
        <w:tab/>
        <w:t xml:space="preserve">isaħħaħ ir-rispons, ir-riżorsi u s-sett ta’ għodod tal-UE, kemm internament kif </w:t>
      </w:r>
      <w:r>
        <w:lastRenderedPageBreak/>
        <w:t>ukoll esternament, fir-rigward tal-vjolenza abbażi tal-ġeneru, inkluż il-vjolenza domestika, sesswali, fiżika, psikoloġika u ekonomika, inkluż f’żoni ta’ gwerra, filwaqt li jitqiesu l-migrazzjoni, il-prostituzzjoni u l-isfruttament sesswali;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(t)</w:t>
      </w:r>
      <w:r>
        <w:tab/>
        <w:t>jiżgura li n-nisa fid-diversità kollha tagħhom ikollhom aċċess għas-servizzi tas-saħħa, inkluż għad-drittijiet sesswali u s-saħħa riproduttiva, inklużi l-edukazzjoni dwar is-sesswalità u r-relazzjonijiet xierqa għall-età, il-kontraċezzjoni, l-abort sikur u legali, il-kura tas-saħħa materna u s-servizzi tas-saħħa bbażati fuq il-kura;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>
        <w:t>(u)</w:t>
      </w:r>
      <w:r>
        <w:tab/>
        <w:t>jappella għal aktar sforzi biex jiġu indirizzati l-kwistjonijiet marbuta mal-ġeneru fil-kuntest tat-tranżizzjoni ekoloġika, minħabba l-impatt intersezzjonali u sproporzjonat tat-tibdil fil-klima fuq in-nisa u l-bniet, b’mod partikolari fil-pajjiżi li qed jiżviluppaw, filwaqt li jinnota li l-effetti tat-tibdil fil-klima mhumiex newtrali għall-ġeneru;</w:t>
      </w:r>
    </w:p>
    <w:p w:rsidR="007543F7" w:rsidRPr="002B7F91" w:rsidRDefault="007543F7" w:rsidP="007543F7">
      <w:pPr>
        <w:pStyle w:val="Action"/>
        <w:keepNext w:val="0"/>
        <w:keepLines w:val="0"/>
        <w:tabs>
          <w:tab w:val="clear" w:pos="357"/>
        </w:tabs>
        <w:ind w:left="1293" w:hanging="726"/>
      </w:pPr>
      <w:r>
        <w:t>(v)</w:t>
      </w:r>
      <w:r>
        <w:tab/>
        <w:t>jippromwovi u jsaħħaħ l-organizzazzjonijiet tas-soċjetà ċivili billi jappoġġja d-drittijiet tan-nisa;</w:t>
      </w:r>
    </w:p>
    <w:p w:rsidR="00902C4B" w:rsidRPr="00AA3F57" w:rsidRDefault="007543F7" w:rsidP="007543F7">
      <w:pPr>
        <w:pStyle w:val="Normal12a"/>
        <w:ind w:left="567" w:hanging="567"/>
      </w:pPr>
      <w:r>
        <w:t>2.</w:t>
      </w:r>
      <w:r>
        <w:tab/>
        <w:t>Jagħti istruzzjonijiet lill-President tiegħu biex tgħaddi din ir-rakkomandazzjoni lill-Kunsill u, għal skopijiet ta’ informazzjoni, lill-Kummissjoni.</w:t>
      </w:r>
    </w:p>
    <w:p w:rsidR="007543F7" w:rsidRDefault="007543F7">
      <w:pPr>
        <w:widowControl/>
        <w:sectPr w:rsidR="007543F7" w:rsidSect="007543F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7543F7" w:rsidRDefault="007543F7" w:rsidP="007041CC">
      <w:pPr>
        <w:pStyle w:val="PageHeading"/>
        <w:rPr>
          <w:noProof/>
        </w:rPr>
      </w:pPr>
      <w:bookmarkStart w:id="2" w:name="FootprintPageRR"/>
      <w:bookmarkStart w:id="3" w:name="_Toc180657981"/>
      <w:r>
        <w:lastRenderedPageBreak/>
        <w:t>ANNESS: ENTITAJIET JEW PERSUNI</w:t>
      </w:r>
      <w:r>
        <w:br/>
        <w:t>LI R-RAPPORTEUR IRĊEVIET KONTRIBUT MINGĦANDHOM</w:t>
      </w:r>
      <w:bookmarkEnd w:id="3"/>
    </w:p>
    <w:p w:rsidR="007543F7" w:rsidRPr="0099178F" w:rsidRDefault="007543F7" w:rsidP="00B31C6A">
      <w:pPr>
        <w:pStyle w:val="Normal24a"/>
        <w:spacing w:after="240"/>
      </w:pPr>
      <w:r>
        <w:rPr>
          <w:rStyle w:val="HideTWBExt"/>
        </w:rPr>
        <w:t>&lt;FootprintIntro&gt;</w:t>
      </w:r>
      <w:r>
        <w:t>Ir-rapporteur tiddikjara, taħt ir-responsabbiltà esklużiva tagħha li ma rċeviet l-ebda kontribut minn entità jew persuna li jrid jissemma f’dan l-Anness f’konformità mal-Artikolu 8 tal-Anness I tar-Regoli ta’ Proċedura.</w:t>
      </w:r>
      <w:r>
        <w:rPr>
          <w:rStyle w:val="HideTWBExt"/>
        </w:rPr>
        <w:t>&lt;/FootprintIntro&gt;</w:t>
      </w:r>
    </w:p>
    <w:p w:rsidR="007543F7" w:rsidRPr="003C6703" w:rsidRDefault="007543F7" w:rsidP="00646AD2">
      <w:pPr>
        <w:pStyle w:val="Footprint12b"/>
      </w:pPr>
    </w:p>
    <w:p w:rsidR="007543F7" w:rsidRPr="007543F7" w:rsidRDefault="007543F7" w:rsidP="007543F7"/>
    <w:bookmarkEnd w:id="2"/>
    <w:p w:rsidR="00144AD8" w:rsidRPr="00AA3F57" w:rsidRDefault="00144AD8" w:rsidP="00FD4651"/>
    <w:sectPr w:rsidR="00144AD8" w:rsidRPr="00AA3F57" w:rsidSect="007543F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F57" w:rsidRPr="00AA3F57" w:rsidRDefault="00AA3F57">
      <w:r w:rsidRPr="00AA3F57">
        <w:separator/>
      </w:r>
    </w:p>
  </w:endnote>
  <w:endnote w:type="continuationSeparator" w:id="0">
    <w:p w:rsidR="00AA3F57" w:rsidRPr="00AA3F57" w:rsidRDefault="00AA3F57">
      <w:r w:rsidRPr="00AA3F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AD8" w:rsidRPr="00AA3F57" w:rsidRDefault="001B22EB" w:rsidP="00C47D1A">
    <w:pPr>
      <w:pStyle w:val="EPFooter"/>
    </w:pPr>
    <w:r w:rsidRPr="00AA3F57">
      <w:t>PE</w:t>
    </w:r>
    <w:r w:rsidR="00B6642B" w:rsidRPr="00AA3F57">
      <w:rPr>
        <w:rStyle w:val="HideTWBExt"/>
      </w:rPr>
      <w:t>&lt;NoPE&gt;</w:t>
    </w:r>
    <w:r w:rsidR="007543F7" w:rsidRPr="007543F7">
      <w:t>675.072</w:t>
    </w:r>
    <w:r w:rsidR="00B6642B" w:rsidRPr="00AA3F57">
      <w:rPr>
        <w:rStyle w:val="HideTWBExt"/>
      </w:rPr>
      <w:t>&lt;/NoPE&gt;&lt;Version&gt;</w:t>
    </w:r>
    <w:r w:rsidR="00AA3F57" w:rsidRPr="00AA3F57">
      <w:t>v</w:t>
    </w:r>
    <w:r w:rsidR="007543F7" w:rsidRPr="007543F7">
      <w:t>01-00</w:t>
    </w:r>
    <w:r w:rsidR="00B6642B" w:rsidRPr="00AA3F57">
      <w:rPr>
        <w:rStyle w:val="HideTWBExt"/>
      </w:rPr>
      <w:t>&lt;/Version&gt;</w:t>
    </w:r>
    <w:r w:rsidR="00144AD8" w:rsidRPr="00AA3F57">
      <w:tab/>
    </w:r>
    <w:r w:rsidR="0032649C" w:rsidRPr="00AA3F57">
      <w:fldChar w:fldCharType="begin"/>
    </w:r>
    <w:r w:rsidR="0032649C" w:rsidRPr="00AA3F57">
      <w:instrText xml:space="preserve"> PAGE </w:instrText>
    </w:r>
    <w:r w:rsidR="0032649C" w:rsidRPr="00AA3F57">
      <w:fldChar w:fldCharType="separate"/>
    </w:r>
    <w:r w:rsidR="007E2B26">
      <w:rPr>
        <w:noProof/>
      </w:rPr>
      <w:t>4</w:t>
    </w:r>
    <w:r w:rsidR="0032649C" w:rsidRPr="00AA3F57">
      <w:fldChar w:fldCharType="end"/>
    </w:r>
    <w:r w:rsidR="0032649C" w:rsidRPr="00AA3F57">
      <w:t>/</w:t>
    </w:r>
    <w:fldSimple w:instr=" NUMPAGES ">
      <w:r w:rsidR="007E2B26">
        <w:rPr>
          <w:noProof/>
        </w:rPr>
        <w:t>8</w:t>
      </w:r>
    </w:fldSimple>
    <w:r w:rsidR="00144AD8" w:rsidRPr="00AA3F57">
      <w:tab/>
    </w:r>
    <w:r w:rsidR="00B6642B" w:rsidRPr="00AA3F57">
      <w:rPr>
        <w:rStyle w:val="HideTWBExt"/>
      </w:rPr>
      <w:t>&lt;PathFdR&gt;</w:t>
    </w:r>
    <w:r w:rsidR="007543F7" w:rsidRPr="007543F7">
      <w:t>PR\1308027MT.docx</w:t>
    </w:r>
    <w:r w:rsidR="00B6642B" w:rsidRPr="00AA3F57">
      <w:rPr>
        <w:rStyle w:val="HideTWBExt"/>
      </w:rPr>
      <w:t>&lt;/PathFdR&gt;</w:t>
    </w:r>
  </w:p>
  <w:p w:rsidR="00144AD8" w:rsidRPr="00AA3F57" w:rsidRDefault="00902C4B">
    <w:pPr>
      <w:pStyle w:val="EPFooter2"/>
    </w:pPr>
    <w:fldSimple w:instr=" DOCPROPERTY &quot;&lt;Extension&gt;&quot; ">
      <w:r w:rsidR="007E2B26">
        <w:t>MT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AD8" w:rsidRPr="00AA3F57" w:rsidRDefault="00B6642B" w:rsidP="00C47D1A">
    <w:pPr>
      <w:pStyle w:val="EPFooter"/>
    </w:pPr>
    <w:r w:rsidRPr="00AA3F57">
      <w:rPr>
        <w:rStyle w:val="HideTWBExt"/>
      </w:rPr>
      <w:t>&lt;PathFdR&gt;</w:t>
    </w:r>
    <w:r w:rsidR="007543F7" w:rsidRPr="007543F7">
      <w:t>PR\1308027MT.docx</w:t>
    </w:r>
    <w:r w:rsidRPr="00AA3F57">
      <w:rPr>
        <w:rStyle w:val="HideTWBExt"/>
      </w:rPr>
      <w:t>&lt;/PathFdR&gt;</w:t>
    </w:r>
    <w:r w:rsidR="00144AD8" w:rsidRPr="00AA3F57">
      <w:tab/>
    </w:r>
    <w:r w:rsidR="0032649C" w:rsidRPr="00AA3F57">
      <w:fldChar w:fldCharType="begin"/>
    </w:r>
    <w:r w:rsidR="0032649C" w:rsidRPr="00AA3F57">
      <w:instrText xml:space="preserve"> PAGE </w:instrText>
    </w:r>
    <w:r w:rsidR="0032649C" w:rsidRPr="00AA3F57">
      <w:fldChar w:fldCharType="separate"/>
    </w:r>
    <w:r w:rsidR="007E2B26">
      <w:rPr>
        <w:noProof/>
      </w:rPr>
      <w:t>3</w:t>
    </w:r>
    <w:r w:rsidR="0032649C" w:rsidRPr="00AA3F57">
      <w:fldChar w:fldCharType="end"/>
    </w:r>
    <w:r w:rsidR="0032649C" w:rsidRPr="00AA3F57">
      <w:t>/</w:t>
    </w:r>
    <w:fldSimple w:instr=" NUMPAGES ">
      <w:r w:rsidR="007E2B26">
        <w:rPr>
          <w:noProof/>
        </w:rPr>
        <w:t>8</w:t>
      </w:r>
    </w:fldSimple>
    <w:r w:rsidR="00144AD8" w:rsidRPr="00AA3F57">
      <w:tab/>
    </w:r>
    <w:r w:rsidR="001B22EB" w:rsidRPr="00AA3F57">
      <w:t>PE</w:t>
    </w:r>
    <w:r w:rsidRPr="00AA3F57">
      <w:rPr>
        <w:rStyle w:val="HideTWBExt"/>
      </w:rPr>
      <w:t>&lt;NoPE&gt;</w:t>
    </w:r>
    <w:r w:rsidR="007543F7" w:rsidRPr="007543F7">
      <w:t>675.072</w:t>
    </w:r>
    <w:r w:rsidRPr="00AA3F57">
      <w:rPr>
        <w:rStyle w:val="HideTWBExt"/>
      </w:rPr>
      <w:t>&lt;/NoPE&gt;&lt;Version&gt;</w:t>
    </w:r>
    <w:r w:rsidR="00AA3F57" w:rsidRPr="00AA3F57">
      <w:t>v</w:t>
    </w:r>
    <w:r w:rsidR="007543F7" w:rsidRPr="007543F7">
      <w:t>01-00</w:t>
    </w:r>
    <w:r w:rsidRPr="00AA3F57">
      <w:rPr>
        <w:rStyle w:val="HideTWBExt"/>
      </w:rPr>
      <w:t>&lt;/Version&gt;</w:t>
    </w:r>
  </w:p>
  <w:p w:rsidR="00144AD8" w:rsidRPr="00AA3F57" w:rsidRDefault="0032649C">
    <w:pPr>
      <w:pStyle w:val="EPFooter2"/>
    </w:pPr>
    <w:r w:rsidRPr="00AA3F57">
      <w:tab/>
    </w:r>
    <w:r w:rsidR="00144AD8" w:rsidRPr="00AA3F57">
      <w:tab/>
    </w:r>
    <w:fldSimple w:instr=" DOCPROPERTY &quot;&lt;Extension&gt;&quot; ">
      <w:r w:rsidR="007E2B26">
        <w:t>MT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AD8" w:rsidRPr="00AA3F57" w:rsidRDefault="00144AD8" w:rsidP="00C47D1A">
    <w:pPr>
      <w:pStyle w:val="EPFooter"/>
    </w:pPr>
    <w:r w:rsidRPr="00AA3F57">
      <w:rPr>
        <w:rStyle w:val="HideTWBExt"/>
      </w:rPr>
      <w:t>&lt;PathFdR&gt;</w:t>
    </w:r>
    <w:r w:rsidR="007543F7" w:rsidRPr="007543F7">
      <w:t>PR\1308027MT.docx</w:t>
    </w:r>
    <w:r w:rsidRPr="00AA3F57">
      <w:rPr>
        <w:rStyle w:val="HideTWBExt"/>
      </w:rPr>
      <w:t>&lt;/PathFdR&gt;</w:t>
    </w:r>
    <w:r w:rsidRPr="00AA3F57">
      <w:tab/>
    </w:r>
    <w:r w:rsidRPr="00AA3F57">
      <w:tab/>
    </w:r>
    <w:r w:rsidR="001B22EB" w:rsidRPr="00AA3F57">
      <w:t>PE</w:t>
    </w:r>
    <w:r w:rsidRPr="00AA3F57">
      <w:rPr>
        <w:rStyle w:val="HideTWBExt"/>
      </w:rPr>
      <w:t>&lt;NoPE&gt;</w:t>
    </w:r>
    <w:r w:rsidR="007543F7" w:rsidRPr="007543F7">
      <w:t>675.072</w:t>
    </w:r>
    <w:r w:rsidRPr="00AA3F57">
      <w:rPr>
        <w:rStyle w:val="HideTWBExt"/>
      </w:rPr>
      <w:t>&lt;/NoPE&gt;&lt;Version&gt;</w:t>
    </w:r>
    <w:r w:rsidR="00AA3F57" w:rsidRPr="00AA3F57">
      <w:t>v</w:t>
    </w:r>
    <w:r w:rsidR="007543F7" w:rsidRPr="007543F7">
      <w:t>01-00</w:t>
    </w:r>
    <w:r w:rsidRPr="00AA3F57">
      <w:rPr>
        <w:rStyle w:val="HideTWBExt"/>
      </w:rPr>
      <w:t>&lt;/Version&gt;</w:t>
    </w:r>
  </w:p>
  <w:p w:rsidR="00144AD8" w:rsidRPr="00AA3F57" w:rsidRDefault="00902C4B" w:rsidP="00C7235E">
    <w:pPr>
      <w:pStyle w:val="EPFooter2"/>
      <w:tabs>
        <w:tab w:val="clear" w:pos="4535"/>
        <w:tab w:val="center" w:pos="4536"/>
      </w:tabs>
    </w:pPr>
    <w:fldSimple w:instr=" DOCPROPERTY &quot;&lt;Extension&gt;&quot; ">
      <w:r w:rsidR="007E2B26">
        <w:t>MT</w:t>
      </w:r>
    </w:fldSimple>
    <w:r w:rsidR="00C7235E" w:rsidRPr="00AA3F57">
      <w:tab/>
    </w:r>
    <w:r w:rsidR="007543F7">
      <w:rPr>
        <w:b w:val="0"/>
        <w:i/>
        <w:color w:val="C0C0C0"/>
        <w:sz w:val="22"/>
        <w:szCs w:val="22"/>
      </w:rPr>
      <w:t>Magħquda fid-diversità</w:t>
    </w:r>
    <w:r w:rsidR="00C7235E" w:rsidRPr="00AA3F57">
      <w:tab/>
    </w:r>
    <w:fldSimple w:instr=" DOCPROPERTY &quot;&lt;Extension&gt;&quot; ">
      <w:r w:rsidR="007E2B26">
        <w:t>MT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F57" w:rsidRPr="00AA3F57" w:rsidRDefault="00AA3F57">
      <w:r w:rsidRPr="00AA3F57">
        <w:separator/>
      </w:r>
    </w:p>
  </w:footnote>
  <w:footnote w:type="continuationSeparator" w:id="0">
    <w:p w:rsidR="00AA3F57" w:rsidRPr="00AA3F57" w:rsidRDefault="00AA3F57">
      <w:r w:rsidRPr="00AA3F57">
        <w:continuationSeparator/>
      </w:r>
    </w:p>
  </w:footnote>
  <w:footnote w:id="1">
    <w:p w:rsidR="007543F7" w:rsidRPr="001A2622" w:rsidRDefault="007543F7" w:rsidP="007543F7">
      <w:pPr>
        <w:pStyle w:val="FootnoteText"/>
      </w:pPr>
      <w:r>
        <w:rPr>
          <w:rStyle w:val="FootnoteReference"/>
        </w:rPr>
        <w:footnoteRef/>
      </w:r>
      <w:r>
        <w:t xml:space="preserve"> ĠU C 347, 9.9.2022, p. 150.</w:t>
      </w:r>
    </w:p>
  </w:footnote>
  <w:footnote w:id="2">
    <w:p w:rsidR="007543F7" w:rsidRPr="001A2622" w:rsidRDefault="007543F7" w:rsidP="007543F7">
      <w:pPr>
        <w:pStyle w:val="FootnoteText"/>
      </w:pPr>
      <w:r>
        <w:rPr>
          <w:rStyle w:val="FootnoteReference"/>
        </w:rPr>
        <w:footnoteRef/>
      </w:r>
      <w:r>
        <w:t xml:space="preserve"> ĠU C 465, 17.11.2021, p. 160.</w:t>
      </w:r>
    </w:p>
  </w:footnote>
  <w:footnote w:id="3">
    <w:p w:rsidR="007543F7" w:rsidRPr="006270AA" w:rsidRDefault="007543F7" w:rsidP="007543F7">
      <w:pPr>
        <w:pStyle w:val="NormalHanging12a"/>
        <w:widowControl/>
        <w:spacing w:after="0"/>
        <w:ind w:firstLine="0"/>
        <w:rPr>
          <w:sz w:val="20"/>
        </w:rPr>
      </w:pPr>
      <w:r>
        <w:rPr>
          <w:rStyle w:val="FootnoteReference"/>
          <w:sz w:val="20"/>
        </w:rPr>
        <w:footnoteRef/>
      </w:r>
      <w:r>
        <w:rPr>
          <w:sz w:val="20"/>
        </w:rPr>
        <w:t xml:space="preserve"> UN, </w:t>
      </w:r>
      <w:r>
        <w:rPr>
          <w:i/>
          <w:sz w:val="20"/>
        </w:rPr>
        <w:t>Are we getting there? A synthesis of UN system evaluations of SDG 5</w:t>
      </w:r>
      <w:r>
        <w:rPr>
          <w:sz w:val="20"/>
        </w:rPr>
        <w:t xml:space="preserve">, Marzu 2024, </w:t>
      </w:r>
      <w:hyperlink r:id="rId1" w:history="1">
        <w:r>
          <w:rPr>
            <w:rStyle w:val="Hyperlink"/>
            <w:sz w:val="20"/>
          </w:rPr>
          <w:t>https://www.unwomen.org/en/digital-library/publications/2024/03/are-we-getting-there-a-synthesis-of-un-system-evaluations-of-sdg-5</w:t>
        </w:r>
      </w:hyperlink>
      <w:r>
        <w:rPr>
          <w:rStyle w:val="Hyperlink"/>
          <w:color w:val="auto"/>
          <w:sz w:val="20"/>
          <w:u w:val="none"/>
        </w:rPr>
        <w:t>.</w:t>
      </w:r>
    </w:p>
  </w:footnote>
  <w:footnote w:id="4">
    <w:p w:rsidR="007543F7" w:rsidRPr="00BF6904" w:rsidRDefault="007543F7" w:rsidP="007543F7">
      <w:pPr>
        <w:pStyle w:val="NormalHanging12a"/>
        <w:spacing w:after="0"/>
        <w:ind w:firstLine="0"/>
        <w:rPr>
          <w:sz w:val="20"/>
        </w:rPr>
      </w:pPr>
      <w:r>
        <w:rPr>
          <w:rStyle w:val="FootnoteReference"/>
          <w:sz w:val="20"/>
        </w:rPr>
        <w:footnoteRef/>
      </w:r>
      <w:r>
        <w:rPr>
          <w:sz w:val="20"/>
        </w:rPr>
        <w:t xml:space="preserve"> L-Assemblea Ġenerali tan-NU, </w:t>
      </w:r>
      <w:r>
        <w:rPr>
          <w:i/>
          <w:sz w:val="20"/>
        </w:rPr>
        <w:t>Escalating backlash against gender equality and urgency of reaffirming substantive equality and the human rights of women and girls: Report of the Working Group on discrimination against women and girls</w:t>
      </w:r>
      <w:r>
        <w:rPr>
          <w:sz w:val="20"/>
        </w:rPr>
        <w:t xml:space="preserve">, 15 ta’ Mejju 2024, </w:t>
      </w:r>
      <w:hyperlink r:id="rId2" w:history="1">
        <w:r>
          <w:rPr>
            <w:rStyle w:val="Hyperlink"/>
            <w:sz w:val="20"/>
          </w:rPr>
          <w:t>https://documents.un.org/doc/undoc/gen/g24/073/47/pdf/g2407347.pdf</w:t>
        </w:r>
      </w:hyperlink>
      <w:r>
        <w:rPr>
          <w:rStyle w:val="Hyperlink"/>
          <w:color w:val="auto"/>
          <w:sz w:val="20"/>
          <w:u w:val="none"/>
        </w:rPr>
        <w:t>.</w:t>
      </w:r>
    </w:p>
    <w:p w:rsidR="007543F7" w:rsidRPr="00BF6904" w:rsidRDefault="007543F7" w:rsidP="007543F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3F7" w:rsidRDefault="007543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3F7" w:rsidRDefault="007543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3F7" w:rsidRDefault="007543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PMNU" w:val=" 2"/>
    <w:docVar w:name="COMKEY" w:val="FEMM"/>
    <w:docVar w:name="CONTRIBUTIONMNU" w:val=" 2"/>
    <w:docVar w:name="LastEditedSection" w:val=" 1"/>
    <w:docVar w:name="NVAR1" w:val="0"/>
    <w:docVar w:name="strDocTypeID" w:val="PR_INI_RecommCFSP"/>
    <w:docVar w:name="strSubDir" w:val="1308"/>
    <w:docVar w:name="TXTLANGUE" w:val="MT"/>
    <w:docVar w:name="TXTLANGUEMIN" w:val="mt"/>
    <w:docVar w:name="TXTNRINI" w:val="2024/2057"/>
    <w:docVar w:name="TXTNRPE" w:val="675.072"/>
    <w:docVar w:name="TXTPEorAP" w:val="PE"/>
    <w:docVar w:name="TXTROUTE" w:val="PR\1308027MT.docx"/>
    <w:docVar w:name="TXTVERSION" w:val="01-00"/>
  </w:docVars>
  <w:rsids>
    <w:rsidRoot w:val="00AA3F57"/>
    <w:rsid w:val="000005E5"/>
    <w:rsid w:val="00001993"/>
    <w:rsid w:val="00005D56"/>
    <w:rsid w:val="00010437"/>
    <w:rsid w:val="00144AD8"/>
    <w:rsid w:val="001533B4"/>
    <w:rsid w:val="00160F77"/>
    <w:rsid w:val="001B22EB"/>
    <w:rsid w:val="00234B03"/>
    <w:rsid w:val="0024591C"/>
    <w:rsid w:val="00267945"/>
    <w:rsid w:val="0032649C"/>
    <w:rsid w:val="00387C58"/>
    <w:rsid w:val="00392F42"/>
    <w:rsid w:val="003D0074"/>
    <w:rsid w:val="00434A68"/>
    <w:rsid w:val="004A388E"/>
    <w:rsid w:val="004A5141"/>
    <w:rsid w:val="005577F1"/>
    <w:rsid w:val="0062719E"/>
    <w:rsid w:val="00627DF1"/>
    <w:rsid w:val="00686DFF"/>
    <w:rsid w:val="0069495A"/>
    <w:rsid w:val="006D4C8E"/>
    <w:rsid w:val="006E363A"/>
    <w:rsid w:val="007543F7"/>
    <w:rsid w:val="007C4764"/>
    <w:rsid w:val="007E2B26"/>
    <w:rsid w:val="0081489C"/>
    <w:rsid w:val="00855A58"/>
    <w:rsid w:val="0086407B"/>
    <w:rsid w:val="00865AB2"/>
    <w:rsid w:val="00902C4B"/>
    <w:rsid w:val="009062FC"/>
    <w:rsid w:val="009302EC"/>
    <w:rsid w:val="00931782"/>
    <w:rsid w:val="009340AC"/>
    <w:rsid w:val="009B3734"/>
    <w:rsid w:val="00A144CA"/>
    <w:rsid w:val="00A22B21"/>
    <w:rsid w:val="00AA3F57"/>
    <w:rsid w:val="00AF2187"/>
    <w:rsid w:val="00B10048"/>
    <w:rsid w:val="00B26C55"/>
    <w:rsid w:val="00B6527B"/>
    <w:rsid w:val="00B6642B"/>
    <w:rsid w:val="00BE7750"/>
    <w:rsid w:val="00C3019B"/>
    <w:rsid w:val="00C47D1A"/>
    <w:rsid w:val="00C7235E"/>
    <w:rsid w:val="00C7360B"/>
    <w:rsid w:val="00CA0DE5"/>
    <w:rsid w:val="00CB2AC0"/>
    <w:rsid w:val="00D349C1"/>
    <w:rsid w:val="00D860C1"/>
    <w:rsid w:val="00E048E2"/>
    <w:rsid w:val="00E05579"/>
    <w:rsid w:val="00E24484"/>
    <w:rsid w:val="00E26C78"/>
    <w:rsid w:val="00E34F46"/>
    <w:rsid w:val="00EA624D"/>
    <w:rsid w:val="00F65426"/>
    <w:rsid w:val="00FA7E38"/>
    <w:rsid w:val="00FC504F"/>
    <w:rsid w:val="00FC5F47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32E76-D283-404B-A6FE-48341B66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543F7"/>
    <w:rPr>
      <w:sz w:val="24"/>
      <w:lang w:val="mt-MT"/>
    </w:rPr>
  </w:style>
  <w:style w:type="character" w:styleId="Hyperlink">
    <w:name w:val="Hyperlink"/>
    <w:basedOn w:val="DefaultParagraphFont"/>
    <w:unhideWhenUsed/>
    <w:rsid w:val="007543F7"/>
    <w:rPr>
      <w:color w:val="0563C1" w:themeColor="hyperlink"/>
      <w:u w:val="single"/>
    </w:rPr>
  </w:style>
  <w:style w:type="paragraph" w:customStyle="1" w:styleId="Action">
    <w:name w:val="Action"/>
    <w:basedOn w:val="Normal"/>
    <w:rsid w:val="007543F7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noteText">
    <w:name w:val="footnote text"/>
    <w:basedOn w:val="Normal"/>
    <w:link w:val="FootnoteTextChar"/>
    <w:rsid w:val="007543F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543F7"/>
  </w:style>
  <w:style w:type="character" w:styleId="FootnoteReference">
    <w:name w:val="footnote reference"/>
    <w:basedOn w:val="DefaultParagraphFont"/>
    <w:rsid w:val="007543F7"/>
    <w:rPr>
      <w:vertAlign w:val="superscript"/>
    </w:rPr>
  </w:style>
  <w:style w:type="paragraph" w:customStyle="1" w:styleId="Normal24a">
    <w:name w:val="Normal24a"/>
    <w:basedOn w:val="Normal"/>
    <w:rsid w:val="007543F7"/>
    <w:pPr>
      <w:spacing w:after="480"/>
    </w:pPr>
  </w:style>
  <w:style w:type="paragraph" w:customStyle="1" w:styleId="NormalBoldCenter">
    <w:name w:val="NormalBoldCenter"/>
    <w:basedOn w:val="Normal"/>
    <w:rsid w:val="007543F7"/>
    <w:pPr>
      <w:jc w:val="center"/>
    </w:pPr>
    <w:rPr>
      <w:b/>
    </w:rPr>
  </w:style>
  <w:style w:type="paragraph" w:customStyle="1" w:styleId="Footprint12b">
    <w:name w:val="Footprint12b"/>
    <w:basedOn w:val="Normal"/>
    <w:rsid w:val="007543F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543F7"/>
    <w:rPr>
      <w:szCs w:val="24"/>
    </w:rPr>
  </w:style>
  <w:style w:type="paragraph" w:styleId="Footer">
    <w:name w:val="footer"/>
    <w:basedOn w:val="Normal"/>
    <w:link w:val="FooterChar"/>
    <w:semiHidden/>
    <w:rsid w:val="007E2B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E2B2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cuments.un.org/doc/undoc/gen/g24/073/47/pdf/g2407347.pdf" TargetMode="External"/><Relationship Id="rId1" Type="http://schemas.openxmlformats.org/officeDocument/2006/relationships/hyperlink" Target="https://www.unwomen.org/en/digital-library/publications/2024/03/are-we-getting-there-a-synthesis-of-un-system-evaluations-of-sdg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1637</Words>
  <Characters>11938</Characters>
  <Application>Microsoft Office Word</Application>
  <DocSecurity>0</DocSecurity>
  <Lines>213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SCIRTO GAUCI Lindsay</dc:creator>
  <cp:keywords/>
  <dc:description/>
  <cp:lastModifiedBy>SCIRTO GAUCI Lindsay</cp:lastModifiedBy>
  <cp:revision>2</cp:revision>
  <cp:lastPrinted>2006-05-02T14:58:00Z</cp:lastPrinted>
  <dcterms:created xsi:type="dcterms:W3CDTF">2024-10-24T08:26:00Z</dcterms:created>
  <dcterms:modified xsi:type="dcterms:W3CDTF">2024-10-24T08:26:00Z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9.18.0 Build [20240401]</vt:lpwstr>
  </property>
  <property fmtid="{D5CDD505-2E9C-101B-9397-08002B2CF9AE}" pid="4" name="LastEdited with">
    <vt:lpwstr>9.18.0 Build [20240401]</vt:lpwstr>
  </property>
  <property fmtid="{D5CDD505-2E9C-101B-9397-08002B2CF9AE}" pid="5" name="&lt;FdR&gt;">
    <vt:lpwstr>1308027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\\eiciLUXpr1\pdocep$\DocEP\DOCS\General\PR\PR_NonLeg\INI\PR_INI_RecommCFSP.dotx(23/11/2023 20:35:01)</vt:lpwstr>
  </property>
  <property fmtid="{D5CDD505-2E9C-101B-9397-08002B2CF9AE}" pid="8" name="&lt;ModelTra&gt;">
    <vt:lpwstr>\\eiciLUXpr1\pdocep$\DocEP\TRANSFIL\MT\PR_INI_RecommCFSP.MT(14/08/2024 20:08:12)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PR\1308027MT.docx</vt:lpwstr>
  </property>
  <property fmtid="{D5CDD505-2E9C-101B-9397-08002B2CF9AE}" pid="11" name="PE number">
    <vt:lpwstr>675.072</vt:lpwstr>
  </property>
  <property fmtid="{D5CDD505-2E9C-101B-9397-08002B2CF9AE}" pid="12" name="SDLStudio">
    <vt:lpwstr/>
  </property>
  <property fmtid="{D5CDD505-2E9C-101B-9397-08002B2CF9AE}" pid="13" name="Bookout">
    <vt:lpwstr>OK - 2024/10/24 10:26</vt:lpwstr>
  </property>
</Properties>
</file>