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1.0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Evropský parlament</w:t>
            </w:r>
          </w:p>
          <w:p>
            <w:pPr>
              <w:pStyle w:val="EPTerm"/>
            </w:pPr>
            <w:r>
              <w:t>2024–2029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Výbor pro práva žen a rovnost pohlaví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2024/2125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24/03/2025</w:t>
      </w:r>
      <w:r>
        <w:rPr>
          <w:rStyle w:val="HideTWBInt"/>
        </w:rPr>
        <w:t>}</w:t>
      </w:r>
      <w:r>
        <w:t>24. 3. 2025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NÁVRH ZPRÁVY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Strategie pro rovnost žen a mužů 2025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(2024/2125(INI))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Výbor pro práva žen a rovnost pohlaví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Zpravodaj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Marko Vešligaj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OBSAH</w:t>
      </w:r>
    </w:p>
    <w:p>
      <w:pPr>
        <w:pStyle w:val="TOCPage"/>
      </w:pPr>
      <w:r>
        <w:t>Strana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NÁVRH USNESENÍ EVROPSKÉHO PARLAMENTU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VYSVĚTLUJÍCÍ PROHLÁŠENÍ</w:t>
      </w:r>
      <w:r>
        <w:tab/>
      </w:r>
      <w:r>
        <w:fldChar w:fldCharType="begin"/>
      </w:r>
      <w:r>
        <w:instrText xml:space="preserve"> PAGEREF _Toc256000004 \h </w:instrText>
      </w:r>
      <w:r>
        <w:fldChar w:fldCharType="separate"/>
      </w:r>
      <w:r>
        <w:t>10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PŘÍLOHA: SUBJEKTY NEBO OSOBY,  OD NICHŽ ZPRAVODAJ OBDRŽEL PODNĚTY</w:t>
      </w:r>
      <w:r>
        <w:tab/>
      </w:r>
      <w:r>
        <w:fldChar w:fldCharType="begin"/>
      </w:r>
      <w:r>
        <w:instrText xml:space="preserve"> PAGEREF _Toc256000005 \h </w:instrText>
      </w:r>
      <w:r>
        <w:fldChar w:fldCharType="separate"/>
      </w:r>
      <w:r>
        <w:t>14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PageHeading"/>
      </w:pPr>
      <w:r>
        <w:br w:type="page"/>
      </w:r>
      <w:bookmarkStart w:id="0" w:name="_Toc256000003"/>
      <w:r>
        <w:t>NÁVRH USNESENÍ EVROPSKÉHO PARLAMENTU</w:t>
      </w:r>
      <w:bookmarkEnd w:id="0"/>
    </w:p>
    <w:p>
      <w:pPr>
        <w:pStyle w:val="NormalBold"/>
      </w:pPr>
      <w:r>
        <w:t>Strategie pro rovnost žen a mužů 2025</w:t>
      </w:r>
    </w:p>
    <w:p>
      <w:pPr>
        <w:pStyle w:val="NormalBold"/>
      </w:pPr>
      <w:r>
        <w:t>(2024/2125(INI))</w:t>
      </w:r>
    </w:p>
    <w:p>
      <w:pPr>
        <w:pStyle w:val="EPComma"/>
      </w:pPr>
      <w:r>
        <w:rPr>
          <w:rStyle w:val="Italic"/>
        </w:rPr>
        <w:t>Evropský parlament</w:t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články 2 a 3 Smlouvy o Evropské unii,</w:t>
      </w:r>
    </w:p>
    <w:p>
      <w:pPr>
        <w:pStyle w:val="NormalHanging12a"/>
      </w:pPr>
      <w:r>
        <w:t>–</w:t>
      </w:r>
      <w:r>
        <w:tab/>
      </w:r>
      <w:r>
        <w:t>s ohledem na články 8, 10, 19, 83, 153 a 157 Smlouvy o fungování Evropské unie (SFEU),</w:t>
      </w:r>
    </w:p>
    <w:p>
      <w:pPr>
        <w:pStyle w:val="NormalHanging12a"/>
      </w:pPr>
      <w:r>
        <w:t>–</w:t>
      </w:r>
      <w:r>
        <w:tab/>
      </w:r>
      <w:r>
        <w:t>s ohledem na články 21 a 23 Listiny základních práv Evropské unie,</w:t>
      </w:r>
    </w:p>
    <w:p>
      <w:pPr>
        <w:pStyle w:val="NormalHanging12a"/>
      </w:pPr>
      <w:r>
        <w:t>–</w:t>
      </w:r>
      <w:r>
        <w:tab/>
      </w:r>
      <w:r>
        <w:t>s ohledem na Evropský pilíř sociálních práv, který Evropský parlament, Rada a Komise dne 17. listopadu 2017 slavnostně vyhlásily a podepsaly, a na sdělení Komise ze dne 4. března 2021 nazvané „Akční plán pro evropský pilíř sociálních práv“</w:t>
      </w:r>
      <w:hyperlink r:id="rId6" w:history="1">
        <w:r>
          <w:rPr>
            <w:rStyle w:val="Hyperlink"/>
          </w:rPr>
          <w:t>(COM(2021) 102 final</w:t>
        </w:r>
      </w:hyperlink>
      <w:r>
        <w:rPr>
          <w:rStyle w:val="DefaultParagraphFont"/>
          <w:b w:val="0"/>
          <w:i w:val="0"/>
          <w:u w:val="none"/>
        </w:rPr>
        <w:t>),</w:t>
      </w:r>
    </w:p>
    <w:p>
      <w:pPr>
        <w:pStyle w:val="NormalHanging12a"/>
      </w:pPr>
      <w:r>
        <w:t>–</w:t>
      </w:r>
      <w:r>
        <w:tab/>
      </w:r>
      <w:r>
        <w:t>s ohledem na Úmluvu OSN o odstranění všech forem diskriminace žen ze dne 18. prosince 1979,</w:t>
      </w:r>
    </w:p>
    <w:p>
      <w:pPr>
        <w:pStyle w:val="NormalHanging12a"/>
      </w:pPr>
      <w:r>
        <w:t>–</w:t>
      </w:r>
      <w:r>
        <w:tab/>
      </w:r>
      <w:r>
        <w:t>s ohledem na Pekingskou deklaraci OSN a akční platformu ze dne 15. září 1995 a na výsledky hodnotících konferencí,</w:t>
      </w:r>
    </w:p>
    <w:p>
      <w:pPr>
        <w:pStyle w:val="NormalHanging12a"/>
      </w:pPr>
      <w:r>
        <w:t>–</w:t>
      </w:r>
      <w:r>
        <w:tab/>
      </w:r>
      <w:r>
        <w:t>s ohledem na Agendu OSN pro udržitelný rozvoj 2030 ze dne 21. října 2015 a na cíle udržitelného rozvoje v ní stanovené, zejména na cíl udržitelného rozvoje č. 5 „Dosáhnout genderové rovnosti a posílit postavení všech žen a dívek“, a na související cíle a ukazatele,</w:t>
      </w:r>
    </w:p>
    <w:p>
      <w:pPr>
        <w:pStyle w:val="NormalHanging12a"/>
      </w:pPr>
      <w:r>
        <w:t>–</w:t>
      </w:r>
      <w:r>
        <w:tab/>
      </w:r>
      <w:r>
        <w:t>s ohledem na Úmluvu Mezinárodní organizace práce o stejném odměňování ze dne 29. června 1951 a Úmluvu Mezinárodní organizace práce o násilí a obtěžování ze dne 21. června 2019,</w:t>
      </w:r>
    </w:p>
    <w:p>
      <w:pPr>
        <w:pStyle w:val="NormalHanging12a"/>
      </w:pPr>
      <w:r>
        <w:t>–</w:t>
      </w:r>
      <w:r>
        <w:tab/>
      </w:r>
      <w:r>
        <w:t xml:space="preserve">s ohledem na Úmluvu </w:t>
      </w:r>
      <w:r>
        <w:t>Rady Evropy</w:t>
      </w:r>
      <w:r>
        <w:t xml:space="preserve"> o prevenci a potírání násilí na ženách a domácího násilí („Istanbulská úmluva“) ze dne 11. května 2011,</w:t>
      </w:r>
    </w:p>
    <w:p>
      <w:pPr>
        <w:pStyle w:val="NormalHanging12a"/>
      </w:pPr>
      <w:r>
        <w:t>–</w:t>
      </w:r>
      <w:r>
        <w:tab/>
      </w:r>
      <w:r>
        <w:t>s ohledem na směrnice přijaté od roku 1975, týkající se různých aspektů rovného zacházení pro ženy a muže (směrnice 79/7/EHS</w:t>
      </w:r>
      <w:r>
        <w:rPr>
          <w:rStyle w:val="FootnoteReference"/>
        </w:rPr>
        <w:footnoteReference w:id="2"/>
      </w:r>
      <w:r>
        <w:t>, směrnice 86/613/EHS</w:t>
      </w:r>
      <w:r>
        <w:rPr>
          <w:rStyle w:val="FootnoteReference"/>
        </w:rPr>
        <w:footnoteReference w:id="3"/>
      </w:r>
      <w:r>
        <w:t>, směrnice 92/85/EHS</w:t>
      </w:r>
      <w:r>
        <w:rPr>
          <w:rStyle w:val="FootnoteReference"/>
        </w:rPr>
        <w:footnoteReference w:id="4"/>
      </w:r>
      <w:r>
        <w:t>, směrnice 2004/113/ES</w:t>
      </w:r>
      <w:r>
        <w:rPr>
          <w:rStyle w:val="FootnoteReference"/>
        </w:rPr>
        <w:footnoteReference w:id="5"/>
      </w:r>
      <w:r>
        <w:t>, směrnice 2006/54/ES</w:t>
      </w:r>
      <w:r>
        <w:rPr>
          <w:rStyle w:val="FootnoteReference"/>
        </w:rPr>
        <w:footnoteReference w:id="6"/>
      </w:r>
      <w:r>
        <w:t xml:space="preserve"> a směrnice 2010/41/EU</w:t>
      </w:r>
      <w:r>
        <w:rPr>
          <w:rStyle w:val="FootnoteReference"/>
        </w:rPr>
        <w:footnoteReference w:id="7"/>
      </w:r>
      <w:r>
        <w:t>),</w:t>
      </w:r>
    </w:p>
    <w:p>
      <w:pPr>
        <w:pStyle w:val="NormalHanging12a"/>
      </w:pPr>
      <w:r>
        <w:t>–</w:t>
      </w:r>
      <w:r>
        <w:tab/>
      </w:r>
      <w:r>
        <w:t xml:space="preserve">s ohledem na směrnici </w:t>
      </w:r>
      <w:r>
        <w:t>Evropského parlamentu</w:t>
      </w:r>
      <w:r>
        <w:t xml:space="preserve"> a Rady (EU) 2019/1158 ze dne 20. června 2019 o rovnováze mezi pracovním a soukromým životem rodičů a pečujících osob a o zrušení směrnice Rady 2010/18/EU</w:t>
      </w:r>
      <w:r>
        <w:rPr>
          <w:rStyle w:val="FootnoteReference"/>
        </w:rPr>
        <w:footnoteReference w:id="8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s ohledem na směrnici </w:t>
      </w:r>
      <w:r>
        <w:t>Evropského parlamentu</w:t>
      </w:r>
      <w:r>
        <w:t xml:space="preserve"> a Rady (EU) 2022/2381 ze dne 23. listopadu 2022 o zlepšení genderové vyváženosti mezi členy orgánů kotovaných společností a o souvisejících opatřeních</w:t>
      </w:r>
      <w:r>
        <w:rPr>
          <w:rStyle w:val="FootnoteReference"/>
        </w:rPr>
        <w:footnoteReference w:id="9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s ohledem na směrnici </w:t>
      </w:r>
      <w:r>
        <w:t>Evropského parlamentu</w:t>
      </w:r>
      <w:r>
        <w:t xml:space="preserve"> a Rady (EU) 2023/970 ze dne 10. května 2023, kterou se posiluje uplatňování zásady stejné odměny mužů a žen za stejnou práci nebo práci stejné hodnoty prostřednictvím transparentnosti odměňování a mechanismů prosazování</w:t>
      </w:r>
      <w:r>
        <w:rPr>
          <w:rStyle w:val="FootnoteReference"/>
        </w:rPr>
        <w:footnoteReference w:id="10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s ohledem na směrnici </w:t>
      </w:r>
      <w:r>
        <w:t>Evropského parlamentu</w:t>
      </w:r>
      <w:r>
        <w:t xml:space="preserve"> a Rady (EU) 2024/1385 ze dne 14. května 2024 o potírání násilí na ženách a domácího násilí</w:t>
      </w:r>
      <w:r>
        <w:rPr>
          <w:rStyle w:val="FootnoteReference"/>
        </w:rPr>
        <w:footnoteReference w:id="11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s ohledem na směrnici </w:t>
      </w:r>
      <w:r>
        <w:t>Evropského parlamentu</w:t>
      </w:r>
      <w:r>
        <w:t xml:space="preserve"> a Rady (EU) 2024/1500 ze dne 14. května 2024 o standardech pro orgány pro rovné zacházení v oblasti rovného zacházení se ženami a muži a rovných příležitostí pro ženy a muže v otázkách zaměstnání a povolání a o změně směrnic 2006/54/ES a 2010/41/EU</w:t>
      </w:r>
      <w:r>
        <w:rPr>
          <w:rStyle w:val="FootnoteReference"/>
        </w:rPr>
        <w:footnoteReference w:id="12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s ohledem na směrnici </w:t>
      </w:r>
      <w:r>
        <w:t>Evropského parlamentu</w:t>
      </w:r>
      <w:r>
        <w:t xml:space="preserve"> a Rady (EU) 2024/1712 ze dne 13. června 2024, kterou se mění směrnice 2011/36/EU o prevenci obchodování s lidmi, boji proti němu a o ochraně obětí</w:t>
      </w:r>
      <w:r>
        <w:rPr>
          <w:rStyle w:val="FootnoteReference"/>
        </w:rPr>
        <w:footnoteReference w:id="13"/>
      </w:r>
      <w:r>
        <w:t>,</w:t>
      </w:r>
    </w:p>
    <w:p>
      <w:pPr>
        <w:pStyle w:val="NormalHanging12a"/>
      </w:pPr>
      <w:r>
        <w:t>–</w:t>
      </w:r>
      <w:r>
        <w:tab/>
      </w:r>
      <w:r>
        <w:t>s ohledem na sdělení Komise ze dne 5. března 2020 s názvem „Unie rovnosti: strategie pro rovnost žen a mužů na období 2020–2025“(</w:t>
      </w:r>
      <w:hyperlink r:id="rId7" w:history="1">
        <w:r>
          <w:rPr>
            <w:rStyle w:val="Hyperlink"/>
          </w:rPr>
          <w:t>COM(2020) 152 final</w:t>
        </w:r>
      </w:hyperlink>
      <w:r>
        <w:rPr>
          <w:rStyle w:val="DefaultParagraphFont"/>
          <w:b w:val="0"/>
          <w:i w:val="0"/>
          <w:u w:val="none"/>
        </w:rPr>
        <w:t>),</w:t>
      </w:r>
    </w:p>
    <w:p>
      <w:pPr>
        <w:pStyle w:val="NormalHanging12a"/>
      </w:pPr>
      <w:r>
        <w:t>–</w:t>
      </w:r>
      <w:r>
        <w:tab/>
      </w:r>
      <w:r>
        <w:t>s ohledem na společné sdělení Komise a vysokého představitele Unie pro zahraniční věci a bezpečnostní politiku ze dne 25. listopadu 2020 nazvané „Akční plán EU pro rovnost žen a mužů (GAP) III – ambiciózní agenda pro genderovou rovnost a posílení postavení žen v rámci vnější činnosti EU“ (JOIN(2020) 17 final) a na doprovodný společný pracovní dokument útvarů ze dne 25. listopadu 2020 nazvaný „Cíle a ukazatele pro stanovení rámce provádění akčního plánu pro rovnost žen a mužů III (2021–2025)“ (SWD(2020) 284 final),</w:t>
      </w:r>
    </w:p>
    <w:p>
      <w:pPr>
        <w:pStyle w:val="NormalHanging12a"/>
      </w:pPr>
      <w:r>
        <w:t>–</w:t>
      </w:r>
      <w:r>
        <w:tab/>
      </w:r>
      <w:r>
        <w:t>s ohledem na sdělení Komise ze dne 7. března 2025 nazvané „Plán pro práva žen“ (</w:t>
      </w:r>
      <w:hyperlink r:id="rId8" w:history="1">
        <w:r>
          <w:rPr>
            <w:rStyle w:val="Hyperlink"/>
          </w:rPr>
          <w:t>COM(2025) 97 final</w:t>
        </w:r>
      </w:hyperlink>
      <w:r>
        <w:rPr>
          <w:rStyle w:val="DefaultParagraphFont"/>
          <w:b w:val="0"/>
          <w:i w:val="0"/>
          <w:u w:val="none"/>
        </w:rPr>
        <w:t>),</w:t>
      </w:r>
    </w:p>
    <w:p>
      <w:pPr>
        <w:pStyle w:val="NormalHanging12a"/>
      </w:pPr>
      <w:r>
        <w:t>–</w:t>
      </w:r>
      <w:r>
        <w:tab/>
      </w:r>
      <w:r>
        <w:t>s ohledem na své usnesení ze dne 13. února 2019 o odmítavých reakcích vůči ženským právům a rovnosti žen a mužů v EU</w:t>
      </w:r>
      <w:r>
        <w:rPr>
          <w:rStyle w:val="FootnoteReference"/>
        </w:rPr>
        <w:footnoteReference w:id="14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28. listopadu 2019 o přistoupení EU k Istanbulské úmluvě a dalších opatřeních pro boj proti násilí na základě pohlaví</w:t>
      </w:r>
      <w:r>
        <w:rPr>
          <w:rStyle w:val="FootnoteReference"/>
        </w:rPr>
        <w:footnoteReference w:id="15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30. ledna 2020 o rozdílech v odměňování žen a mužů</w:t>
      </w:r>
      <w:r>
        <w:rPr>
          <w:rStyle w:val="FootnoteReference"/>
        </w:rPr>
        <w:footnoteReference w:id="16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23. října 2020 o rovnosti žen a mužů v zahraniční a bezpečnostní politice EU</w:t>
      </w:r>
      <w:r>
        <w:rPr>
          <w:rStyle w:val="FootnoteReference"/>
        </w:rPr>
        <w:footnoteReference w:id="17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21. ledna 2021 o strategii EU pro rovnost žen a mužů</w:t>
      </w:r>
      <w:r>
        <w:rPr>
          <w:rStyle w:val="FootnoteReference"/>
        </w:rPr>
        <w:footnoteReference w:id="18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21. ledna 2021 o překlenování digitální propasti mezi ženami a muži: účast žen v digitální ekonomice</w:t>
      </w:r>
      <w:r>
        <w:rPr>
          <w:rStyle w:val="FootnoteReference"/>
        </w:rPr>
        <w:footnoteReference w:id="19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11. února 2021 o budoucích výzvách v oblasti práv žen v Evropě: více než 25 let po Pekingské deklaraci a akční platformě</w:t>
      </w:r>
      <w:r>
        <w:rPr>
          <w:rStyle w:val="FootnoteReference"/>
        </w:rPr>
        <w:footnoteReference w:id="20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10. června 2021 o prosazování rovnosti žen a mužů ve vzdělávání a zaměstnání v oblasti přírodních věd, technologií, inženýrství a matematiky (obory STEM)</w:t>
      </w:r>
      <w:r>
        <w:rPr>
          <w:rStyle w:val="FootnoteReference"/>
        </w:rPr>
        <w:footnoteReference w:id="21"/>
      </w:r>
      <w:r>
        <w:t>,</w:t>
      </w:r>
    </w:p>
    <w:p>
      <w:pPr>
        <w:pStyle w:val="NormalHanging12a"/>
      </w:pPr>
      <w:r>
        <w:t>–</w:t>
      </w:r>
      <w:r>
        <w:tab/>
      </w:r>
      <w:r>
        <w:t>s ohledem na své usnesení ze dne 24. června 2021 o stavu sexuálního a reprodukčního zdraví a práv v EU v rámci zdraví žen</w:t>
      </w:r>
      <w:r>
        <w:rPr>
          <w:rStyle w:val="FootnoteReference"/>
        </w:rPr>
        <w:footnoteReference w:id="22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16. září 2021 obsahující doporučení Komisi o určení genderově podmíněného násilí jako nové oblasti trestné činnosti uvedené v čl. 83 odst. 1 SFEU</w:t>
      </w:r>
      <w:r>
        <w:rPr>
          <w:rStyle w:val="FootnoteReference"/>
        </w:rPr>
        <w:footnoteReference w:id="23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14. prosince 2021 obsahující doporučení Komisi ohledně boje proti genderově podmíněnému násilí: kybernetické násilí</w:t>
      </w:r>
      <w:r>
        <w:rPr>
          <w:rStyle w:val="FootnoteReference"/>
        </w:rPr>
        <w:footnoteReference w:id="24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15. prosince 2021 o rovnosti žen a mužů v Evropské unii v letech 2018–2020</w:t>
      </w:r>
      <w:r>
        <w:rPr>
          <w:rStyle w:val="FootnoteReference"/>
        </w:rPr>
        <w:footnoteReference w:id="25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10. března 2022 o Akčním plánu EU pro rovnost žen a mužů III</w:t>
      </w:r>
      <w:r>
        <w:rPr>
          <w:rStyle w:val="FootnoteReference"/>
        </w:rPr>
        <w:footnoteReference w:id="26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3. května 2022 o dosažení ekonomické nezávislosti žen prostřednictvím podnikání a samostatné výdělečné činnosti</w:t>
      </w:r>
      <w:r>
        <w:rPr>
          <w:rStyle w:val="FootnoteReference"/>
        </w:rPr>
        <w:footnoteReference w:id="27"/>
      </w:r>
      <w:r>
        <w:t>,</w:t>
      </w:r>
    </w:p>
    <w:p>
      <w:pPr>
        <w:pStyle w:val="NormalHanging12a"/>
      </w:pPr>
      <w:r>
        <w:t>–</w:t>
      </w:r>
      <w:r>
        <w:tab/>
      </w:r>
      <w:r>
        <w:t>s ohledem na své usnesení ze dne 5. července 2022 nazvané „Směrem ke společným evropským opatřením v oblasti péče“</w:t>
      </w:r>
      <w:r>
        <w:rPr>
          <w:rStyle w:val="FootnoteReference"/>
        </w:rPr>
        <w:footnoteReference w:id="28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5. července 2022 o chudobě žen v Evropě</w:t>
      </w:r>
      <w:r>
        <w:rPr>
          <w:rStyle w:val="FootnoteReference"/>
        </w:rPr>
        <w:footnoteReference w:id="29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1. června 2023 o sexuálním obtěžování v EU a hodnocení MeToo</w:t>
      </w:r>
      <w:r>
        <w:rPr>
          <w:rStyle w:val="FootnoteReference"/>
        </w:rPr>
        <w:footnoteReference w:id="30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11. dubna 2024 o zahrnutí práva na umělé přerušení těhotenství do Listiny základních práv EU</w:t>
      </w:r>
      <w:r>
        <w:rPr>
          <w:rStyle w:val="FootnoteReference"/>
        </w:rPr>
        <w:footnoteReference w:id="31"/>
      </w:r>
      <w:r>
        <w:t>,</w:t>
      </w:r>
    </w:p>
    <w:p>
      <w:pPr>
        <w:pStyle w:val="NormalHanging12a"/>
      </w:pPr>
      <w:r>
        <w:t>–</w:t>
      </w:r>
      <w:r>
        <w:tab/>
      </w:r>
      <w:r>
        <w:t>s ohledem na své doporučení Radě ze dne 19. prosince 2024 k prioritám EU pro 69. zasedání Komise OSN pro postavení žen</w:t>
      </w:r>
      <w:r>
        <w:rPr>
          <w:rStyle w:val="FootnoteReference"/>
        </w:rPr>
        <w:footnoteReference w:id="32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zprávu Agentury EU pro základní práva (FRA), Eurostatu a Evropského institutu pro rovnost žen a mužů (EIGE) ze dne 25. listopadu 2024 nazvanou „Průzkum EU o genderově podmíněném násilí: hlavní výsledky“,</w:t>
      </w:r>
    </w:p>
    <w:p>
      <w:pPr>
        <w:pStyle w:val="NormalHanging12a"/>
      </w:pPr>
      <w:r>
        <w:t>–</w:t>
      </w:r>
      <w:r>
        <w:tab/>
      </w:r>
      <w:r>
        <w:t>s ohledem na index rovnosti žen a mužů za rok 2024, který institut EIGE zveřejnil dne 10. prosince 2024,</w:t>
      </w:r>
    </w:p>
    <w:p>
      <w:pPr>
        <w:pStyle w:val="NormalHanging12a"/>
      </w:pPr>
      <w:r>
        <w:t>–</w:t>
      </w:r>
      <w:r>
        <w:tab/>
      </w:r>
      <w:r>
        <w:t>s ohledem na článek 55 jednacího řádu,</w:t>
      </w:r>
    </w:p>
    <w:p>
      <w:pPr>
        <w:pStyle w:val="NormalHanging12a"/>
      </w:pPr>
      <w:r>
        <w:t>–</w:t>
      </w:r>
      <w:r>
        <w:tab/>
      </w:r>
      <w:r>
        <w:t xml:space="preserve">s ohledem na stanovisko </w:t>
      </w:r>
      <w:r>
        <w:t>Výboru pro občanské svobody, spravedlnost a vnitřní věci</w:t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zprávu Výboru pro práva žen a rovnost pohlaví (A9-0000/2025),</w:t>
      </w:r>
    </w:p>
    <w:p>
      <w:pPr>
        <w:pStyle w:val="NormalHanging12a"/>
      </w:pPr>
      <w:r>
        <w:t>A.</w:t>
      </w:r>
      <w:r>
        <w:tab/>
      </w:r>
      <w:r>
        <w:t>vzhledem k tomu, že právo na rovné zacházení je základním právem uznaným ve Smlouvách</w:t>
      </w:r>
      <w:r>
        <w:rPr>
          <w:rStyle w:val="FootnoteReference"/>
        </w:rPr>
        <w:footnoteReference w:id="33"/>
      </w:r>
      <w:r>
        <w:t xml:space="preserve"> a v Listině základních práv a je nezbytné pro její další rozvoj;</w:t>
      </w:r>
    </w:p>
    <w:p>
      <w:pPr>
        <w:pStyle w:val="NormalHanging12a"/>
      </w:pPr>
      <w:r>
        <w:t>B.</w:t>
      </w:r>
      <w:r>
        <w:tab/>
      </w:r>
      <w:r>
        <w:t>vzhledem k tomu, že genderová rovnost je základní hodnotou EU, základním právem a klíčovou zásadou evropského pilíře sociálních práv a nezbytnou podmínkou pokroku;</w:t>
      </w:r>
    </w:p>
    <w:p>
      <w:pPr>
        <w:pStyle w:val="NormalHanging12a"/>
      </w:pPr>
      <w:r>
        <w:t>C.</w:t>
      </w:r>
      <w:r>
        <w:tab/>
      </w:r>
      <w:r>
        <w:t>vzhledem k tomu, že genderově podmíněné násilí je stále celosvětově rozšířeným jevem, a to i v EU, a má závažné důsledky pro oběti i společnost;</w:t>
      </w:r>
    </w:p>
    <w:p>
      <w:pPr>
        <w:pStyle w:val="NormalHanging12a"/>
      </w:pPr>
      <w:r>
        <w:t>D.</w:t>
      </w:r>
      <w:r>
        <w:tab/>
      </w:r>
      <w:r>
        <w:t>vzhledem k tomu, že každý v EU má právo na přístup k nejvyšším standardům fyzického a duševního zdraví;</w:t>
      </w:r>
    </w:p>
    <w:p>
      <w:pPr>
        <w:pStyle w:val="NormalHanging12a"/>
      </w:pPr>
      <w:r>
        <w:t>E.</w:t>
      </w:r>
      <w:r>
        <w:tab/>
      </w:r>
      <w:r>
        <w:t>vzhledem k tomu, že v celé EU stále přetrvávají rozdíly na trhu práce a nedostatek spravedlivých pracovních podmínek a bezpečnosti pro pracující ženy a že stávající rozdíly v odměňování žen a mužů jsou do značné míry důsledkem systematického podhodnocování práce vykonávané v odvětvích s převahou žen; vzhledem k tomu, že pro odstranění rozdílů v odměňování žen a mužů je proto třeba vyřešit otázku „stejné odměny za rovnocennou práci“;</w:t>
      </w:r>
    </w:p>
    <w:p>
      <w:pPr>
        <w:pStyle w:val="NormalHanging12a"/>
      </w:pPr>
      <w:r>
        <w:t>F.</w:t>
      </w:r>
      <w:r>
        <w:tab/>
      </w:r>
      <w:r>
        <w:t>vzhledem k tomu, že nově vznikající digitální technologie představují rizikový faktor pro genderovou rovnost a mohly by udržovat a prohlubovat stávající vzorce genderové nerovnosti a diskriminace a násilí vůči ženám a dívkám;</w:t>
      </w:r>
    </w:p>
    <w:p>
      <w:pPr>
        <w:pStyle w:val="NormalHanging12a"/>
      </w:pPr>
      <w:r>
        <w:t>G.</w:t>
      </w:r>
      <w:r>
        <w:tab/>
      </w:r>
      <w:r>
        <w:t>vzhledem k tomu, že v celé EU zajišťují pečovatelské povinnosti v nepoměrně větší míře ženy, což přispívá k nerovnostem;</w:t>
      </w:r>
    </w:p>
    <w:p>
      <w:pPr>
        <w:pStyle w:val="NormalHanging12a"/>
      </w:pPr>
      <w:r>
        <w:t>H.</w:t>
      </w:r>
      <w:r>
        <w:tab/>
      </w:r>
      <w:r>
        <w:t>vzhledem k tomu, že výzkumy ukazují, že ženy jsou celosvětově nedostatečně zastoupeny na všech úrovních hospodářského a politického rozhodování a že dosažení parity mezi ženami a muži v politickém životě je stále ještě daleko;</w:t>
      </w:r>
    </w:p>
    <w:p>
      <w:pPr>
        <w:pStyle w:val="NormalHanging12a"/>
      </w:pPr>
      <w:r>
        <w:t>I.</w:t>
      </w:r>
      <w:r>
        <w:tab/>
      </w:r>
      <w:r>
        <w:t>vzhledem k tomu, že mnoho žen a zranitelných skupin, včetně osob se zdravotním postižením, osob ze znevýhodněného socioekonomického prostředí, osob posuzovaných podle rasy, osob z etnického, menšinového nebo přistěhovaleckého prostředí, starších osob a LGBTIQ+ osob, čelí v EU vzájemně se prolínajícím nerovnostem a diskriminaci;</w:t>
      </w:r>
    </w:p>
    <w:p>
      <w:pPr>
        <w:pStyle w:val="NormalHanging12a"/>
      </w:pPr>
      <w:r>
        <w:t>J.</w:t>
      </w:r>
      <w:r>
        <w:tab/>
      </w:r>
      <w:r>
        <w:t>vzhledem k tomu, že Plán pro práva žen potvrzuje pevné odhodlání EU chránit a prosazovat genderovou rovnost a práva žen a nastiňuje zásady a dlouhodobou vizi pokroku, na nichž bude založena strategie pro rovnost pro rovnost žen a mužů po roce 2025;</w:t>
      </w:r>
    </w:p>
    <w:p>
      <w:pPr>
        <w:pStyle w:val="NormalHanging12a"/>
      </w:pPr>
      <w:r>
        <w:t>1.</w:t>
      </w:r>
      <w:r>
        <w:tab/>
      </w:r>
      <w:r>
        <w:t>vyzývá Komisi, aby předložila ambiciózní strategii pro rovnost žen a mužů na období 2026–2030 s konkrétními a hmatatelnými legislativními a nelegislativními opatřeními v níže uvedených klíčových oblastech;</w:t>
      </w:r>
    </w:p>
    <w:p>
      <w:pPr>
        <w:pStyle w:val="Normal12a24b"/>
      </w:pPr>
      <w:r>
        <w:rPr>
          <w:rStyle w:val="BoldItalic"/>
        </w:rPr>
        <w:t>Genderově podmíněné násilí</w:t>
      </w:r>
    </w:p>
    <w:p>
      <w:pPr>
        <w:pStyle w:val="NormalHanging12a"/>
      </w:pPr>
      <w:r>
        <w:t>2.</w:t>
      </w:r>
      <w:r>
        <w:tab/>
      </w:r>
      <w:r>
        <w:t>vyzývá Komisi, aby určila genderově podmíněné násilí jako novou oblast trestné činnosti uvedenou v čl. 83 odst. 1 SFEU, a účinně tak bojovala proti všem formám násilí na ženách a dívkách, což představuje jedno z nejrozšířenějších porušování základních práv v EU;</w:t>
      </w:r>
    </w:p>
    <w:p>
      <w:pPr>
        <w:pStyle w:val="NormalHanging12a"/>
      </w:pPr>
      <w:r>
        <w:t>3.</w:t>
      </w:r>
      <w:r>
        <w:tab/>
      </w:r>
      <w:r>
        <w:t>naléhavě žádá Komisi, aby uznala feminicidu jako samostatný trestný čin;</w:t>
      </w:r>
    </w:p>
    <w:p>
      <w:pPr>
        <w:pStyle w:val="NormalHanging12a"/>
      </w:pPr>
      <w:r>
        <w:t>4.</w:t>
      </w:r>
      <w:r>
        <w:tab/>
      </w:r>
      <w:r>
        <w:t>vyzývá Komisi, aby sledovala a podporovala rychlé provedení směrnice (EU) 2024/1385 o potírání násilí na ženách a domácího násilí a aby předložila své doporučení o prevenci škodlivých praktik namířených proti ženám a dívkám;</w:t>
      </w:r>
    </w:p>
    <w:p>
      <w:pPr>
        <w:pStyle w:val="NormalHanging12a"/>
      </w:pPr>
      <w:r>
        <w:t>5.</w:t>
      </w:r>
      <w:r>
        <w:tab/>
      </w:r>
      <w:r>
        <w:t>vyzývá Komisi, aby předložila právní předpisy EU, které by trestně postihovaly znásilnění při neexistenci souhlasu; znovu opakuje, že znásilnění je nejen porušením základních práv žen a jejich tělesné autonomie, ale také formou sexuálního vykořisťování žen a dívek;</w:t>
      </w:r>
    </w:p>
    <w:p>
      <w:pPr>
        <w:pStyle w:val="Normal12a24b"/>
      </w:pPr>
      <w:r>
        <w:rPr>
          <w:rStyle w:val="BoldItalic"/>
        </w:rPr>
        <w:t xml:space="preserve">Komplexní zdravotní péče zohledňující genderové hledisko </w:t>
      </w:r>
    </w:p>
    <w:p>
      <w:pPr>
        <w:pStyle w:val="NormalHanging12a"/>
      </w:pPr>
      <w:r>
        <w:t>6.</w:t>
      </w:r>
      <w:r>
        <w:tab/>
      </w:r>
      <w:r>
        <w:t>naléhavě žádá Komisi, aby zajistila všeobecný přístup žen a dívek ke zdravotní péči zohledňující genderové hledisko;</w:t>
      </w:r>
    </w:p>
    <w:p>
      <w:pPr>
        <w:pStyle w:val="NormalHanging12a"/>
      </w:pPr>
      <w:r>
        <w:t>7.</w:t>
      </w:r>
      <w:r>
        <w:tab/>
      </w:r>
      <w:r>
        <w:t>vyzývá Komisi, aby na úrovni EU odstranila překážky v přístupu žen v celé jejich rozmanitosti ke zdravotní péči;</w:t>
      </w:r>
    </w:p>
    <w:p>
      <w:pPr>
        <w:pStyle w:val="NormalHanging12a"/>
      </w:pPr>
      <w:r>
        <w:t>8.</w:t>
      </w:r>
      <w:r>
        <w:tab/>
      </w:r>
      <w:r>
        <w:t>vyzývá Komisi, aby zajistila ženám a dívkám v celé jejich rozmanitosti plný a rovný přístup ke službám v oblasti sexuálního a reprodukčního zdraví, včetně práva na bezpečný a legální potrat;</w:t>
      </w:r>
    </w:p>
    <w:p>
      <w:pPr>
        <w:pStyle w:val="Normal12a24b"/>
      </w:pPr>
      <w:r>
        <w:rPr>
          <w:rStyle w:val="BoldItalic"/>
        </w:rPr>
        <w:t xml:space="preserve">Rovnost žen a mužů a posílení postavení žen ve světě práce </w:t>
      </w:r>
    </w:p>
    <w:p>
      <w:pPr>
        <w:pStyle w:val="NormalHanging12a"/>
      </w:pPr>
      <w:r>
        <w:t>9.</w:t>
      </w:r>
      <w:r>
        <w:tab/>
      </w:r>
      <w:r>
        <w:t>vyzývá Komisi, aby sledovala a podporovala rychlé provedení směrnic o přiměřených minimálních mzdách</w:t>
      </w:r>
      <w:r>
        <w:rPr>
          <w:rStyle w:val="FootnoteReference"/>
        </w:rPr>
        <w:footnoteReference w:id="34"/>
      </w:r>
      <w:r>
        <w:t>, o transparentnosti odměňování</w:t>
      </w:r>
      <w:r>
        <w:rPr>
          <w:rStyle w:val="FootnoteReference"/>
        </w:rPr>
        <w:footnoteReference w:id="35"/>
      </w:r>
      <w:r>
        <w:t xml:space="preserve"> a o zastoupení žen v řídících a dozorčích orgánech</w:t>
      </w:r>
      <w:r>
        <w:rPr>
          <w:rStyle w:val="FootnoteReference"/>
        </w:rPr>
        <w:footnoteReference w:id="36"/>
      </w:r>
      <w:r>
        <w:t>;</w:t>
      </w:r>
    </w:p>
    <w:p>
      <w:pPr>
        <w:pStyle w:val="NormalHanging12a"/>
      </w:pPr>
      <w:r>
        <w:t>10.</w:t>
      </w:r>
      <w:r>
        <w:tab/>
      </w:r>
      <w:r>
        <w:t>naléhavě vyzývá Komisi, aby vypracovala pokyny, které by umožnily definovat a porovnávat „hodnotu práce“ v celé EU, a aby urychleně zavedla genderově neutrální nástroje a kritéria pro hodnocení práce s cílem lépe hodnotit a spravedlivěji odměňovat práci vykonávanou v odvětvích, kde převažují ženy;</w:t>
      </w:r>
    </w:p>
    <w:p>
      <w:pPr>
        <w:pStyle w:val="Normal12a24b"/>
      </w:pPr>
      <w:r>
        <w:rPr>
          <w:rStyle w:val="BoldItalic"/>
        </w:rPr>
        <w:t>Práva žen a rovnost žen a mužů ve vzdělávání, odborné přípravě a digitální oblasti</w:t>
      </w:r>
    </w:p>
    <w:p>
      <w:pPr>
        <w:pStyle w:val="NormalHanging12a"/>
      </w:pPr>
      <w:r>
        <w:t>11.</w:t>
      </w:r>
      <w:r>
        <w:tab/>
      </w:r>
      <w:r>
        <w:t>naléhavě vyzývá Komisi, aby zajistila genderově inkluzivní přístup ke všem stupňům vzdělávání a aby vypracovala vysoce kvalitní normy pro vzdělávací materiály podporující rovnost žen a mužů a odbourávající genderové stereotypy, včetně podpory komplexní sexuální výchovy a souhlasu;</w:t>
      </w:r>
    </w:p>
    <w:p>
      <w:pPr>
        <w:pStyle w:val="NormalHanging12a"/>
      </w:pPr>
      <w:r>
        <w:t>12.</w:t>
      </w:r>
      <w:r>
        <w:tab/>
      </w:r>
      <w:r>
        <w:t>vyzývá Komisi, aby vypracovala a přijala politiku nulové tolerance v digitálním prostředí, pokud jde o všechny formy genderově podmíněného násilí, škodlivého chování a narativů, které podkopávají a diskreditují projevy žen a dívek online i offline, a aby upřednostnila preventivní opatření a záruky ve všech oblastech digitální politiky;</w:t>
      </w:r>
    </w:p>
    <w:p>
      <w:pPr>
        <w:pStyle w:val="Normal12a24b"/>
      </w:pPr>
      <w:r>
        <w:rPr>
          <w:rStyle w:val="BoldItalic"/>
        </w:rPr>
        <w:t>Sladění soukromého a profesního života</w:t>
      </w:r>
    </w:p>
    <w:p>
      <w:pPr>
        <w:pStyle w:val="NormalHanging12a"/>
      </w:pPr>
      <w:r>
        <w:t>13.</w:t>
      </w:r>
      <w:r>
        <w:tab/>
      </w:r>
      <w:r>
        <w:t>vyzývá Komisi, aby z Evropské strategie v oblasti péče vytvořila komplexní Evropskou dohodu o péči, která bude opatřena závaznými legislativními a finančními nástroji pro investice do přístupných, cenově dostupných a vysoce kvalitních služeb péče o děti a služeb dlouhodobé péče;</w:t>
      </w:r>
    </w:p>
    <w:p>
      <w:pPr>
        <w:pStyle w:val="NormalHanging12a"/>
      </w:pPr>
      <w:r>
        <w:t>14.</w:t>
      </w:r>
      <w:r>
        <w:tab/>
      </w:r>
      <w:r>
        <w:t>zdůrazňuje, že je v EU třeba usilovat o model založený na zásadě „stejných příjmů a stejné odpovědnosti za péči“ a v tomto ohledu revidovat a upravit barcelonské cíle a také dále rozvíjet opatření týkající se mateřské a otcovské dovolené s cílem dosáhnout rovnoměrnější genderové vyváženosti, pokud jde o pečovatelské povinnosti;</w:t>
      </w:r>
    </w:p>
    <w:p>
      <w:pPr>
        <w:pStyle w:val="Normal12a24b"/>
      </w:pPr>
      <w:r>
        <w:rPr>
          <w:rStyle w:val="BoldItalic"/>
        </w:rPr>
        <w:t xml:space="preserve">Rovné zastoupení a politická účast </w:t>
      </w:r>
    </w:p>
    <w:p>
      <w:pPr>
        <w:pStyle w:val="NormalHanging12a"/>
      </w:pPr>
      <w:r>
        <w:t>15.</w:t>
      </w:r>
      <w:r>
        <w:tab/>
      </w:r>
      <w:r>
        <w:t>naléhavě vyzývá Komisi, aby prosadila legislativní genderové kvóty a seznamy kandidátů pro všechny volby, na kterých se pravidelně střídají ženy a muži na základě genderové parity, a aby zajistila institucionální paritu mezi ženami a muži na všech úrovních rozhodování;</w:t>
      </w:r>
    </w:p>
    <w:p>
      <w:pPr>
        <w:pStyle w:val="Normal12a24b"/>
      </w:pPr>
      <w:r>
        <w:rPr>
          <w:rStyle w:val="BoldItalic"/>
        </w:rPr>
        <w:t>Feministická zahraniční politika</w:t>
      </w:r>
    </w:p>
    <w:p>
      <w:pPr>
        <w:pStyle w:val="NormalHanging12a"/>
      </w:pPr>
      <w:r>
        <w:t>16.</w:t>
      </w:r>
      <w:r>
        <w:tab/>
      </w:r>
      <w:r>
        <w:t>vyzývá Komisi, aby podporovala zahraniční, bezpečnostní, obchodní a rozvojovou politiku, která upřednostňuje genderovou rovnost podle zásady tří „R“ (rights, representation and resources – práva, zastoupení a zdroje);</w:t>
      </w:r>
    </w:p>
    <w:p>
      <w:pPr>
        <w:pStyle w:val="Normal12a24b"/>
      </w:pPr>
      <w:r>
        <w:rPr>
          <w:rStyle w:val="BoldItalic"/>
        </w:rPr>
        <w:t>Potírání</w:t>
      </w:r>
      <w:r>
        <w:rPr>
          <w:rStyle w:val="BoldItalic"/>
        </w:rPr>
        <w:t xml:space="preserve"> antigenderových hnutí</w:t>
      </w:r>
    </w:p>
    <w:p>
      <w:pPr>
        <w:pStyle w:val="NormalHanging12a"/>
      </w:pPr>
      <w:r>
        <w:t>17.</w:t>
      </w:r>
      <w:r>
        <w:tab/>
      </w:r>
      <w:r>
        <w:t>naléhavě vyzývá Komisi, aby vytvořila komplexní nástroj pro sledování a potírání úpadku demokracie a práv žen, které spolu neoddělitelně souvisejí, a aby zajistila, že genderová rovnost zůstane prioritou v celé EU;</w:t>
      </w:r>
    </w:p>
    <w:p>
      <w:pPr>
        <w:pStyle w:val="Normal12a24b"/>
      </w:pPr>
      <w:r>
        <w:rPr>
          <w:rStyle w:val="BoldItalic"/>
        </w:rPr>
        <w:t>Průřezové prostředky</w:t>
      </w:r>
      <w:r>
        <w:rPr>
          <w:rStyle w:val="BoldItalic"/>
        </w:rPr>
        <w:t xml:space="preserve"> </w:t>
      </w:r>
      <w:r>
        <w:rPr>
          <w:rStyle w:val="BoldItalic"/>
        </w:rPr>
        <w:t xml:space="preserve">dosažení genderové rovnosti </w:t>
      </w:r>
    </w:p>
    <w:p>
      <w:pPr>
        <w:pStyle w:val="NormalHanging12a"/>
      </w:pPr>
      <w:r>
        <w:t>18.</w:t>
      </w:r>
      <w:r>
        <w:tab/>
      </w:r>
      <w:r>
        <w:t>opakuje, že veškeré úsilí o dosažení pokroku v oblasti genderové rovnosti musí být vyvíjeno při plném respektování zásad intersekcionality a začleňování hlediska rovnosti žen a mužů;</w:t>
      </w:r>
    </w:p>
    <w:p>
      <w:pPr>
        <w:pStyle w:val="NormalHanging12a"/>
      </w:pPr>
      <w:r>
        <w:t>19.</w:t>
      </w:r>
      <w:r>
        <w:tab/>
      </w:r>
      <w:r>
        <w:t>vyzývá Komisi, aby zajistila a dále rozvíjela uplatňování hlediska rovnosti žen a mužů ve svých strukturách, metodách a nástrojích a aby zajistila, že genderové hledisko bude začleněno do všech návrhů Komise, včetně všech rozpočtových procesů;</w:t>
      </w:r>
    </w:p>
    <w:p>
      <w:pPr>
        <w:pStyle w:val="NormalHanging12a"/>
      </w:pPr>
      <w:r>
        <w:t>20.</w:t>
      </w:r>
      <w:r>
        <w:tab/>
      </w:r>
      <w:r>
        <w:t>naléhavě vyzývá Komisi, aby v nové strategii pro rovnost žen a mužů používala a jako průřezovou zásadu dále rozvíjela intersekcionalitu;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21.</w:t>
      </w:r>
      <w:r>
        <w:tab/>
      </w:r>
      <w:r>
        <w:t>pověřuje svou předsedkyni, aby předala toto usnesení Radě a Komisi.</w:t>
      </w:r>
    </w:p>
    <w:p>
      <w:pPr>
        <w:pStyle w:val="NormalHanging12a"/>
        <w:sectPr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</w:p>
    <w:p>
      <w:pPr>
        <w:pStyle w:val="PageHeading"/>
      </w:pPr>
      <w:bookmarkStart w:id="1" w:name="_Toc256000004"/>
      <w:r>
        <w:t>VYSVĚTLUJÍCÍ PROHLÁŠENÍ</w:t>
      </w:r>
      <w:bookmarkEnd w:id="1"/>
    </w:p>
    <w:p>
      <w:pPr>
        <w:pStyle w:val="Normal12a"/>
      </w:pPr>
      <w:r>
        <w:t xml:space="preserve">Genderová rovnost je spolu s právy žen jednou ze </w:t>
      </w:r>
      <w:r>
        <w:rPr>
          <w:rStyle w:val="Bold"/>
        </w:rPr>
        <w:t>základních hodnot</w:t>
      </w:r>
      <w:r>
        <w:t xml:space="preserve"> Evropské unie; jde o nepostradatelnou a nedílnou součást lidských práv. Ta představují základ a účel právního státu na národní, evropské a mezinárodní úrovni, jakož i nejvhodnější a nejrelevantnější ukazatele zdraví a odolnosti našich demokracií.</w:t>
      </w:r>
    </w:p>
    <w:p>
      <w:pPr>
        <w:pStyle w:val="Normal12a"/>
      </w:pPr>
      <w:r>
        <w:t xml:space="preserve">V současném geopolitickém kontextu a globálních procesech je nyní důležitější než kdy jindy předložit </w:t>
      </w:r>
      <w:r>
        <w:rPr>
          <w:rStyle w:val="Bold"/>
        </w:rPr>
        <w:t>ambiciózní agendu pro práva žen a genderovou rovnost,</w:t>
      </w:r>
      <w:r>
        <w:t xml:space="preserve"> a proto tato zpráva přichází v klíčovém okamžiku pro Evropskou unii. Nová evropská strategie pro rovnost žen a mužů po roce 2025 musí dodržovat standardy stanovené v předchozích letech a komplexně usilovat o dosažení </w:t>
      </w:r>
      <w:r>
        <w:rPr>
          <w:rStyle w:val="Bold"/>
        </w:rPr>
        <w:t>genderové</w:t>
      </w:r>
      <w:r>
        <w:t xml:space="preserve"> </w:t>
      </w:r>
      <w:r>
        <w:rPr>
          <w:rStyle w:val="Bold"/>
        </w:rPr>
        <w:t xml:space="preserve">rovnosti na všech úrovních a ve všech oblastech pro všechny osoby bez rozdílu. </w:t>
      </w:r>
      <w:r>
        <w:t>Kromě toho musí nová strategie přijmout</w:t>
      </w:r>
      <w:r>
        <w:rPr>
          <w:rStyle w:val="Bold"/>
        </w:rPr>
        <w:t xml:space="preserve"> rozhodné kroky k provádění </w:t>
      </w:r>
      <w:r>
        <w:t>dříve přijatých právních předpisů.</w:t>
      </w:r>
      <w:r>
        <w:rPr>
          <w:rStyle w:val="Bold"/>
        </w:rPr>
        <w:t xml:space="preserve"> </w:t>
      </w:r>
    </w:p>
    <w:p>
      <w:pPr>
        <w:pStyle w:val="Normal12a"/>
      </w:pPr>
      <w:r>
        <w:t xml:space="preserve">Nová strategie přijde v době, kdy jsou na vzestupu antigenderová a protidemokratická hnutí, a proto musí text, který Komise předloží, </w:t>
      </w:r>
      <w:r>
        <w:rPr>
          <w:rStyle w:val="Bold"/>
        </w:rPr>
        <w:t xml:space="preserve">odrážet jasné institucionální odhodlání a konkrétní závazky k ochraně a dalšímu rozvoji rámce pro genderovou rovnost, a tím k ochraně naší demokracie. </w:t>
      </w:r>
      <w:r>
        <w:t xml:space="preserve">Demokracie neexistuje bez rovné a silné účasti a zapojení žen a dívek a ti, kdo usilují o rozbití našeho institucionálního rámce, útočí na práva žen. Tyto agendy jsou vzájemně propojené a vyžadují </w:t>
      </w:r>
      <w:r>
        <w:rPr>
          <w:rStyle w:val="Bold"/>
        </w:rPr>
        <w:t>reakci na evropské úrovni.</w:t>
      </w:r>
      <w:r>
        <w:t xml:space="preserve"> Taková reakce musí proběhnout ve všech oblastech politiky, na všech úrovních a s jasným </w:t>
      </w:r>
      <w:r>
        <w:rPr>
          <w:rStyle w:val="Bold"/>
        </w:rPr>
        <w:t xml:space="preserve">začleněním genderového hlediska </w:t>
      </w:r>
      <w:r>
        <w:t>do všech oblastí naší práce.</w:t>
      </w:r>
    </w:p>
    <w:p>
      <w:pPr>
        <w:pStyle w:val="Normal12a"/>
      </w:pPr>
      <w:r>
        <w:t>Dnešní svět se oproti době, kdy byla přijata poslední strategie pro rovnost žen a mužů</w:t>
      </w:r>
      <w:r>
        <w:rPr>
          <w:rStyle w:val="FootnoteReference"/>
        </w:rPr>
        <w:footnoteReference w:id="37"/>
      </w:r>
      <w:r>
        <w:t xml:space="preserve">, výrazně změnil a je třeba se odpovídajícím způsobem zabývat novými oblastmi: od násilí a obtěžování žen a dívek v digitální oblasti a ve světě práce až po potřebu mírotvorné feministické zahraniční politiky a ochranu sexuálního a reprodukčního zdraví a práv, včetně přístupu k bezpečnému a legálnímu potratu, jako základních lidských práv. Do našich politik musíme zahrnout také </w:t>
      </w:r>
      <w:r>
        <w:rPr>
          <w:rStyle w:val="Bold"/>
        </w:rPr>
        <w:t>intersekcionální přístup</w:t>
      </w:r>
      <w:r>
        <w:t>, neboť jsme si dobře vědomi toho, že některé skupiny, např. migrantky, osoby LGBTIQ, romské ženy, ženy se zdravotním postižením, čelí v EU mnoha vzájemně se prolínajícím formám diskriminace. Je na nás, abychom je všechny adekvátně a rychle řešili.</w:t>
      </w:r>
    </w:p>
    <w:p>
      <w:pPr>
        <w:pStyle w:val="Normal12a"/>
      </w:pPr>
      <w:r>
        <w:t xml:space="preserve">Nedávno představený </w:t>
      </w:r>
      <w:r>
        <w:rPr>
          <w:rStyle w:val="Bold"/>
        </w:rPr>
        <w:t>Plán pro práva žen</w:t>
      </w:r>
      <w:r>
        <w:rPr>
          <w:rStyle w:val="FootnoteReference"/>
        </w:rPr>
        <w:footnoteReference w:id="38"/>
      </w:r>
      <w:r>
        <w:t xml:space="preserve"> je krok správným směrem, který uznává mnoho problémů, s nimiž se dnes potýkáme, když mluvíme o právech žen, ale je třeba udělat krok vpřed v rámci nové strategie genderové rovnosti s </w:t>
      </w:r>
      <w:r>
        <w:rPr>
          <w:rStyle w:val="Bold"/>
        </w:rPr>
        <w:t xml:space="preserve">konkrétními legislativními i nelegislativními opatřeními </w:t>
      </w:r>
      <w:r>
        <w:t>zaměřenými na vytvoření skutečně genderově rovnoprávné společnosti.</w:t>
      </w:r>
    </w:p>
    <w:p>
      <w:pPr>
        <w:pStyle w:val="Normal12a"/>
      </w:pPr>
      <w:r>
        <w:rPr>
          <w:rStyle w:val="Bold"/>
        </w:rPr>
        <w:t>Genderově podmíněné násilí (GPN)</w:t>
      </w:r>
      <w:r>
        <w:t xml:space="preserve"> je podle definice Evropského institutu pro rovnost žen a mužů jakýkoli druh násilí na základě pohlaví, od fyzického přes emocionální a finanční až po reprodukční násilí, a přestože se obětí GPN může stát kdokoli, drtivou většinu obětí tvoří ženy</w:t>
      </w:r>
      <w:r>
        <w:rPr>
          <w:rStyle w:val="FootnoteReference"/>
        </w:rPr>
        <w:footnoteReference w:id="39"/>
      </w:r>
      <w:r>
        <w:t>. Poslední tematicky zaměřený index rovnosti žen a mužů</w:t>
      </w:r>
      <w:r>
        <w:rPr>
          <w:rStyle w:val="FootnoteReference"/>
        </w:rPr>
        <w:footnoteReference w:id="40"/>
      </w:r>
      <w:r>
        <w:t xml:space="preserve"> se zabýval speciálně problematikou genderově podmíněného násilí a z údajů vyplývá, že 31 % žen v EU zažilo od svých 15 let fyzické a/nebo sexuální násilí. Z toho vyplývá, že ačkoli bylo v EU dosaženo legislativního i nelegislativního pokroku</w:t>
      </w:r>
      <w:r>
        <w:rPr>
          <w:rStyle w:val="FootnoteReference"/>
        </w:rPr>
        <w:footnoteReference w:id="41"/>
      </w:r>
      <w:r>
        <w:t xml:space="preserve">, genderově podmíněné násilí zůstává jedním z klíčových problémů, který brání vytvoření skutečně genderově rovnoprávné společnosti, v celé Unii je stále velmi rozšířené a je třeba se jím dále zabývat na evropské úrovni a jasně jej </w:t>
      </w:r>
      <w:r>
        <w:rPr>
          <w:rStyle w:val="Bold"/>
        </w:rPr>
        <w:t>definovat jako trestný čin EU</w:t>
      </w:r>
      <w:r>
        <w:t xml:space="preserve">. Nedávné údaje ukazují, že provádění stávajících právních předpisů, např. </w:t>
      </w:r>
      <w:r>
        <w:rPr>
          <w:rStyle w:val="Bold"/>
        </w:rPr>
        <w:t>směrnice o potírání násilí na ženách a domácího násilí</w:t>
      </w:r>
      <w:r>
        <w:t xml:space="preserve">, je naléhavým problémem a je třeba jej sledovat a dobře řídit. Je také třeba přeformulovat a dále rozvíjet některé aspekty předchozí legislativní práce, jako je definice souhlasu, </w:t>
      </w:r>
      <w:r>
        <w:rPr>
          <w:rStyle w:val="Bold"/>
        </w:rPr>
        <w:t>přidání znásilnění na seznam trestných činů EU, jakož i uznání feminicidy jako trestného činu odlišného od homicidy</w:t>
      </w:r>
      <w:r>
        <w:t>, ale také zdůraznit některé méně známé kategorie genderově podmíněného násilí, např. násilí v porodnictví a odepření umělého přerušení těhotenství. Chceme také dosáhnout pokroku v oblasti doporučení týkajících se škodlivých praktik.</w:t>
      </w:r>
    </w:p>
    <w:p>
      <w:pPr>
        <w:pStyle w:val="Normal12a"/>
      </w:pPr>
      <w:r>
        <w:t xml:space="preserve">Každý člověk v Evropské unii má právo na přístup k </w:t>
      </w:r>
      <w:r>
        <w:rPr>
          <w:rStyle w:val="Bold"/>
        </w:rPr>
        <w:t>nejvyšším standardům fyzického a duševního zdraví a</w:t>
      </w:r>
      <w:r>
        <w:t xml:space="preserve"> při definování a provádění všech politik a činností Unie musí být zajištěna </w:t>
      </w:r>
      <w:r>
        <w:rPr>
          <w:rStyle w:val="Bold"/>
        </w:rPr>
        <w:t>vysoká úroveň ochrany lidského zdraví</w:t>
      </w:r>
      <w:r>
        <w:rPr>
          <w:rStyle w:val="FootnoteReference"/>
        </w:rPr>
        <w:footnoteReference w:id="42"/>
      </w:r>
      <w:r>
        <w:t>. Právo na přístup ke zdravotní péči je zakotveno v zásadě č. 16 evropského pilíře sociálních práv a v akčním plánu vyzýváme členské státy, aby řešily nerovnosti v oblasti zdraví. Index rovnosti žen a mužů ukazuje pomalý pokrok v oblasti genderové rovnosti v oblasti zdraví, kdy podíl žen a mužů, kteří vnímají své zdraví jako velmi dobré nebo dobré, klesl ve dvou třetinách členských států, a mnoha podmínkám souvisejícím s pohlavím a genderem chybí dostatečný výzkum, financování a zdroje, včetně stanovení priorit</w:t>
      </w:r>
      <w:r>
        <w:rPr>
          <w:rStyle w:val="FootnoteReference"/>
        </w:rPr>
        <w:footnoteReference w:id="43"/>
      </w:r>
      <w:r>
        <w:t>.</w:t>
      </w:r>
    </w:p>
    <w:p>
      <w:pPr>
        <w:pStyle w:val="Normal12a"/>
      </w:pPr>
      <w:r>
        <w:rPr>
          <w:rStyle w:val="Bold"/>
        </w:rPr>
        <w:t>Sexuální a reprodukční zdraví a práva</w:t>
      </w:r>
      <w:r>
        <w:t xml:space="preserve"> jsou jedním z klíčových bodů diskuse o lidských právech a jsou nerozlučně spjatá s naplňováním základního práva na zdraví, jakož i s dosažením rovnosti žen a mužů a odstraněním genderově podmíněného násilí. Tělesná autonomie člověka a právo rozhodovat o svém těle a životě je nezbytným předpokladem pro dosažení genderové rovnosti. Porušení sexuálního a reprodukčního zdraví a práv představuje porušení lidských práv. Všechny problémy související se sexuálním a reprodukčním zdravím a právy, kterým členské státy čelí, představují společné evropské výzvy a jedná se o otázku lidských práv i otázku zdraví, které je třeba řešit jednotným přístupem. Světová zdravotnická organizace (WHO) uznává potřebu všeobecného přístupu k sexuálnímu a reprodukčnímu zdraví jako základní prvek práva na zdraví. Naším cílem je strategie pro rovnost žen a mužů, která zajistí všeobecný přístup ke komplexní empiricky podložené sexuální výchově a vzdělávání v oblasti vztahů přizpůsobeným věku, ke škále vysoce kvalitních, dostupných a cenově dostupných moderních antikoncepčních metod a antikoncepci, k poradenství v oblasti plánování rodičovství, k léčbě neplodnosti a k informacím o antikoncepci, jakož i k péči spojené s bezplatným, bezpečným a zákonným umělým přerušením těhotenství.</w:t>
      </w:r>
    </w:p>
    <w:p>
      <w:pPr>
        <w:pStyle w:val="Normal12a"/>
      </w:pPr>
      <w:r>
        <w:t xml:space="preserve">Situace na evropském </w:t>
      </w:r>
      <w:r>
        <w:rPr>
          <w:rStyle w:val="Bold"/>
        </w:rPr>
        <w:t>trhu práce</w:t>
      </w:r>
      <w:r>
        <w:t xml:space="preserve"> vyžaduje bezodkladný a komplexní přístup k odstranění stávajících nerovností. Třetina žen v EU nemá placenou práci a naprostou většinu pracovních míst na částečný úvazek v Unii zastávají ženy. Práce žen je tradičně podceňována a genderová segregace je stále značná, přičemž ženy jsou nadměrně zastoupeny v méně výnosných odvětvích</w:t>
      </w:r>
      <w:r>
        <w:rPr>
          <w:rStyle w:val="Bold"/>
        </w:rPr>
        <w:t>. Posílení postavení žen ve světě práce</w:t>
      </w:r>
      <w:r>
        <w:t xml:space="preserve"> je zásadním krokem, pokud jde o sociální a hospodářský rozvoj, a je předpokladem silné konkurenceschopné ekonomiky. Proto je nezbytné urychleně provést </w:t>
      </w:r>
      <w:r>
        <w:rPr>
          <w:rStyle w:val="Bold"/>
        </w:rPr>
        <w:t>směrnici o transparentnosti odměňování</w:t>
      </w:r>
      <w:r>
        <w:t xml:space="preserve"> s důrazem na hledání způsobů, jak rozšířit její oblast působnosti. Kromě toho je třeba provést </w:t>
      </w:r>
      <w:r>
        <w:rPr>
          <w:rStyle w:val="Bold"/>
        </w:rPr>
        <w:t xml:space="preserve">směrnici o přiměřených minimálních mzdách </w:t>
      </w:r>
      <w:r>
        <w:t>a směrnici o</w:t>
      </w:r>
      <w:r>
        <w:rPr>
          <w:rStyle w:val="Bold"/>
        </w:rPr>
        <w:t xml:space="preserve"> zastoupení žen v řídících a dozorčích orgánech</w:t>
      </w:r>
      <w:r>
        <w:t>. Tato zpráva uznává, že hlavní příčinou rozdílů v odměňování žen a mužů jsou systematicky nižší mzdy v odvětvích, kde převažují ženy (péče, zdravotnictví, vzdělávání, maloobchod), ve srovnání se mzdami v odvětvích, kde převažují muži, což také vede k tomu, že tato odvětví nejsou pro muže atraktivní a upevňují se tak škodlivé normy a stereotypy. Je naléhavě nutné vypracovat pokyny umožňující definovat a porovnávat „</w:t>
      </w:r>
      <w:r>
        <w:rPr>
          <w:rStyle w:val="Italic"/>
        </w:rPr>
        <w:t>hodnotu práce</w:t>
      </w:r>
      <w:r>
        <w:t>“ a vytvořit genderově neutrální nástroje a kritéria pro hodnocení práce s cílem lépe hodnotit a spravedlivěji odměňovat práci v odvětvích, kde převažují ženy. Je třeba se zabývat otázkou bezpečnosti práce, a to jak na pracovištích, tak i v souvislosti s výkonem práce mimo pracoviště.</w:t>
      </w:r>
    </w:p>
    <w:p>
      <w:pPr>
        <w:pStyle w:val="Normal12a"/>
      </w:pPr>
      <w:r>
        <w:rPr>
          <w:rStyle w:val="Bold"/>
        </w:rPr>
        <w:t>Vzdělání a odborná příprava jsou zásadní pro genderovou rovnost</w:t>
      </w:r>
      <w:r>
        <w:t xml:space="preserve"> a pro schopnost každého přizpůsobit se změnám na trhu práce a pro kvalitní pracovní příležitosti je nezbytné terciární vzdělávání. V Evropské unii dnes stále přetrvává horizontální a vertikální genderová segregace ve vzdělávání, která má neblahý dopad na genderovou rovnost. Proto je zásadní poskytnout ženám plný a neomezený přístup ke vzdělání, odborné přípravě a podporovat jejich účast ve vzdělávání v oborech STEM a ve všech ostatních oblastech a profesích. Odhaduje se, že v EU je 8 milionů odborníků na informační a komunikační technologie, ale pouze 17 % z nich jsou ženy. V celosvětovém měřítku tvoří ženy pouze 22 % odborníků na umělou inteligenci. Význam těchto oborů a souvisejících profesí roste a my musíme zajistit, aby ženy nezůstaly pozadu a aby byly v digitálním prostoru v bezpečí, a to včetně řešení problematiky algoritmů a dalších současných nástrojů. Jsme si vědomi skutečnosti, že současná struktura soukromého vlastnictví a klíčoví hráči velkých online platforem vytvořili online svět, který poškozuje práva žen a genderovou rovnost, a musíme být tedy schopni se s tím vypořádat a ochránit všechny ženy a dívky v celé EU. Rovněž je třeba podporovat muže, aby vstupovali do odvětví, kde dominují ženy, a to prostřednictvím lepších pracovních podmínek a spravedlivého odměňování. Nová strategie pro rovnost žen a mužů musí vybudovat rámec, který vytvoří bezpečný prostor pro učení dívek a chlapců, bude vzdělávat rodiče a učitele v oblasti genderových stereotypů a vytvářet pozitivní vzory žen a feministických mužů.</w:t>
      </w:r>
    </w:p>
    <w:p>
      <w:pPr>
        <w:pStyle w:val="Normal12a"/>
      </w:pPr>
      <w:r>
        <w:rPr>
          <w:rStyle w:val="Bold"/>
        </w:rPr>
        <w:t xml:space="preserve">Povinnosti péče </w:t>
      </w:r>
      <w:r>
        <w:t xml:space="preserve">o děti a další závislé osoby představují významnou překážku v účasti žen na trhu práce. Neplacené pečovatelské povinnosti brání přibližně 7,7 milionům žen v EU v účasti na trhu práce, zatímco mužů je v této situaci pouze 450 000. Na úrovni domácností omezuje nerovnoměrné rozdělení neplacené pečovatelské práce mezi ženy a muže rovnou účast žen na trhu práce a jejich kariérní postup. Tato situace je škodlivá pro dosažení skutečně spravedlivého rámce pro </w:t>
      </w:r>
      <w:r>
        <w:rPr>
          <w:rStyle w:val="Bold"/>
        </w:rPr>
        <w:t>rovnováhu mezi pracovním a soukromým životem</w:t>
      </w:r>
      <w:r>
        <w:t xml:space="preserve"> a nová strategie musí tyto problémy řešit. Naším cílem je usilovat o dosažení </w:t>
      </w:r>
      <w:r>
        <w:rPr>
          <w:rStyle w:val="Italic"/>
        </w:rPr>
        <w:t>modelu založeném na zásadě „stejných příjmů a stejné odpovědnosti za péči“</w:t>
      </w:r>
      <w:r>
        <w:t xml:space="preserve"> ve společnosti. Proto je třeba pečlivě sledovat, hodnotit a případně dále rozvíjet </w:t>
      </w:r>
      <w:r>
        <w:rPr>
          <w:rStyle w:val="Bold"/>
        </w:rPr>
        <w:t>směrnici o rovnováze mezi pracovním a soukromým životem</w:t>
      </w:r>
      <w:r>
        <w:t xml:space="preserve">, ale je také třeba předložit </w:t>
      </w:r>
      <w:r>
        <w:rPr>
          <w:rStyle w:val="Bold"/>
        </w:rPr>
        <w:t>Evropskou dohodu o péči</w:t>
      </w:r>
      <w:r>
        <w:t>, která bude vycházet z Evropské strategie v oblasti péče, společně se závaznými právními předpisy a financováním z úrovně EU. Ženy nesou břemeno péče v různých kategoriích a na evropské úrovni je třeba vyrovnat podmínky.</w:t>
      </w:r>
    </w:p>
    <w:p>
      <w:pPr>
        <w:pStyle w:val="Normal12a"/>
      </w:pPr>
      <w:r>
        <w:t xml:space="preserve">Různorodé skupiny přijímají lepší, inkluzivnější a udržitelnější rozhodnutí. Pouze rozhodnutí, která berou v úvahu názory všech, jsou vhodná k tomu, aby připravila půdu pro budoucnost, která bude lepší pro všechny, a </w:t>
      </w:r>
      <w:r>
        <w:rPr>
          <w:rStyle w:val="Bold"/>
        </w:rPr>
        <w:t xml:space="preserve">ženy v rozhodovacích pozicích </w:t>
      </w:r>
      <w:r>
        <w:t>hrají úlohu klíčového vzoru a pomáhají utvářet rámec pro rovnou budoucnost. Musíme se zabývat nedostatky v rozhodování na politické i ekonomické úrovni a zároveň řešit institucionální nerovnosti, které ženám brání v plném využití jejich potenciálu.</w:t>
      </w:r>
    </w:p>
    <w:p>
      <w:pPr>
        <w:pStyle w:val="Normal12a"/>
      </w:pPr>
      <w:r>
        <w:t xml:space="preserve">V době rostoucích globálních konfliktů a nejistoty </w:t>
      </w:r>
      <w:r>
        <w:rPr>
          <w:rStyle w:val="Bold"/>
        </w:rPr>
        <w:t>musí být zahraniční, obranná a bezpečnostní politika EU feministická</w:t>
      </w:r>
      <w:r>
        <w:t xml:space="preserve"> a jednou z horizontálních zásad a klíčových cílů musí být dosažení práv žen a genderové rovnosti. V našich vnějších politikách musíme být schopni odrážet mírové poslání a jedním z předpokladů je rovné zapojení vedoucích představitelek a ženských zúčastněných stran. Agenda prosazování a ochrany práv žen, jakož i podpora aktivistek, pedagožek a vedoucích představitelek v konfliktních oblastech musí být prioritou všech strategií EU pro reakci na konflikty i všech nástrojů a mechanismů pro reakci na krize. Zásada tří R (rights, representation and resources – práva, zastoupení a zdroje) musí být uplatňována u veškeré vnější činnosti EU.</w:t>
      </w:r>
    </w:p>
    <w:p>
      <w:pPr>
        <w:pStyle w:val="Normal12a"/>
        <w:sectPr>
          <w:footnotePr>
            <w:numRestart w:val="eachSect"/>
          </w:footnotePr>
          <w:type w:val="nextPage"/>
          <w:pgSz w:w="11906" w:h="16838"/>
          <w:pgMar w:top="1134" w:right="1417" w:bottom="1417" w:left="1417" w:header="1134" w:footer="567" w:gutter="0"/>
          <w:cols w:num="1" w:space="708"/>
          <w:titlePg w:val="0"/>
          <w:docGrid w:linePitch="360"/>
        </w:sectPr>
      </w:pPr>
    </w:p>
    <w:p>
      <w:pPr>
        <w:pStyle w:val="PageHeading"/>
      </w:pPr>
      <w:bookmarkStart w:id="2" w:name="_Toc256000005"/>
      <w:r>
        <w:t xml:space="preserve">PŘÍLOHA: SUBJEKTY NEBO OSOBY, </w:t>
        <w:br/>
        <w:t>OD NICHŽ ZPRAVODAJ OBDRŽEL PODNĚTY</w:t>
      </w:r>
      <w:bookmarkEnd w:id="2"/>
    </w:p>
    <w:p>
      <w:pPr>
        <w:pStyle w:val="Normal12a"/>
      </w:pPr>
      <w:r>
        <w:rPr>
          <w:rStyle w:val="HideTWBExt"/>
        </w:rPr>
        <w:t>&lt;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  <w:r>
        <w:t>Zpravodaj v souladu s článkem 8 přílohy I jednacího řádu prohlašuje, že při vypracovávání návrhu zprávy až do okamžiku jejího přijetí ve výboru obdržel podněty od těchto subjektů nebo osob:</w:t>
      </w:r>
      <w:r>
        <w:rPr>
          <w:rStyle w:val="HideTWBExt"/>
        </w:rPr>
        <w:t>&lt;/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</w:p>
    <w:tbl>
      <w:tblPr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0"/>
      </w:tblGrid>
      <w:tr>
        <w:tblPrEx>
          <w:jc w:val="center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pPr>
              <w:pStyle w:val="NormalCenter"/>
            </w:pPr>
            <w:r>
              <w:rPr>
                <w:rStyle w:val="Bold"/>
              </w:rPr>
              <w:t>Entity and/or person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European Parliamentary Forum for Sexual &amp; Reproductive Rights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The International Planned Parenthood Federation (IPPF) European Network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Center for Reproductive Rights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European Women’s Lobby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Foundation for European Progressive Studies (FEPS)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European Institute for Gender Equality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B.a.B.e. Budi aktivna. Budi emancipiran.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Fertility Europe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Center for Women Victims of War (ROSA)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The Directorate-General for Justice and Consumers (DG JUST) of the European Commission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European Trade Union Confederation (ETUC)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European Public Service Union (EPSU)</w:t>
            </w:r>
          </w:p>
        </w:tc>
      </w:tr>
    </w:tbl>
    <w:p/>
    <w:p>
      <w:pPr>
        <w:pStyle w:val="Normal12a"/>
      </w:pPr>
      <w:r>
        <w:t>Výše uvedený seznam je sestaven na výhradní odpovědnost zpravodaje.</w:t>
      </w:r>
    </w:p>
    <w:p>
      <w:pPr>
        <w:pStyle w:val="Normal12a"/>
      </w:pPr>
      <w:r>
        <w:t>Pokud jsou na seznamu uvedena jména, funkce, případně jména i funkce fyzických osob, zpravodaj prohlašuje, že příslušné fyzické osoby byly seznámeny s prohlášením Evropského parlamentu o ochraně osobních údajů č. 484 (</w:t>
      </w:r>
      <w:hyperlink r:id="rId12" w:history="1">
        <w:r>
          <w:rPr>
            <w:rStyle w:val="Hyperlink"/>
          </w:rPr>
          <w:t>https://www.europarl.europa.eu/data-protect/index.do</w:t>
        </w:r>
      </w:hyperlink>
      <w:r>
        <w:rPr>
          <w:rStyle w:val="DefaultParagraphFont"/>
          <w:b w:val="0"/>
          <w:i w:val="0"/>
          <w:u w:val="none"/>
        </w:rPr>
        <w:t>), které stanoví podmínky platné pro zpracování jejich osobních údajů a práva související s tímto zpracováním.</w:t>
      </w:r>
    </w:p>
    <w:p>
      <w:pPr>
        <w:pStyle w:val="Normal12a"/>
      </w:pPr>
    </w:p>
    <w:sectPr>
      <w:footnotePr>
        <w:numRestart w:val="eachSect"/>
      </w:footnotePr>
      <w:type w:val="nextPage"/>
      <w:pgSz w:w="11906" w:h="16838"/>
      <w:pgMar w:top="1134" w:right="1417" w:bottom="1417" w:left="1417" w:header="1134" w:footer="567" w:gutter="0"/>
      <w:cols w:num="1"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770.090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14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PR\1316271CS.docx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PR\1316271CS.docx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13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770.090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PR\1316271CS.docx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770.090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Směrnice Rady 79/7/EHS ze dne 19. prosince 1978 o postupném zavedení zásady rovného zacházení pro muže a ženy v oblasti sociálního zabezpečení, Úř. věst. L 6, 10.1.1979, s. 24, ELI: http://data.europa.eu/eli/dir/1979/7/oj.</w:t>
        </w:r>
      </w:hyperlink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color w:val="0000FF"/>
            <w:u w:val="single" w:color="0000FF"/>
          </w:rPr>
          <w:t>Směrnice Rady 86/613/EHS ze dne 11. prosince 1986 o uplatňování zásady rovného zacházení pro muže a ženy samostatně výdělečně činné, včetně oblasti zemědělství, a o ochraně v mateřství, Úř. věst. L 359, 19.12. 1986, s. 56, ELI: http://data.europa.eu/eli/dir/1986/613/oj.</w:t>
        </w:r>
      </w:hyperlink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>
          <w:rPr>
            <w:color w:val="0000FF"/>
            <w:u w:val="single" w:color="0000FF"/>
          </w:rPr>
          <w:t>Směrnice Rady 92/85/EHS ze dne 19. října 1992 o zavádění opatření pro zlepšení bezpečnosti a ochrany zdraví při práci těhotných zaměstnankyň a zaměstnankyň krátce po porodu nebo kojících zaměstnankyň, Úř. věst. L 348, 28.11.1992, s. 1, ELI: http://data.europa.eu/eli/dir/1992/85/oj.</w:t>
        </w:r>
      </w:hyperlink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4" w:history="1">
        <w:r>
          <w:rPr>
            <w:color w:val="0000FF"/>
            <w:u w:val="single" w:color="0000FF"/>
          </w:rPr>
          <w:t>Směrnice Rady 2004/113/ES ze dne 13. prosince 2004, kterou se zavádí zásada rovného zacházení s muži a ženami v přístupu ke zboží a službám a jejich poskytování, Úř. věst. L 373, 21.12.2004, s. 37, ELI: http://data.europa.eu/eli/dir/2004/113/oj.</w:t>
        </w:r>
      </w:hyperlink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5" w:history="1">
        <w:r>
          <w:rPr>
            <w:color w:val="0000FF"/>
            <w:u w:val="single" w:color="0000FF"/>
          </w:rPr>
          <w:t>Směrnice Evropského parlamentu a Rady 2006/54/ES ze dne 5. července 2006 o zavedení zásady rovných příležitostí a rovného zacházení pro muže a ženy v oblasti zaměstnání a povolání, Úř. věst. L 204, 26.7.2006, s. 23, ELI: http://data.europa.eu/eli/dir/2006/54/oj.</w:t>
        </w:r>
      </w:hyperlink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6" w:history="1">
        <w:r>
          <w:rPr>
            <w:color w:val="0000FF"/>
            <w:u w:val="single" w:color="0000FF"/>
          </w:rPr>
          <w:t>Směrnice Evropského parlamentu a Rady 2010/41/EU ze dne 7. července 2010 o uplatňování zásady rovného zacházení pro muže a ženy samostatně výdělečně činné, Úř. věst. L 180, 15.7.2010, s. 1, ELI: http://data.europa.eu/eli/dir/2010/41/oj.</w:t>
        </w:r>
      </w:hyperlink>
    </w:p>
  </w:footnote>
  <w:footnote w:id="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7" w:history="1">
        <w:r>
          <w:rPr>
            <w:color w:val="0000FF"/>
            <w:u w:val="single" w:color="0000FF"/>
          </w:rPr>
          <w:t>Úř. věst. L 188, 12.7.2019, s. 79, ELI: http://data.europa.eu/eli/dir/2019/1158/oj.</w:t>
        </w:r>
      </w:hyperlink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8" w:history="1">
        <w:r>
          <w:rPr>
            <w:color w:val="0000FF"/>
            <w:u w:val="single" w:color="0000FF"/>
          </w:rPr>
          <w:t>Úř. věst. L 315, 7.12.2022, s. 44, ELI: http://data.europa.eu/eli/dir/2022/2381/oj.</w:t>
        </w:r>
      </w:hyperlink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9" w:history="1">
        <w:r>
          <w:rPr>
            <w:color w:val="0000FF"/>
            <w:u w:val="single" w:color="0000FF"/>
          </w:rPr>
          <w:t>Úř. věst. L 132, 17.5.2023, s. 21, ELI: http://data.europa.eu/eli/dir/2023/970/oj.</w:t>
        </w:r>
      </w:hyperlink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0" w:history="1">
        <w:r>
          <w:rPr>
            <w:color w:val="0000FF"/>
            <w:u w:val="single" w:color="0000FF"/>
          </w:rPr>
          <w:t>Úř. věst. L 2024/1385, 24.5.2024, ELI: http://data.europa.eu/eli/dir/2024/1385/oj.</w:t>
        </w:r>
      </w:hyperlink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1" w:history="1">
        <w:r>
          <w:rPr>
            <w:color w:val="0000FF"/>
            <w:u w:val="single" w:color="0000FF"/>
          </w:rPr>
          <w:t>Úř. věst. L 2024/1500, 29.5.2024, ELI: http://data.europa.eu/eli/dir/2024/1500/oj.</w:t>
        </w:r>
      </w:hyperlink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2" w:history="1">
        <w:r>
          <w:rPr>
            <w:color w:val="0000FF"/>
            <w:u w:val="single" w:color="0000FF"/>
          </w:rPr>
          <w:t>Úř. věst. L 2024/1712, 24.6.2024, ELI: http://data.europa.eu/eli/dir/2024/1712/oj.</w:t>
        </w:r>
      </w:hyperlink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449, 23.12.2020, s. 102.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232, 16.6.2021, s. 48.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331, 17.8.2021, s. 5.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404, 6.10.2021, s. 202.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456, 10.11.2021, s. 208.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456, 10.11.2021, s. 232.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465, 17.11.2021, s. 160.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67, 8.2.2022, s. 137.</w:t>
      </w:r>
    </w:p>
  </w:footnote>
  <w:footnote w:id="2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81, 18.2.2022, s. 43.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117, 11.3.2022, s. 88.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251, 30.6.2022, s. 2.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251, 30.6.2022, s. 23.</w:t>
      </w:r>
    </w:p>
  </w:footnote>
  <w:footnote w:id="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347, 9.9.2022, s. 150.</w:t>
      </w:r>
    </w:p>
  </w:footnote>
  <w:footnote w:id="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465, 6.12.2022, s. 54.</w:t>
      </w:r>
    </w:p>
  </w:footnote>
  <w:footnote w:id="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47, 7.2.2023, s. 30.</w:t>
      </w:r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47, 7.2.2023, s. 2.</w:t>
      </w:r>
    </w:p>
  </w:footnote>
  <w:footnote w:id="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3" w:history="1">
        <w:r>
          <w:rPr>
            <w:color w:val="0000FF"/>
            <w:u w:val="single" w:color="0000FF"/>
          </w:rPr>
          <w:t>Úř. věst. C, C/2023/1224, 21.12.2023, ELI: http://data.europa.eu/eli/C/2023/1224/oj.</w:t>
        </w:r>
      </w:hyperlink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4" w:history="1">
        <w:r>
          <w:rPr>
            <w:color w:val="0000FF"/>
            <w:u w:val="single" w:color="0000FF"/>
          </w:rPr>
          <w:t>Úř. věst. C, C/2025/1279, 13.3.2025, ELI: http://data.europa.eu/eli/C/2025/1279/oj.</w:t>
        </w:r>
      </w:hyperlink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Přijaté texty, P10_TA(2024)0075.</w:t>
      </w:r>
    </w:p>
  </w:footnote>
  <w:footnote w:id="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Článek 2 a čl. 3 odst. 3 SEU, články 8, 10, 19 a 157 SFEU a články 21 a 23 Listiny základních práv EU.</w:t>
      </w:r>
    </w:p>
  </w:footnote>
  <w:footnote w:id="3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Směrnice Evropského parlamentu a Rady (EU) 2022/2041 ze dne 19. října 2022 o přiměřených minimálních mzdách v Evropské unii (Úř. věst. L 275, 25.10.2022, s. 33, ELI: http://data.europa.eu/eli/dir/2022/2041/oj).</w:t>
      </w:r>
    </w:p>
  </w:footnote>
  <w:footnote w:id="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Směrnice (EU) 2023/970.</w:t>
      </w:r>
    </w:p>
  </w:footnote>
  <w:footnote w:id="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Směrnice (EU) 2022/2381.</w:t>
      </w:r>
    </w:p>
  </w:footnote>
  <w:footnote w:id="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364, 28.10.2020, s. 77.</w:t>
      </w:r>
    </w:p>
  </w:footnote>
  <w:footnote w:id="3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Sdělení Komise „Plán pro práva žen“ (COM(2025) 97 final).</w:t>
      </w:r>
    </w:p>
  </w:footnote>
  <w:footnote w:id="3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5" w:history="1">
        <w:r>
          <w:rPr>
            <w:color w:val="0000FF"/>
            <w:u w:val="single" w:color="0000FF"/>
          </w:rPr>
          <w:t>https://eige.europa.eu/gender-based-violence</w:t>
        </w:r>
      </w:hyperlink>
    </w:p>
  </w:footnote>
  <w:footnote w:id="4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Index rovnosti žen a mužů za rok 2024: Boj proti násilí na ženách, řešení otázky genderových rozdílů, zveřejněno v roce 2025.</w:t>
      </w:r>
    </w:p>
  </w:footnote>
  <w:footnote w:id="4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Například přijetí směrnice o potírání násilí na ženách a domácího násilí a přistoupení EU k Úmluvě Rady Evropy o prevenci a potírání násilí na ženách („Istanbulská úmluva“)</w:t>
      </w:r>
    </w:p>
  </w:footnote>
  <w:footnote w:id="4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Úř. věst. C 326, 26.10.2012, s. 391.</w:t>
      </w:r>
    </w:p>
  </w:footnote>
  <w:footnote w:id="4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EIGE (2025), Impact driver: marking milestones and opportunities for gender equality in the EU, Úřad pro publikace Evropské unie, Lucemburk (publikace se připravuje).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  <w:style w:type="paragraph" w:customStyle="1" w:styleId="NormalTab">
    <w:name w:val="NormalTab"/>
    <w:basedOn w:val="Normal"/>
    <w:rsid w:val="00CC6F1E"/>
    <w:pPr>
      <w:tabs>
        <w:tab w:val="center" w:pos="284"/>
        <w:tab w:val="left" w:pos="425"/>
      </w:tabs>
    </w:pPr>
    <w:rPr>
      <w:snapToGrid/>
      <w:lang w:eastAsia="en-GB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yperlink" Target="https://www.europarl.europa.eu/data-protect/index.do" TargetMode="Externa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hyperlink" Target="https://eur-lex.europa.eu/legal-content/CS/ALL/?uri=CELEX:52021DC0102" TargetMode="External" /><Relationship Id="rId7" Type="http://schemas.openxmlformats.org/officeDocument/2006/relationships/hyperlink" Target="https://eur-lex.europa.eu/legal-content/CS/ALL/?uri=CELEX:52020DC0152" TargetMode="External" /><Relationship Id="rId8" Type="http://schemas.openxmlformats.org/officeDocument/2006/relationships/hyperlink" Target="https://eur-lex.europa.eu/legal-content/CS/ALL/?uri=CELEX:52025DC0097" TargetMode="Externa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1979/7/oj" TargetMode="External" /><Relationship Id="rId10" Type="http://schemas.openxmlformats.org/officeDocument/2006/relationships/hyperlink" Target="http://data.europa.eu/eli/dir/2024/1385/oj" TargetMode="External" /><Relationship Id="rId11" Type="http://schemas.openxmlformats.org/officeDocument/2006/relationships/hyperlink" Target="http://data.europa.eu/eli/dir/2024/1500/oj" TargetMode="External" /><Relationship Id="rId12" Type="http://schemas.openxmlformats.org/officeDocument/2006/relationships/hyperlink" Target="http://data.europa.eu/eli/dir/2024/1712/oj" TargetMode="External" /><Relationship Id="rId13" Type="http://schemas.openxmlformats.org/officeDocument/2006/relationships/hyperlink" Target="http://data.europa.eu/eli/C/2023/1224/oj" TargetMode="External" /><Relationship Id="rId14" Type="http://schemas.openxmlformats.org/officeDocument/2006/relationships/hyperlink" Target="http://data.europa.eu/eli/C/2025/1279/oj" TargetMode="External" /><Relationship Id="rId15" Type="http://schemas.openxmlformats.org/officeDocument/2006/relationships/hyperlink" Target="https://eige.europa.eu/gender-based-violence" TargetMode="External" /><Relationship Id="rId2" Type="http://schemas.openxmlformats.org/officeDocument/2006/relationships/hyperlink" Target="http://data.europa.eu/eli/dir/1986/613/oj" TargetMode="External" /><Relationship Id="rId3" Type="http://schemas.openxmlformats.org/officeDocument/2006/relationships/hyperlink" Target="http://data.europa.eu/eli/dir/1992/85/oj" TargetMode="External" /><Relationship Id="rId4" Type="http://schemas.openxmlformats.org/officeDocument/2006/relationships/hyperlink" Target="http://data.europa.eu/eli/dir/2004/113/oj" TargetMode="External" /><Relationship Id="rId5" Type="http://schemas.openxmlformats.org/officeDocument/2006/relationships/hyperlink" Target="http://data.europa.eu/eli/dir/2006/54/oj" TargetMode="External" /><Relationship Id="rId6" Type="http://schemas.openxmlformats.org/officeDocument/2006/relationships/hyperlink" Target="http://data.europa.eu/eli/dir/2010/41/oj" TargetMode="External" /><Relationship Id="rId7" Type="http://schemas.openxmlformats.org/officeDocument/2006/relationships/hyperlink" Target="http://data.europa.eu/eli/dir/2019/1158/oj" TargetMode="External" /><Relationship Id="rId8" Type="http://schemas.openxmlformats.org/officeDocument/2006/relationships/hyperlink" Target="http://data.europa.eu/eli/dir/2022/2381/oj" TargetMode="External" /><Relationship Id="rId9" Type="http://schemas.openxmlformats.org/officeDocument/2006/relationships/hyperlink" Target="http://data.europa.eu/eli/dir/2023/970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14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1316271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20250404-115206-011212-052347</vt:lpwstr>
  </property>
  <property fmtid="{D5CDD505-2E9C-101B-9397-08002B2CF9AE}" pid="7" name="FooterPath">
    <vt:lpwstr>PR\1316271CS.doc</vt:lpwstr>
  </property>
  <property fmtid="{D5CDD505-2E9C-101B-9397-08002B2CF9AE}" pid="8" name="PE Number">
    <vt:lpwstr>770.090</vt:lpwstr>
  </property>
  <property fmtid="{D5CDD505-2E9C-101B-9397-08002B2CF9AE}" pid="9" name="UID">
    <vt:lpwstr>eu.europa.europarl-DIN1-2025-0000056500_01.06-cs-01.00_text-xml</vt:lpwstr>
  </property>
</Properties>
</file>