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Ευρωπαϊκό Κοινοβούλιο</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Επιτροπή Δικαιωμάτων των Γυναικών και Ισότητας των Φύλων</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2024/2125</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24/03/2025</w:t>
      </w:r>
      <w:r>
        <w:rPr>
          <w:rStyle w:val="HideTWBInt"/>
        </w:rPr>
        <w:t>}</w:t>
      </w:r>
      <w:r>
        <w:t>24.3.2025</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ΣΧEΔΙΟ ΕΚΘΕΣΗΣ</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σχετικά με τη Στρατηγική για την ισότητα των φύλων 2025</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(2024/2125(INI))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Επιτροπή Δικαιωμάτων των Γυναικών και Ισότητας των Φύλων</w:t>
      </w:r>
      <w:r>
        <w:rPr>
          <w:rStyle w:val="HideTWBExt"/>
        </w:rPr>
        <w:t>&lt;/</w:t>
      </w:r>
      <w:r>
        <w:rPr>
          <w:rStyle w:val="HideTWBExt"/>
        </w:rPr>
        <w:t>Commission</w:t>
      </w:r>
      <w:r>
        <w:rPr>
          <w:rStyle w:val="HideTWBExt"/>
        </w:rPr>
        <w:t>&gt;</w:t>
      </w:r>
    </w:p>
    <w:p>
      <w:pPr>
        <w:pStyle w:val="CoverNormal24a"/>
      </w:pPr>
      <w:r>
        <w:t>Εισηγητής</w:t>
      </w:r>
      <w:r>
        <w:t xml:space="preserve">: </w:t>
      </w:r>
      <w:r>
        <w:rPr>
          <w:rStyle w:val="HideTWBExt"/>
        </w:rPr>
        <w:t>&lt;</w:t>
      </w:r>
      <w:r>
        <w:rPr>
          <w:rStyle w:val="HideTWBExt"/>
        </w:rPr>
        <w:t>Depute</w:t>
      </w:r>
      <w:r>
        <w:rPr>
          <w:rStyle w:val="HideTWBExt"/>
        </w:rPr>
        <w:t>&gt;</w:t>
      </w:r>
      <w:r>
        <w:t>Marko Vešligaj</w:t>
      </w:r>
      <w:r>
        <w:rPr>
          <w:rStyle w:val="HideTWBExt"/>
        </w:rPr>
        <w:t>&lt;/</w:t>
      </w:r>
      <w:r>
        <w:rPr>
          <w:rStyle w:val="HideTWBExt"/>
        </w:rPr>
        <w:t>Depute</w:t>
      </w:r>
      <w:r>
        <w:rPr>
          <w:rStyle w:val="HideTWBExt"/>
        </w:rPr>
        <w:t>&gt;</w:t>
      </w:r>
    </w:p>
    <w:p>
      <w:r>
        <w:br w:type="page"/>
      </w:r>
      <w:r>
        <w:t>PR_INI</w:t>
      </w:r>
    </w:p>
    <w:p>
      <w:pPr>
        <w:pStyle w:val="TOCHeading"/>
      </w:pPr>
      <w:r>
        <w:t>ΠΕΡΙΕΧΟΜΕΝΑ</w:t>
      </w:r>
    </w:p>
    <w:p>
      <w:pPr>
        <w:pStyle w:val="TOCPage"/>
      </w:pPr>
      <w:r>
        <w:t>Σελίδα</w:t>
      </w:r>
    </w:p>
    <w:p>
      <w:pPr>
        <w:pStyle w:val="TOC1"/>
        <w:tabs>
          <w:tab w:val="right" w:leader="dot" w:pos="9062"/>
        </w:tabs>
        <w:rPr>
          <w:rFonts w:ascii="Calibri" w:hAnsi="Calibri"/>
          <w:noProof/>
          <w:sz w:val="22"/>
        </w:rPr>
      </w:pPr>
      <w:r>
        <w:fldChar w:fldCharType="begin"/>
      </w:r>
      <w:r>
        <w:instrText>TOC \t "PageHeading"</w:instrText>
      </w:r>
      <w:r>
        <w:fldChar w:fldCharType="separate"/>
      </w:r>
      <w:r>
        <w:t>ΠΡΟΤΑΣΗ ΨΗΦΙΣΜΑΤΟΣ ΤΟΥ ΕΥΡΩΠΑΪΚΟΥ ΚΟΙΝΟΒΟΥΛΙΟΥ</w:t>
      </w:r>
      <w:r>
        <w:tab/>
      </w:r>
      <w:r>
        <w:fldChar w:fldCharType="begin"/>
      </w:r>
      <w:r>
        <w:instrText xml:space="preserve"> PAGEREF _Toc256000003 \h </w:instrText>
      </w:r>
      <w:r>
        <w:fldChar w:fldCharType="separate"/>
      </w:r>
      <w:r>
        <w:t>3</w:t>
      </w:r>
      <w:r>
        <w:fldChar w:fldCharType="end"/>
      </w:r>
    </w:p>
    <w:p>
      <w:pPr>
        <w:pStyle w:val="TOC1"/>
        <w:tabs>
          <w:tab w:val="right" w:leader="dot" w:pos="9062"/>
        </w:tabs>
        <w:rPr>
          <w:rFonts w:ascii="Calibri" w:hAnsi="Calibri"/>
          <w:noProof/>
          <w:sz w:val="22"/>
        </w:rPr>
      </w:pPr>
      <w:r>
        <w:t>ΑΙΤΙΟΛΟΓΙΚΗ ΕΚΘΕΣΗ</w:t>
      </w:r>
      <w:r>
        <w:tab/>
      </w:r>
      <w:r>
        <w:fldChar w:fldCharType="begin"/>
      </w:r>
      <w:r>
        <w:instrText xml:space="preserve"> PAGEREF _Toc256000004 \h </w:instrText>
      </w:r>
      <w:r>
        <w:fldChar w:fldCharType="separate"/>
      </w:r>
      <w:r>
        <w:t>11</w:t>
      </w:r>
      <w:r>
        <w:fldChar w:fldCharType="end"/>
      </w:r>
    </w:p>
    <w:p>
      <w:pPr>
        <w:pStyle w:val="TOC1"/>
        <w:tabs>
          <w:tab w:val="right" w:leader="dot" w:pos="9062"/>
        </w:tabs>
        <w:rPr>
          <w:rFonts w:ascii="Calibri" w:hAnsi="Calibri"/>
          <w:noProof/>
          <w:sz w:val="22"/>
        </w:rPr>
      </w:pPr>
      <w:r>
        <w:t>ΠΑΡΑΡΤΗΜΑ: ΟΝΤΟΤΗΤΕΣ Ή ΠΡΟΣΩΠΑ ΠΟΥ ΕΧΟΥΝ ΚΑΤΑΘΕΣΕΙ ΤΙΣ ΕΙΣΗΓΗΣΕΙΣ ΤΟΥΣ ΣΤΟΝ ΕΙΣΗΓΗΤΗ</w:t>
      </w:r>
      <w:r>
        <w:tab/>
      </w:r>
      <w:r>
        <w:fldChar w:fldCharType="begin"/>
      </w:r>
      <w:r>
        <w:instrText xml:space="preserve"> PAGEREF _Toc256000005 \h </w:instrText>
      </w:r>
      <w:r>
        <w:fldChar w:fldCharType="separate"/>
      </w:r>
      <w:r>
        <w:t>16</w:t>
      </w:r>
      <w:r>
        <w:fldChar w:fldCharType="end"/>
      </w:r>
    </w:p>
    <w:p>
      <w:pPr>
        <w:pStyle w:val="Normal12b"/>
      </w:pPr>
      <w:r>
        <w:fldChar w:fldCharType="end"/>
      </w:r>
    </w:p>
    <w:p>
      <w:pPr>
        <w:pStyle w:val="CoverNormalLeft"/>
      </w:pPr>
    </w:p>
    <w:p>
      <w:pPr>
        <w:pStyle w:val="PageHeading"/>
      </w:pPr>
      <w:r>
        <w:br w:type="page"/>
      </w:r>
      <w:bookmarkStart w:id="0" w:name="_Toc256000003"/>
      <w:r>
        <w:t>ΠΡΟΤΑΣΗ ΨΗΦΙΣΜΑΤΟΣ ΤΟΥ ΕΥΡΩΠΑΪΚΟΥ ΚΟΙΝΟΒΟΥΛΙΟΥ</w:t>
      </w:r>
      <w:bookmarkEnd w:id="0"/>
    </w:p>
    <w:p>
      <w:pPr>
        <w:pStyle w:val="NormalBold"/>
      </w:pPr>
      <w:r>
        <w:t>σχετικά με την στρατηγική για την ισότητα των φύλων 2025</w:t>
      </w:r>
    </w:p>
    <w:p>
      <w:pPr>
        <w:pStyle w:val="NormalBold"/>
      </w:pPr>
      <w:r>
        <w:t>(2024/2125(INI))</w:t>
      </w:r>
    </w:p>
    <w:p>
      <w:pPr>
        <w:pStyle w:val="EPComma"/>
      </w:pPr>
      <w:r>
        <w:rPr>
          <w:rStyle w:val="Italic"/>
        </w:rPr>
        <w:t>Το Ευρωπαϊκό Κοινοβούλιο</w:t>
      </w:r>
      <w:r>
        <w:t>,</w:t>
      </w:r>
    </w:p>
    <w:p>
      <w:pPr>
        <w:pStyle w:val="NormalHanging12a"/>
      </w:pPr>
      <w:r>
        <w:t>–</w:t>
      </w:r>
      <w:r>
        <w:tab/>
      </w:r>
      <w:r>
        <w:t>έχοντας υπόψη τα άρθρα 2 και 3 της Συνθήκης για την Ευρωπαϊκή Ένωση,</w:t>
      </w:r>
    </w:p>
    <w:p>
      <w:pPr>
        <w:pStyle w:val="NormalHanging12a"/>
      </w:pPr>
      <w:r>
        <w:t>–</w:t>
      </w:r>
      <w:r>
        <w:tab/>
      </w:r>
      <w:r>
        <w:t>έχοντας υπόψη τα άρθρα 8, 10, 19, 79, 83, 153 και 157 της Συνθήκης για τη λειτουργία της Ευρωπαϊκής Ένωσης (ΣΛΕΕ),</w:t>
      </w:r>
    </w:p>
    <w:p>
      <w:pPr>
        <w:pStyle w:val="NormalHanging12a"/>
      </w:pPr>
      <w:r>
        <w:t>–</w:t>
      </w:r>
      <w:r>
        <w:tab/>
      </w:r>
      <w:r>
        <w:t>έχοντας υπόψη τα άρθρα 21 και 23 του Χάρτη των Θεμελιωδών Δικαιωμάτων της Ευρωπαϊκής Ένωσης,</w:t>
      </w:r>
    </w:p>
    <w:p>
      <w:pPr>
        <w:pStyle w:val="NormalHanging12a"/>
      </w:pPr>
      <w:r>
        <w:t>–</w:t>
      </w:r>
      <w:r>
        <w:tab/>
      </w:r>
      <w:r>
        <w:t>έχοντας υπόψη τον ευρωπαϊκό πυλώνα κοινωνικών δικαιωμάτων, που διακηρύχθηκε και υπογράφηκε από το Κοινοβούλιο, το Συμβούλιο και την Επιτροπή στις 17 Νοεμβρίου 2017, και την ανακοίνωση της Επιτροπής, της 4ης Μαρτίου 2021, με τίτλο «Σχέδιο δράσης για τον ευρωπαϊκό πυλώνα κοινωνικών δικαιωμάτων» (</w:t>
      </w:r>
      <w:hyperlink r:id="rId6" w:history="1">
        <w:r>
          <w:rPr>
            <w:rStyle w:val="Hyperlink"/>
          </w:rPr>
          <w:t>COM (2021)0102)</w:t>
        </w:r>
      </w:hyperlink>
      <w:r>
        <w:rPr>
          <w:rStyle w:val="DefaultParagraphFont"/>
          <w:b w:val="0"/>
          <w:i w:val="0"/>
          <w:u w:val="none"/>
        </w:rPr>
        <w:t>,</w:t>
      </w:r>
    </w:p>
    <w:p>
      <w:pPr>
        <w:pStyle w:val="NormalHanging12a"/>
      </w:pPr>
      <w:r>
        <w:t>–</w:t>
      </w:r>
      <w:r>
        <w:tab/>
      </w:r>
      <w:r>
        <w:t>έχοντας υπόψη τη Σύμβαση των Ηνωμένων Εθνών για την εξάλειψη όλων των μορφών διακρίσεων κατά των γυναικών, της 18ης Δεκεμβρίου 1979,</w:t>
      </w:r>
    </w:p>
    <w:p>
      <w:pPr>
        <w:pStyle w:val="NormalHanging12a"/>
      </w:pPr>
      <w:r>
        <w:t>–</w:t>
      </w:r>
      <w:r>
        <w:tab/>
      </w:r>
      <w:r>
        <w:t>έχοντας υπόψη τη Διακήρυξη και την Πλατφόρμα Δράσης του Πεκίνου των Ηνωμένων Εθνών της 15ης Σεπτεμβρίου 1995 και τα αποτελέσματα των αναθεωρητικών διασκέψεών της,</w:t>
      </w:r>
    </w:p>
    <w:p>
      <w:pPr>
        <w:pStyle w:val="NormalHanging12a"/>
      </w:pPr>
      <w:r>
        <w:t>–</w:t>
      </w:r>
      <w:r>
        <w:tab/>
      </w:r>
      <w:r>
        <w:t>έχοντας υπόψη το θεματολόγιο των Ηνωμένων Εθνών για τη βιώσιμη ανάπτυξη με ορίζοντα το 2030, της 21ης Οκτωβρίου 2015, και τους στόχους βιώσιμης ανάπτυξης (ΣΒΑ) που ορίζονται σε αυτό και ιδίως τον ΣΒΑ 5 «Επίτευξη της ισότητας των φύλων και χειραφέτηση όλων των γυναικών και των κοριτσιών», καθώς και τους σχετικούς στόχους και δείκτες,</w:t>
      </w:r>
    </w:p>
    <w:p>
      <w:pPr>
        <w:pStyle w:val="NormalHanging12a"/>
      </w:pPr>
      <w:r>
        <w:t>–</w:t>
      </w:r>
      <w:r>
        <w:tab/>
      </w:r>
      <w:r>
        <w:t>έχοντας υπόψη τη Σύμβαση της Διεθνούς Οργάνωσης Εργασίας περί ίσης αμοιβής, της 29ης Ιουνίου 1951, και τη Σύμβαση της Διεθνούς Οργάνωσης Εργασίας για τη βία και την παρενόχληση, της 21ης Ιουνίου 2019,</w:t>
      </w:r>
    </w:p>
    <w:p>
      <w:pPr>
        <w:pStyle w:val="NormalHanging12a"/>
      </w:pPr>
      <w:r>
        <w:t>–</w:t>
      </w:r>
      <w:r>
        <w:tab/>
      </w:r>
      <w:r>
        <w:t xml:space="preserve">έχοντας υπόψη τη Σύμβαση του </w:t>
      </w:r>
      <w:r>
        <w:t>Συμβουλίου της Ευρώπης</w:t>
      </w:r>
      <w:r>
        <w:t xml:space="preserve"> σχετικά με την καταπολέμηση της βίας κατά των γυναικών και της ενδοοικογενειακής βίας (Σύμβαση της Κωνσταντινούπολης), της 11ης Μαΐου 2011,</w:t>
      </w:r>
    </w:p>
    <w:p>
      <w:pPr>
        <w:pStyle w:val="NormalHanging12a"/>
      </w:pPr>
      <w:r>
        <w:t>–</w:t>
      </w:r>
      <w:r>
        <w:tab/>
      </w:r>
      <w:r>
        <w:t>έχοντας υπόψη τις οδηγίες της ΕΟΚ και της ΕΕ που εγκρίθηκαν από το 1975 και έπειτα σχετικά με διάφορες πτυχές της ίσης μεταχείρισης γυναικών και ανδρών (οδηγία 79/7/ΕΟΚ</w:t>
      </w:r>
      <w:r>
        <w:rPr>
          <w:rStyle w:val="FootnoteReference"/>
        </w:rPr>
        <w:footnoteReference w:id="2"/>
      </w:r>
      <w:r>
        <w:t>, οδηγία 86/613/ΕΟΚ</w:t>
      </w:r>
      <w:r>
        <w:rPr>
          <w:rStyle w:val="FootnoteReference"/>
        </w:rPr>
        <w:footnoteReference w:id="3"/>
      </w:r>
      <w:r>
        <w:t>, οδηγία 92/85/ΕΟΚ</w:t>
      </w:r>
      <w:r>
        <w:rPr>
          <w:rStyle w:val="FootnoteReference"/>
        </w:rPr>
        <w:footnoteReference w:id="4"/>
      </w:r>
      <w:r>
        <w:t>, οδηγία 2004/113/ΕΚ</w:t>
      </w:r>
      <w:r>
        <w:rPr>
          <w:rStyle w:val="FootnoteReference"/>
        </w:rPr>
        <w:footnoteReference w:id="5"/>
      </w:r>
      <w:r>
        <w:t>, οδηγία 2006/54/ΕΚ</w:t>
      </w:r>
      <w:r>
        <w:rPr>
          <w:rStyle w:val="FootnoteReference"/>
        </w:rPr>
        <w:footnoteReference w:id="6"/>
      </w:r>
      <w:r>
        <w:t>, και οδηγία 2010/41/ΕΕ</w:t>
      </w:r>
      <w:r>
        <w:rPr>
          <w:rStyle w:val="FootnoteReference"/>
        </w:rPr>
        <w:footnoteReference w:id="7"/>
      </w:r>
      <w:r>
        <w:t>),</w:t>
      </w:r>
    </w:p>
    <w:p>
      <w:pPr>
        <w:pStyle w:val="NormalHanging12a"/>
      </w:pPr>
      <w:r>
        <w:t>–</w:t>
      </w:r>
      <w:r>
        <w:tab/>
      </w:r>
      <w:r>
        <w:t xml:space="preserve">έχοντας υπόψη την οδηγία (ΕΕ) 2019/1158 του </w:t>
      </w:r>
      <w:r>
        <w:t>Ευρωπαϊκού Κοινοβουλίου</w:t>
      </w:r>
      <w:r>
        <w:t xml:space="preserve"> και του Συμβουλίου, της 20ής Ιουνίου 2019, σχετικά με την ισορροπία μεταξύ επαγγελματικής και ιδιωτικής ζωής για τους γονείς και τους φροντιστές και την κατάργηση της οδηγίας 2010/18/ΕΕ του Συμβουλίου</w:t>
      </w:r>
      <w:r>
        <w:rPr>
          <w:rStyle w:val="FootnoteReference"/>
        </w:rPr>
        <w:footnoteReference w:id="8"/>
      </w:r>
      <w:r>
        <w:t>,</w:t>
      </w:r>
    </w:p>
    <w:p>
      <w:pPr>
        <w:pStyle w:val="NormalHanging12a"/>
      </w:pPr>
      <w:r>
        <w:t>–</w:t>
      </w:r>
      <w:r>
        <w:tab/>
      </w:r>
      <w:r>
        <w:t xml:space="preserve">έχοντας υπόψη την οδηγία (ΕΕ) 2022/2381 του </w:t>
      </w:r>
      <w:r>
        <w:t>Ευρωπαϊκού Κοινοβουλίου</w:t>
      </w:r>
      <w:r>
        <w:t xml:space="preserve"> και του Συμβουλίου, της 23ας Νοεμβρίου 2022, σχετικά με τη βελτίωση της ισόρροπης εκπροσώπησης των φύλων σε θέσεις διευθυντικών στελεχών των εισηγμένων εταιρειών και σχετικά μέτρα</w:t>
      </w:r>
      <w:r>
        <w:rPr>
          <w:rStyle w:val="FootnoteReference"/>
        </w:rPr>
        <w:footnoteReference w:id="9"/>
      </w:r>
      <w:r>
        <w:t>:</w:t>
      </w:r>
    </w:p>
    <w:p>
      <w:pPr>
        <w:pStyle w:val="NormalHanging12a"/>
      </w:pPr>
      <w:r>
        <w:t>–</w:t>
      </w:r>
      <w:r>
        <w:tab/>
      </w:r>
      <w:r>
        <w:t xml:space="preserve">έχοντας υπόψη την οδηγία (ΕΕ) 2023/970 του </w:t>
      </w:r>
      <w:r>
        <w:t>Ευρωπαϊκού Κοινοβουλίου</w:t>
      </w:r>
      <w:r>
        <w:t xml:space="preserve"> και του Συμβουλίου, της 10ης Μαΐου 2023, για την ενίσχυση της εφαρμογής της αρχής της ισότητας της αμοιβής μεταξύ ανδρών και γυναικών για όμοια εργασία ή για εργασία της αυτής αξίας, μέσω της μισθολογικής διαφάνειας και μηχανισμών επιβολής</w:t>
      </w:r>
      <w:r>
        <w:rPr>
          <w:rStyle w:val="FootnoteReference"/>
        </w:rPr>
        <w:footnoteReference w:id="10"/>
      </w:r>
      <w:r>
        <w:t>,</w:t>
      </w:r>
    </w:p>
    <w:p>
      <w:pPr>
        <w:pStyle w:val="NormalHanging12a"/>
      </w:pPr>
      <w:r>
        <w:t>–</w:t>
      </w:r>
      <w:r>
        <w:tab/>
      </w:r>
      <w:r>
        <w:t xml:space="preserve">έχοντας υπόψη την οδηγία (ΕΕ) 2024/1385 του </w:t>
      </w:r>
      <w:r>
        <w:t>Ευρωπαϊκού Κοινοβουλίου</w:t>
      </w:r>
      <w:r>
        <w:t xml:space="preserve"> και του Συμβουλίου, της 14ης Μαΐου 2024, για την καταπολέμηση της βίας κατά των γυναικών και της εξ οικείων βίας</w:t>
      </w:r>
      <w:r>
        <w:rPr>
          <w:rStyle w:val="FootnoteReference"/>
        </w:rPr>
        <w:footnoteReference w:id="11"/>
      </w:r>
      <w:r>
        <w:t>,</w:t>
      </w:r>
    </w:p>
    <w:p>
      <w:pPr>
        <w:pStyle w:val="NormalHanging12a"/>
      </w:pPr>
      <w:r>
        <w:t>–</w:t>
      </w:r>
      <w:r>
        <w:tab/>
      </w:r>
      <w:r>
        <w:t xml:space="preserve">έχοντας υπόψη την οδηγία (ΕΕ) 2024/1500 του </w:t>
      </w:r>
      <w:r>
        <w:t>Ευρωπαϊκού Κοινοβουλίου</w:t>
      </w:r>
      <w:r>
        <w:t xml:space="preserve"> και του Συμβουλίου, της 14ης Μαΐου 2024, σχετικά με πρότυπα για τους φορείς ισότητας στον τομέα της ίσης μεταχείρισης και των ίσων ευκαιριών μεταξύ γυναικών και ανδρών σε θέματα εργασίας και απασχόλησης, και για την τροποποίηση των οδηγιών 2006/54/ΕΚ και 2010/41/ΕΕ</w:t>
      </w:r>
      <w:r>
        <w:rPr>
          <w:rStyle w:val="FootnoteReference"/>
        </w:rPr>
        <w:footnoteReference w:id="12"/>
      </w:r>
      <w:r>
        <w:t>,</w:t>
      </w:r>
    </w:p>
    <w:p>
      <w:pPr>
        <w:pStyle w:val="NormalHanging12a"/>
      </w:pPr>
      <w:r>
        <w:t>–</w:t>
      </w:r>
      <w:r>
        <w:tab/>
      </w:r>
      <w:r>
        <w:t xml:space="preserve">έχοντας υπόψη την οδηγία (ΕΕ) 2024/1712 του </w:t>
      </w:r>
      <w:r>
        <w:t>Ευρωπαϊκού Κοινοβουλίου</w:t>
      </w:r>
      <w:r>
        <w:t xml:space="preserve"> και του Συμβουλίου, της 13ης Ιουνίου 2024, για την τροποποίηση της οδηγίας 2011/36/ΕΕ για την πρόληψη και την καταπολέμηση της εμπορίας ανθρώπων και για την προστασία των θυμάτων της</w:t>
      </w:r>
      <w:r>
        <w:rPr>
          <w:rStyle w:val="FootnoteReference"/>
        </w:rPr>
        <w:footnoteReference w:id="13"/>
      </w:r>
      <w:r>
        <w:t>,</w:t>
      </w:r>
    </w:p>
    <w:p>
      <w:pPr>
        <w:pStyle w:val="NormalHanging12a"/>
      </w:pPr>
      <w:r>
        <w:t>–</w:t>
      </w:r>
      <w:r>
        <w:tab/>
      </w:r>
      <w:r>
        <w:t>έχοντας υπόψη την ανακοίνωση της Επιτροπής, της 5ης Μαρτίου 2020, με τίτλο «Μια Ένωση ισότητας: Στρατηγική για την ισότητα των φύλων 2020-2025» (</w:t>
      </w:r>
      <w:hyperlink r:id="rId7" w:history="1">
        <w:r>
          <w:rPr>
            <w:rStyle w:val="Hyperlink"/>
          </w:rPr>
          <w:t>COM(2020)0152</w:t>
        </w:r>
      </w:hyperlink>
      <w:r>
        <w:rPr>
          <w:rStyle w:val="DefaultParagraphFont"/>
          <w:b w:val="0"/>
          <w:i w:val="0"/>
          <w:u w:val="none"/>
        </w:rPr>
        <w:t>).</w:t>
      </w:r>
    </w:p>
    <w:p>
      <w:pPr>
        <w:pStyle w:val="NormalHanging12a"/>
      </w:pPr>
      <w:r>
        <w:t>–</w:t>
      </w:r>
      <w:r>
        <w:tab/>
      </w:r>
      <w:r>
        <w:t>έχοντας υπόψη την κοινή ανακοίνωση της Επιτροπής και του Ύπατου Εκπροσώπου της Ευρωπαϊκής Ένωσης για θέματα Εξωτερικής Πολιτικής και Πολιτικής Ασφαλείας, της 25ης Νοεμβρίου 2020, με τίτλο «Σχέδιο δράσης της ΕΕ για θέματα φύλου III – Ένα φιλόδοξο θεματολόγιο για την ισότητα των φύλων και τη χειραφέτηση των γυναικών στην εξωτερική δράση της ΕΕ» (JOIN(2020)0017), και το συνοδευτικό κοινό έγγραφο εργασίας των υπηρεσιών της Επιτροπής της 25ης Νοεμβρίου 2020 με τίτλο «Στόχοι και δείκτες για την πλαισίωση της εφαρμογής του σχεδίου δράσης για θέματα φύλου III (2021-25)» (SWD(2020)0284),</w:t>
      </w:r>
    </w:p>
    <w:p>
      <w:pPr>
        <w:pStyle w:val="NormalHanging12a"/>
      </w:pPr>
      <w:r>
        <w:t>–</w:t>
      </w:r>
      <w:r>
        <w:tab/>
      </w:r>
      <w:r>
        <w:t>έχοντας υπόψη την ανακοίνωση της Επιτροπής, της 7ης Μαρτίου 2025, με τίτλο «Χάρτης πορείας για τα δικαιώματα των γυναικών» (</w:t>
      </w:r>
      <w:hyperlink r:id="rId8" w:history="1">
        <w:r>
          <w:rPr>
            <w:rStyle w:val="Hyperlink"/>
          </w:rPr>
          <w:t>COM(2025)0097</w:t>
        </w:r>
      </w:hyperlink>
      <w:r>
        <w:rPr>
          <w:rStyle w:val="DefaultParagraphFont"/>
          <w:b w:val="0"/>
          <w:i w:val="0"/>
          <w:u w:val="none"/>
        </w:rPr>
        <w:t>),</w:t>
      </w:r>
    </w:p>
    <w:p>
      <w:pPr>
        <w:pStyle w:val="NormalHanging12a"/>
      </w:pPr>
      <w:r>
        <w:t>–</w:t>
      </w:r>
      <w:r>
        <w:tab/>
      </w:r>
      <w:r>
        <w:t>έχοντας υπόψη το ψήφισμά του της 13ης Φεβρουαρίου 2019 σχετικά με την εναντίωση στα δικαιώματα των γυναικών και στην ισότητα των φύλων στην ΕE</w:t>
      </w:r>
      <w:r>
        <w:rPr>
          <w:rStyle w:val="FootnoteReference"/>
        </w:rPr>
        <w:footnoteReference w:id="14"/>
      </w:r>
      <w:r>
        <w:t>,</w:t>
      </w:r>
    </w:p>
    <w:p>
      <w:pPr>
        <w:pStyle w:val="NormalHanging12a"/>
      </w:pPr>
      <w:r>
        <w:t>–</w:t>
      </w:r>
      <w:r>
        <w:tab/>
      </w:r>
      <w:r>
        <w:t>έχοντας υπόψη το ψήφισμά του της 28ης Νοεμβρίου 2019 σχετικά με την προσχώρηση της ΕΕ στη Σύμβαση της Κωνσταντινούπολης και άλλα μέτρα για την καταπολέμηση της έμφυλης βίας</w:t>
      </w:r>
      <w:r>
        <w:rPr>
          <w:rStyle w:val="FootnoteReference"/>
        </w:rPr>
        <w:footnoteReference w:id="15"/>
      </w:r>
      <w:r>
        <w:t>,</w:t>
      </w:r>
    </w:p>
    <w:p>
      <w:pPr>
        <w:pStyle w:val="NormalHanging12a"/>
      </w:pPr>
      <w:r>
        <w:t>–</w:t>
      </w:r>
      <w:r>
        <w:tab/>
      </w:r>
      <w:r>
        <w:t>έχοντας υπόψη το ψήφισμά του της 30ής Ιανουαρίου 2020 σχετικά με το μισθολογικό χάσμα μεταξύ των φύλων</w:t>
      </w:r>
      <w:r>
        <w:rPr>
          <w:rStyle w:val="FootnoteReference"/>
        </w:rPr>
        <w:footnoteReference w:id="16"/>
      </w:r>
      <w:r>
        <w:t>,</w:t>
      </w:r>
    </w:p>
    <w:p>
      <w:pPr>
        <w:pStyle w:val="NormalHanging12a"/>
      </w:pPr>
      <w:r>
        <w:t>–</w:t>
      </w:r>
      <w:r>
        <w:tab/>
      </w:r>
      <w:r>
        <w:t>έχοντας υπόψη το ψήφισμά του της 23ης Οκτωβρίου 2020 σχετικά με την ισότητα των φύλων στην εξωτερική πολιτική και πολιτική ασφαλείας της ΕΕ</w:t>
      </w:r>
      <w:r>
        <w:rPr>
          <w:rStyle w:val="FootnoteReference"/>
        </w:rPr>
        <w:footnoteReference w:id="17"/>
      </w:r>
      <w:r>
        <w:t>,</w:t>
      </w:r>
    </w:p>
    <w:p>
      <w:pPr>
        <w:pStyle w:val="NormalHanging12a"/>
      </w:pPr>
      <w:r>
        <w:t>–</w:t>
      </w:r>
      <w:r>
        <w:tab/>
      </w:r>
      <w:r>
        <w:t>έχοντας υπόψη το ψήφισμά του της 21ης Ιανουαρίου 2021 σχετικά με τη στρατηγική της ΕΕ για την ισότητα των φύλων</w:t>
      </w:r>
      <w:r>
        <w:rPr>
          <w:rStyle w:val="FootnoteReference"/>
        </w:rPr>
        <w:footnoteReference w:id="18"/>
      </w:r>
      <w:r>
        <w:t>,</w:t>
      </w:r>
    </w:p>
    <w:p>
      <w:pPr>
        <w:pStyle w:val="NormalHanging12a"/>
      </w:pPr>
      <w:r>
        <w:t>–</w:t>
      </w:r>
      <w:r>
        <w:tab/>
      </w:r>
      <w:r>
        <w:t>έχοντας υπόψη το ψήφισμά του της 21ης Ιανουαρίου 2021 σχετικά με τη γεφύρωση του ψηφιακού χάσματος μεταξύ των φύλων: συμμετοχή των γυναικών στην ψηφιακή οικονομία</w:t>
      </w:r>
      <w:r>
        <w:rPr>
          <w:rStyle w:val="FootnoteReference"/>
        </w:rPr>
        <w:footnoteReference w:id="19"/>
      </w:r>
      <w:r>
        <w:t>,</w:t>
      </w:r>
    </w:p>
    <w:p>
      <w:pPr>
        <w:pStyle w:val="NormalHanging12a"/>
      </w:pPr>
      <w:r>
        <w:t>–</w:t>
      </w:r>
      <w:r>
        <w:tab/>
      </w:r>
      <w:r>
        <w:t>έχοντας υπόψη το ψήφισμά του της 11ης Φεβρουαρίου 2021 σχετικά με τις μελλοντικές προκλήσεις όσον αφορά τα δικαιώματα των γυναικών στην Ευρώπη: πάνω από 25 χρόνια από τη Διακήρυξη και την Πλατφόρμα Δράσης του Πεκίνου</w:t>
      </w:r>
      <w:r>
        <w:rPr>
          <w:rStyle w:val="FootnoteReference"/>
        </w:rPr>
        <w:footnoteReference w:id="20"/>
      </w:r>
      <w:r>
        <w:t>,</w:t>
      </w:r>
    </w:p>
    <w:p>
      <w:pPr>
        <w:pStyle w:val="NormalHanging12a"/>
      </w:pPr>
      <w:r>
        <w:t>–</w:t>
      </w:r>
      <w:r>
        <w:tab/>
      </w:r>
      <w:r>
        <w:t>έχοντας υπόψη το ψήφισμά του της 10ης Ιουνίου 2021 σχετικά με την προώθηση της ισότητας των φύλων όσον αφορά την εκπαίδευση και τη σταδιοδρομία στους τομείς των θετικών επιστημών, της τεχνολογίας, της μηχανικής και των μαθηματικών (STEM)</w:t>
      </w:r>
      <w:r>
        <w:rPr>
          <w:rStyle w:val="FootnoteReference"/>
        </w:rPr>
        <w:footnoteReference w:id="21"/>
      </w:r>
      <w:r>
        <w:t>,</w:t>
      </w:r>
    </w:p>
    <w:p>
      <w:pPr>
        <w:pStyle w:val="NormalHanging12a"/>
      </w:pPr>
      <w:r>
        <w:t>–</w:t>
      </w:r>
      <w:r>
        <w:tab/>
      </w:r>
      <w:r>
        <w:t>έχοντας υπόψη το ψήφισμά του της 24ης Ιουνίου 2021 σχετικά με την κατάσταση της σεξουαλικής και αναπαραγωγικής υγείας και των συναφών δικαιωμάτων στην ΕΕ, στο πλαίσιο της υγείας των γυναικών</w:t>
      </w:r>
      <w:r>
        <w:rPr>
          <w:rStyle w:val="FootnoteReference"/>
        </w:rPr>
        <w:footnoteReference w:id="22"/>
      </w:r>
      <w:r>
        <w:t>,</w:t>
      </w:r>
    </w:p>
    <w:p>
      <w:pPr>
        <w:pStyle w:val="NormalHanging12a"/>
      </w:pPr>
      <w:r>
        <w:t>–</w:t>
      </w:r>
      <w:r>
        <w:tab/>
      </w:r>
      <w:r>
        <w:t>έχοντας υπόψη το ψήφισμά του της 16ης Σεπτεμβρίου 2021, που περιέχει συστάσεις προς την Επιτροπή σχετικά με τον χαρακτηρισμό της έμφυλης βίας ως νέου τομέα εγκληματικότητας που περιλαμβάνεται στον κατάλογο του άρθρου 83 παράγραφος 1 ΣΛΕΕ</w:t>
      </w:r>
      <w:r>
        <w:rPr>
          <w:rStyle w:val="FootnoteReference"/>
        </w:rPr>
        <w:footnoteReference w:id="23"/>
      </w:r>
      <w:r>
        <w:t>,</w:t>
      </w:r>
    </w:p>
    <w:p>
      <w:pPr>
        <w:pStyle w:val="NormalHanging12a"/>
      </w:pPr>
      <w:r>
        <w:t>–</w:t>
      </w:r>
      <w:r>
        <w:tab/>
      </w:r>
      <w:r>
        <w:t>έχοντας υπόψη το ψήφισμά του της 14ης Δεκεμβρίου 2021 που περιέχει συστάσεις προς την Επιτροπή σχετικά με την καταπολέμηση της έμφυλης βίας: βία στο διαδίκτυο</w:t>
      </w:r>
      <w:r>
        <w:rPr>
          <w:rStyle w:val="FootnoteReference"/>
        </w:rPr>
        <w:footnoteReference w:id="24"/>
      </w:r>
      <w:r>
        <w:t>,</w:t>
      </w:r>
    </w:p>
    <w:p>
      <w:pPr>
        <w:pStyle w:val="NormalHanging12a"/>
      </w:pPr>
      <w:r>
        <w:t>–</w:t>
      </w:r>
      <w:r>
        <w:tab/>
      </w:r>
      <w:r>
        <w:t>έχοντας υπόψη το ψήφισμά του της 15ης Δεκεμβρίου 2021 σχετικά με την ισότητα μεταξύ γυναικών και ανδρών στην Ευρωπαϊκή Ένωση κατά την περίοδο 2018-2020</w:t>
      </w:r>
      <w:r>
        <w:rPr>
          <w:rStyle w:val="FootnoteReference"/>
        </w:rPr>
        <w:footnoteReference w:id="25"/>
      </w:r>
      <w:r>
        <w:t>,</w:t>
      </w:r>
    </w:p>
    <w:p>
      <w:pPr>
        <w:pStyle w:val="NormalHanging12a"/>
      </w:pPr>
      <w:r>
        <w:t>–</w:t>
      </w:r>
      <w:r>
        <w:tab/>
      </w:r>
      <w:r>
        <w:t>έχοντας υπόψη το ψήφισμά του της 10ης Μαρτίου 2022 σχετικά με το σχέδιο δράσης της ΕΕ για θέματα φύλου ΙΙΙ</w:t>
      </w:r>
      <w:r>
        <w:rPr>
          <w:rStyle w:val="FootnoteReference"/>
        </w:rPr>
        <w:footnoteReference w:id="26"/>
      </w:r>
      <w:r>
        <w:t>,</w:t>
      </w:r>
    </w:p>
    <w:p>
      <w:pPr>
        <w:pStyle w:val="NormalHanging12a"/>
      </w:pPr>
      <w:r>
        <w:t>–</w:t>
      </w:r>
      <w:r>
        <w:tab/>
      </w:r>
      <w:r>
        <w:t>έχοντας υπόψη το ψήφισμά του 3ης Μαΐου 2022 σχετικά με την επίτευξη της οικονομικής ανεξαρτησίας των γυναικών μέσω της επιχειρηματικότητας και της αυτοαπασχόλησης</w:t>
      </w:r>
      <w:r>
        <w:rPr>
          <w:rStyle w:val="FootnoteReference"/>
        </w:rPr>
        <w:footnoteReference w:id="27"/>
      </w:r>
      <w:r>
        <w:t>,</w:t>
      </w:r>
    </w:p>
    <w:p>
      <w:pPr>
        <w:pStyle w:val="NormalHanging12a"/>
      </w:pPr>
      <w:r>
        <w:t>–</w:t>
      </w:r>
      <w:r>
        <w:tab/>
      </w:r>
      <w:r>
        <w:t>έχοντας υπόψη το ψήφισμά του της 5ης Ιουλίου 2022 προς μια κοινή ευρωπαϊκή δράση στον τομέα της φροντίδας</w:t>
      </w:r>
      <w:r>
        <w:rPr>
          <w:rStyle w:val="FootnoteReference"/>
        </w:rPr>
        <w:footnoteReference w:id="28"/>
      </w:r>
      <w:r>
        <w:t>,</w:t>
      </w:r>
    </w:p>
    <w:p>
      <w:pPr>
        <w:pStyle w:val="NormalHanging12a"/>
      </w:pPr>
      <w:r>
        <w:t>–</w:t>
      </w:r>
      <w:r>
        <w:tab/>
      </w:r>
      <w:r>
        <w:t>έχοντας υπόψη το ψήφισμά του της 5ης Ιουλίου 2022 σχετικά με τη φτώχεια των γυναικών στην Ευρώπη</w:t>
      </w:r>
      <w:r>
        <w:rPr>
          <w:rStyle w:val="FootnoteReference"/>
        </w:rPr>
        <w:footnoteReference w:id="29"/>
      </w:r>
      <w:r>
        <w:t>,</w:t>
      </w:r>
    </w:p>
    <w:p>
      <w:pPr>
        <w:pStyle w:val="NormalHanging12a"/>
      </w:pPr>
      <w:r>
        <w:t>–</w:t>
      </w:r>
      <w:r>
        <w:tab/>
      </w:r>
      <w:r>
        <w:t>έχοντας υπόψη το ψήφισμά του της 1ης Ιουνίου 2023 σχετικά με την σεξουαλική παρενόχληση στην ΕΕ και αξιολόγηση του κινήματος MeToo</w:t>
      </w:r>
      <w:r>
        <w:rPr>
          <w:rStyle w:val="FootnoteReference"/>
        </w:rPr>
        <w:footnoteReference w:id="30"/>
      </w:r>
      <w:r>
        <w:t>,</w:t>
      </w:r>
    </w:p>
    <w:p>
      <w:pPr>
        <w:pStyle w:val="NormalHanging12a"/>
      </w:pPr>
      <w:r>
        <w:t>–</w:t>
      </w:r>
      <w:r>
        <w:tab/>
      </w:r>
      <w:r>
        <w:t>έχοντας υπόψη το ψήφισμά του της 11ης Απριλίου 2024 σχετικά με την προσθήκη του δικαιώματος στην άμβλωση στον Χάρτη των Θεμελιωδών Δικαιωμάτων της ΕΕ</w:t>
      </w:r>
      <w:r>
        <w:rPr>
          <w:rStyle w:val="FootnoteReference"/>
        </w:rPr>
        <w:footnoteReference w:id="31"/>
      </w:r>
      <w:r>
        <w:t>,</w:t>
      </w:r>
    </w:p>
    <w:p>
      <w:pPr>
        <w:pStyle w:val="NormalHanging12a"/>
      </w:pPr>
      <w:r>
        <w:t>–</w:t>
      </w:r>
      <w:r>
        <w:tab/>
      </w:r>
      <w:r>
        <w:t>έχοντας υπόψη τη σύστασή του της 19ης Δεκεμβρίου 2024 προς το Συμβούλιο σχετικά με τις προτεραιότητες της ΕΕ για την 69η σύνοδο της Επιτροπής του ΟΗΕ για τη Θέση της Γυναίκας</w:t>
      </w:r>
      <w:r>
        <w:rPr>
          <w:rStyle w:val="FootnoteReference"/>
        </w:rPr>
        <w:footnoteReference w:id="32"/>
      </w:r>
      <w:r>
        <w:t>,</w:t>
      </w:r>
    </w:p>
    <w:p>
      <w:pPr>
        <w:pStyle w:val="NormalHanging12a"/>
      </w:pPr>
      <w:r>
        <w:t>–</w:t>
      </w:r>
      <w:r>
        <w:tab/>
      </w:r>
      <w:r>
        <w:t xml:space="preserve">έχοντας υπόψη την έκθεση της 25 Νοεμβρίου 2024, του Οργανισμού Θεμελιωδών Δικαιωμάτων της ΕΕ (FRA), της Eurostat και του Ευρωπαϊκού Ινστιτούτου για την Ισότητα των Φύλων (EIGE) με τίτλο «EU gender-based violence survey: key results» (Έρευνα της ΕΕ για την έμφυλη βία: βασικά αποτελέσματα»), </w:t>
      </w:r>
    </w:p>
    <w:p>
      <w:pPr>
        <w:pStyle w:val="NormalHanging12a"/>
      </w:pPr>
      <w:r>
        <w:t>–</w:t>
      </w:r>
      <w:r>
        <w:tab/>
      </w:r>
      <w:r>
        <w:t>έχοντας υπόψη τον δείκτη ισότητας των φύλων για το 2024 που δημοσίευσε το EIGE στις 10 Δεκεμβρίου 2024,</w:t>
      </w:r>
    </w:p>
    <w:p>
      <w:pPr>
        <w:pStyle w:val="NormalHanging12a"/>
      </w:pPr>
      <w:r>
        <w:t>–</w:t>
      </w:r>
      <w:r>
        <w:tab/>
      </w:r>
      <w:r>
        <w:t>έχοντας υπόψη το άρθρο 55 του Κανονισμού του,</w:t>
      </w:r>
    </w:p>
    <w:p>
      <w:pPr>
        <w:pStyle w:val="NormalHanging12a"/>
      </w:pPr>
      <w:r>
        <w:t>–</w:t>
      </w:r>
      <w:r>
        <w:tab/>
      </w:r>
      <w:r>
        <w:t xml:space="preserve">έχοντας υπόψη τη γνωμοδότηση της </w:t>
      </w:r>
      <w:r>
        <w:t>Επιτροπής Πολιτικών Ελευθεριών, Δικαιοσύνης και Εσωτερικών Υποθέσεων</w:t>
      </w:r>
      <w:r>
        <w:t>,</w:t>
      </w:r>
    </w:p>
    <w:p>
      <w:pPr>
        <w:pStyle w:val="NormalHanging12a"/>
      </w:pPr>
      <w:r>
        <w:t>–</w:t>
      </w:r>
      <w:r>
        <w:tab/>
      </w:r>
      <w:r>
        <w:t>έχοντας υπόψη την έκθεση της Επιτροπής Δικαιωμάτων των Γυναικών και Ισότητας των Φύλων (Α10-0000/2025),</w:t>
      </w:r>
    </w:p>
    <w:p>
      <w:pPr>
        <w:pStyle w:val="NormalHanging12a"/>
      </w:pPr>
      <w:r>
        <w:t>Α.</w:t>
      </w:r>
      <w:r>
        <w:tab/>
      </w:r>
      <w:r>
        <w:t>λαμβάνοντας υπόψη ότι το δικαίωμα στην ίση μεταχείριση συνιστά θεμελιώδες δικαίωμα, κατοχυρωμένο στις Συνθήκες</w:t>
      </w:r>
      <w:r>
        <w:rPr>
          <w:rStyle w:val="FootnoteReference"/>
        </w:rPr>
        <w:footnoteReference w:id="33"/>
      </w:r>
      <w:r>
        <w:t xml:space="preserve"> και τον Χάρτη των Θεμελιωδών Δικαιωμάτων, και ότι είναι ουσιώδες για την περαιτέρω ανάπτυξή του,</w:t>
      </w:r>
    </w:p>
    <w:p>
      <w:pPr>
        <w:pStyle w:val="NormalHanging12a"/>
      </w:pPr>
      <w:r>
        <w:t>Β.</w:t>
      </w:r>
      <w:r>
        <w:tab/>
      </w:r>
      <w:r>
        <w:t>λαμβάνοντας υπόψη ότι η ισότητα των φύλων αποτελεί βασική αξία της ΕΕ, θεμελιώδες δικαίωμα και βασική αρχή του ευρωπαϊκού πυλώνα κοινωνικών δικαιωμάτων καθώς και βασική προϋπόθεση για την πρόοδο·</w:t>
      </w:r>
    </w:p>
    <w:p>
      <w:pPr>
        <w:pStyle w:val="NormalHanging12a"/>
      </w:pPr>
      <w:r>
        <w:t>Γ.</w:t>
      </w:r>
      <w:r>
        <w:tab/>
      </w:r>
      <w:r>
        <w:t>λαμβάνοντας υπόψη ότι η έμφυλη βία εξακολουθεί να αποτελεί ευρέως διαδεδομένο φαινόμενο σε παγκόσμιο επίπεδο, συμπεριλαμβανομένης της ΕΕ, και έχει σοβαρές συνέπειες για τα θύματα και την κοινωνία·</w:t>
      </w:r>
    </w:p>
    <w:p>
      <w:pPr>
        <w:pStyle w:val="NormalHanging12a"/>
      </w:pPr>
      <w:r>
        <w:t>Δ.</w:t>
      </w:r>
      <w:r>
        <w:tab/>
      </w:r>
      <w:r>
        <w:t>λαμβάνοντας υπόψη ότι όλοι στην ΕΕ έχουν δικαίωμα πρόσβασης στα υψηλότερα δυνατά πρότυπα σωματικής και ψυχικής υγείας·</w:t>
      </w:r>
    </w:p>
    <w:p>
      <w:pPr>
        <w:pStyle w:val="NormalHanging12a"/>
      </w:pPr>
      <w:r>
        <w:t>Ε.</w:t>
      </w:r>
      <w:r>
        <w:tab/>
      </w:r>
      <w:r>
        <w:t>λαμβάνοντας υπόψη ότι οι ανισότητες στην αγορά εργασίας και η έλλειψη δίκαιων συνθηκών εργασίας και ασφάλειας για τις εργαζόμενες γυναίκες εξακολουθούν να υφίστανται σε ολόκληρη την ΕΕ, και ότι το υφιστάμενο μισθολογικό χάσμα μεταξύ των φύλων είναι, σε μεγάλο βαθμό, συνέπεια της συστηματικής υποτίμησης της εργασίας που εκτελείται σε γυναικοκρατούμενους τομείς· λαμβάνοντας υπόψη ότι, για τον λόγο αυτό, πρέπει να αντιμετωπιστεί το ζήτημα της «ίσης αμοιβής για εργασία ίσης αξίας» προκειμένου να γεφυρωθεί το μισθολογικό χάσμα μεταξύ των φύλων·</w:t>
      </w:r>
    </w:p>
    <w:p>
      <w:pPr>
        <w:pStyle w:val="NormalHanging12a"/>
      </w:pPr>
      <w:r>
        <w:t>ΣΤ.</w:t>
      </w:r>
      <w:r>
        <w:tab/>
      </w:r>
      <w:r>
        <w:t>λαμβάνοντας υπόψη ότι οι αναδυόμενες ψηφιακές τεχνολογίες αποτελούν παράγοντα κινδύνου για την ισότητα των φύλων και θα μπορούσαν να διαιωνίσουν και να εμβαθύνουν τα υφιστάμενα πρότυπα ανισοτήτων μεταξύ των φύλων, διακρίσεων και βίας κατά των γυναικών και των κοριτσιών·</w:t>
      </w:r>
    </w:p>
    <w:p>
      <w:pPr>
        <w:pStyle w:val="NormalHanging12a"/>
      </w:pPr>
      <w:r>
        <w:t>Ζ.</w:t>
      </w:r>
      <w:r>
        <w:tab/>
      </w:r>
      <w:r>
        <w:t>λαμβάνοντας υπόψη ότι, σε ολόκληρη την ΕΕ, τα καθήκοντα φροντίδας ασκούνται σε δυσανάλογο βαθμό από γυναίκες, γεγονός που συμβάλλει στις ανισότητες·</w:t>
      </w:r>
    </w:p>
    <w:p>
      <w:pPr>
        <w:pStyle w:val="NormalHanging12a"/>
      </w:pPr>
      <w:r>
        <w:t>Η.</w:t>
      </w:r>
      <w:r>
        <w:tab/>
      </w:r>
      <w:r>
        <w:t>λαμβάνοντας υπόψη ότι, σύμφωνα με έρευνες, οι γυναίκες υποεκπροσωπούνται σε όλα τα επίπεδα λήψης οικονομικών και πολιτικών αποφάσεων σε ολόκληρο τον κόσμο, και ότι η επίτευξη ισότητας των φύλων στον πολιτικό βίο αποτελεί μακρινή προοπτική·</w:t>
      </w:r>
    </w:p>
    <w:p>
      <w:pPr>
        <w:pStyle w:val="NormalHanging12a"/>
      </w:pPr>
      <w:r>
        <w:t>Θ.</w:t>
      </w:r>
      <w:r>
        <w:tab/>
      </w:r>
      <w:r>
        <w:t>λαμβάνοντας υπόψη ότι πολλές γυναίκες και ευάλωτες ομάδες, συμπεριλαμβανομένων των ατόμων με αναπηρία, των ατόμων από μειονεκτούντα κοινωνικοοικονομικά περιβάλλοντα, των ατόμων που αντιμετωπίζουν φυλετικές διακρίσεις, των ατόμων που προέρχονται από εθνοτικά, μειονοτικά ή μεταναστευτικά περιβάλλοντα, των ηλικιωμένων και των ατόμων ΛΟΑΤΚΙ+, αντιμετωπίζουν διασταυρούμενες ανισότητες και διακρίσεις στην ΕΕ·</w:t>
      </w:r>
    </w:p>
    <w:p>
      <w:pPr>
        <w:pStyle w:val="NormalHanging12a"/>
      </w:pPr>
      <w:r>
        <w:t>Ι.</w:t>
      </w:r>
      <w:r>
        <w:tab/>
      </w:r>
      <w:r>
        <w:t>λαμβάνοντας υπόψη ότι ο χάρτης πορείας για τα δικαιώματα των γυναικών επιβεβαιώνει την ισχυρή δέσμευση της ΕΕ για τη διασφάλιση και την προώθηση της ισότητας των φύλων και των δικαιωμάτων των γυναικών, περιγράφοντας τις αρχές και το μακροπρόθεσμο όραμα για την πρόοδο, στο οποίο θα βασιστεί η στρατηγική για την ισότητα των φύλων μετά το 2025·</w:t>
      </w:r>
    </w:p>
    <w:p>
      <w:pPr>
        <w:pStyle w:val="NormalHanging12a"/>
      </w:pPr>
      <w:r>
        <w:t>1.</w:t>
      </w:r>
      <w:r>
        <w:tab/>
      </w:r>
      <w:r>
        <w:t>καλεί την Επιτροπή να παρουσιάσει μια φιλόδοξη στρατηγική για την ισότητα των φύλων για το διάστημα 2026-2030 με συγκεκριμένα, απτά νομοθετικά και μη νομοθετικά μέτρα στους βασικούς τομείς που περιγράφονται στη συνέχεια·</w:t>
      </w:r>
    </w:p>
    <w:p>
      <w:pPr>
        <w:pStyle w:val="Normal12a24b"/>
      </w:pPr>
      <w:r>
        <w:rPr>
          <w:rStyle w:val="BoldItalic"/>
        </w:rPr>
        <w:t>Έμφυλη βία</w:t>
      </w:r>
    </w:p>
    <w:p>
      <w:pPr>
        <w:pStyle w:val="NormalHanging12a"/>
      </w:pPr>
      <w:r>
        <w:t>2.</w:t>
      </w:r>
      <w:r>
        <w:tab/>
      </w:r>
      <w:r>
        <w:t>καλεί την Επιτροπή να χαρακτηρίσει την έμφυλη βία ως νέο τομέα εγκληματικότητας και να τη συμπεριλάβει στον κατάλογο του άρθρου 83 παράγραφος 1 ΣΛΕΕ για την αποτελεσματική καταπολέμηση κάθε μορφής βίας κατά των γυναικών και των κοριτσιών, δεδομένου ότι συνιστά μία από τις πιο διαδεδομένες παραβιάσεις των θεμελιωδών δικαιωμάτων στην ΕΕ·</w:t>
      </w:r>
    </w:p>
    <w:p>
      <w:pPr>
        <w:pStyle w:val="NormalHanging12a"/>
      </w:pPr>
      <w:r>
        <w:t>3.</w:t>
      </w:r>
      <w:r>
        <w:tab/>
      </w:r>
      <w:r>
        <w:t>παροτρύνει την Επιτροπή να αναγνωρίσει τη γυναικοκτονία ως χωριστό έγκλημα·</w:t>
      </w:r>
    </w:p>
    <w:p>
      <w:pPr>
        <w:pStyle w:val="NormalHanging12a"/>
      </w:pPr>
      <w:r>
        <w:t>4.</w:t>
      </w:r>
      <w:r>
        <w:tab/>
      </w:r>
      <w:r>
        <w:t>καλεί την Επιτροπή να παρακολουθεί και να ενθαρρύνει την ταχεία μεταφορά της οδηγίας (ΕΕ) 2024/1385 για την καταπολέμηση της βίας κατά των γυναικών και της εξ οικείων βίας, και να υποβάλει τη σύστασή της σχετικά με την πρόληψη επιβλαβών πρακτικών κατά των γυναικών και των κοριτσιών·</w:t>
      </w:r>
    </w:p>
    <w:p>
      <w:pPr>
        <w:pStyle w:val="NormalHanging12a"/>
      </w:pPr>
      <w:r>
        <w:t>5.</w:t>
      </w:r>
      <w:r>
        <w:tab/>
      </w:r>
      <w:r>
        <w:t>καλεί την Επιτροπή να προτείνει νομοθεσία της ΕΕ για την ποινικοποίηση του βιασμού με βάση την έλλειψη συναίνεσης· επαναλαμβάνει ότι ο βιασμός δεν συνιστά μόνο παραβίαση των θεμελιωδών δικαιωμάτων και της σωματικής αυτονομίας των γυναικών, αλλά και μορφή σεξουαλικής εκμετάλλευσης γυναικών και κοριτσιών·</w:t>
      </w:r>
    </w:p>
    <w:p>
      <w:pPr>
        <w:pStyle w:val="Normal12a24b"/>
      </w:pPr>
      <w:r>
        <w:rPr>
          <w:rStyle w:val="BoldItalic"/>
        </w:rPr>
        <w:t xml:space="preserve">Ολοκληρωμένη και ευαισθητοποιημένη ως προς τη διάσταση του φύλου υγειονομική περίθαλψη  </w:t>
      </w:r>
    </w:p>
    <w:p>
      <w:pPr>
        <w:pStyle w:val="NormalHanging12a"/>
      </w:pPr>
      <w:r>
        <w:t>6.</w:t>
      </w:r>
      <w:r>
        <w:tab/>
      </w:r>
      <w:r>
        <w:t>παροτρύνει την Επιτροπή να διασφαλίσει την καθολική πρόσβαση των γυναικών και των κοριτσιών σε ευαισθητοποιημένη ως προς τη διάσταση του φύλου υγειονομική περίθαλψη·</w:t>
      </w:r>
    </w:p>
    <w:p>
      <w:pPr>
        <w:pStyle w:val="NormalHanging12a"/>
      </w:pPr>
      <w:r>
        <w:t>7.</w:t>
      </w:r>
      <w:r>
        <w:tab/>
      </w:r>
      <w:r>
        <w:t>καλεί την Επιτροπή να αντιμετωπίσει, σε επίπεδο ΕΕ, τα εμπόδια στην πρόσβαση των γυναικών στην υγειονομική περίθαλψη σε όλη τους την πολυμορφία·</w:t>
      </w:r>
    </w:p>
    <w:p>
      <w:pPr>
        <w:pStyle w:val="NormalHanging12a"/>
      </w:pPr>
      <w:r>
        <w:t>8.</w:t>
      </w:r>
      <w:r>
        <w:tab/>
      </w:r>
      <w:r>
        <w:t>καλεί την Επιτροπή να διασφαλίσει πλήρη και ισότιμη πρόσβαση σε υπηρεσίες σεξουαλικής και αναπαραγωγικής υγειονομικής περίθαλψης, συμπεριλαμβανομένου του δικαιώματος σε ασφαλή και νόμιμη άμβλωση, για τις γυναίκες και τα κορίτσια σε όλη τους την πολυμορφία·</w:t>
      </w:r>
    </w:p>
    <w:p>
      <w:pPr>
        <w:pStyle w:val="Normal12a24b"/>
      </w:pPr>
      <w:r>
        <w:rPr>
          <w:rStyle w:val="BoldItalic"/>
        </w:rPr>
        <w:t xml:space="preserve">Ισότητα των φύλων και χειραφέτηση των γυναικών στον κόσμο της εργασίας </w:t>
      </w:r>
    </w:p>
    <w:p>
      <w:pPr>
        <w:pStyle w:val="NormalHanging12a"/>
      </w:pPr>
      <w:r>
        <w:t>9.</w:t>
      </w:r>
      <w:r>
        <w:tab/>
      </w:r>
      <w:r>
        <w:t>καλεί την Επιτροπή να παρακολουθεί και να ενθαρρύνει την ταχεία μεταφορά των οδηγιών για επαρκείς κατώτατους μισθούς</w:t>
      </w:r>
      <w:r>
        <w:rPr>
          <w:rStyle w:val="FootnoteReference"/>
        </w:rPr>
        <w:footnoteReference w:id="34"/>
      </w:r>
      <w:r>
        <w:t>, για τη μισθολογική διαφάνεια</w:t>
      </w:r>
      <w:r>
        <w:rPr>
          <w:rStyle w:val="FootnoteReference"/>
        </w:rPr>
        <w:footnoteReference w:id="35"/>
      </w:r>
      <w:r>
        <w:t xml:space="preserve"> και τις γυναίκες στα διοικητικά συμβούλια</w:t>
      </w:r>
      <w:r>
        <w:rPr>
          <w:rStyle w:val="FootnoteReference"/>
        </w:rPr>
        <w:footnoteReference w:id="36"/>
      </w:r>
      <w:r>
        <w:t>·</w:t>
      </w:r>
    </w:p>
    <w:p>
      <w:pPr>
        <w:pStyle w:val="NormalHanging12a"/>
      </w:pPr>
      <w:r>
        <w:t>10.</w:t>
      </w:r>
      <w:r>
        <w:tab/>
      </w:r>
      <w:r>
        <w:t>παροτρύνει την Επιτροπή να αναπτύξει κατευθυντήριες γραμμές που να επιτρέπουν τον ορισμό και τη σύγκριση της «αξίας της εργασίας» σε επίπεδο ΕΕ, και να θεσπίσει χωρίς καθυστέρηση ουδέτερα ως προς το φύλο εργαλεία και κριτήρια αξιολόγησης των θέσεων εργασίας με στόχο την καλύτερη αξιολόγηση και τη δικαιότερη αμοιβή της εργασίας που εκτελείται σε γυναικοκρατούμενους τομείς·</w:t>
      </w:r>
    </w:p>
    <w:p>
      <w:pPr>
        <w:pStyle w:val="Normal12a24b"/>
      </w:pPr>
      <w:r>
        <w:rPr>
          <w:rStyle w:val="BoldItalic"/>
        </w:rPr>
        <w:t>Δικαιώματα των γυναικών και ισότητα των φύλων στην εκπαίδευση, την κατάρτιση και τον ψηφιακό τομέα</w:t>
      </w:r>
    </w:p>
    <w:p>
      <w:pPr>
        <w:pStyle w:val="NormalHanging12a"/>
      </w:pPr>
      <w:r>
        <w:t>11.</w:t>
      </w:r>
      <w:r>
        <w:tab/>
      </w:r>
      <w:r>
        <w:t>παροτρύνει την Επιτροπή να διασφαλίσει συμπεριληπτική ως προς το φύλο πρόσβαση σε όλα τα επίπεδα εκπαίδευσης και να αναπτύξει πρότυπα υψηλής ποιότητας για το εκπαιδευτικό υλικό που προωθεί την ισότητα των φύλων και εξαλείφει τα έμφυλα στερεότυπα, συμπεριλαμβανομένης της προώθησης της ολοκληρωμένης σεξουαλικής διαπαιδαγώγησης και της συναίνεσης·</w:t>
      </w:r>
    </w:p>
    <w:p>
      <w:pPr>
        <w:pStyle w:val="NormalHanging12a"/>
      </w:pPr>
      <w:r>
        <w:t>12.</w:t>
      </w:r>
      <w:r>
        <w:tab/>
      </w:r>
      <w:r>
        <w:t>καλεί την Επιτροπή να αναπτύξει και να εγκρίνει πολιτική μηδενικής ανοχής στο ψηφιακό περιβάλλον όσον αφορά όλες τις μορφές έμφυλης βίας, τις επιβλαβείς συμπεριφορές και τα αφηγήματα που υπονομεύουν και απαξιώνουν την έκφραση των γυναικών και των κοριτσιών εντός και εκτός διαδικτύου, και να δώσει προτεραιότητα σε προληπτικά μέτρα και διασφαλίσεις σε όλους τους τομείς ψηφιακής πολιτικής·</w:t>
      </w:r>
    </w:p>
    <w:p>
      <w:pPr>
        <w:pStyle w:val="Normal12a24b"/>
      </w:pPr>
      <w:r>
        <w:rPr>
          <w:rStyle w:val="BoldItalic"/>
        </w:rPr>
        <w:t>Συμφιλίωση της ιδιωτικής και της επαγγελματικής ζωής</w:t>
      </w:r>
    </w:p>
    <w:p>
      <w:pPr>
        <w:pStyle w:val="NormalHanging12a"/>
      </w:pPr>
      <w:r>
        <w:t>13.</w:t>
      </w:r>
      <w:r>
        <w:tab/>
      </w:r>
      <w:r>
        <w:t>καλεί την Επιτροπή να αναπτύξει την ευρωπαϊκή στρατηγική για τη φροντίδα με τρόπο ώστε να μετεξελιχθεί σε μια ολοκληρωμένη ευρωπαϊκή συμφωνία για τη φροντίδα, εξοπλισμένη με δεσμευτικά νομοθετικά και χρηματοδοτικά εργαλεία για την πραγματοποίηση επενδύσεων σε προσβάσιμες, οικονομικά προσιτές και υψηλής ποιότητας υπηρεσίες παιδικής και μακροχρόνιας φροντίδας·</w:t>
      </w:r>
    </w:p>
    <w:p>
      <w:pPr>
        <w:pStyle w:val="NormalHanging12a"/>
      </w:pPr>
      <w:r>
        <w:t>14.</w:t>
      </w:r>
      <w:r>
        <w:tab/>
      </w:r>
      <w:r>
        <w:t>τονίζει την ανάγκη να επιδιωχθεί ένα μοντέλο ισότητας μεταξύ αμειβόμενης εργασίας και εργασίας παροχής φροντίδας στην ΕΕ, να αναθεωρηθούν και να προσαρμοστούν οι στόχοι της Βαρκελώνης για τον σκοπό αυτό, καθώς και να αναπτυχθούν περαιτέρω τα μέτρα για την άδεια μητρότητας και πατρότητας με στόχο την επίτευξη πιο ισότιμης ισόρροπης εκπροσώπησης των φύλων όσον αφορά τις ευθύνες φροντίδας·</w:t>
      </w:r>
    </w:p>
    <w:p>
      <w:pPr>
        <w:pStyle w:val="Normal12a24b"/>
      </w:pPr>
      <w:r>
        <w:rPr>
          <w:rStyle w:val="BoldItalic"/>
        </w:rPr>
        <w:t xml:space="preserve">Ίση εκπροσώπηση και πολιτική συμμετοχή </w:t>
      </w:r>
    </w:p>
    <w:p>
      <w:pPr>
        <w:pStyle w:val="NormalHanging12a"/>
      </w:pPr>
      <w:r>
        <w:t>15.</w:t>
      </w:r>
      <w:r>
        <w:tab/>
      </w:r>
      <w:r>
        <w:t>παροτρύνει την Επιτροπή να επιβάλει νομοθετικές ποσοστώσεις φύλου και εκλογικούς καταλόγους βάσει zipping για όλες τις εκλογές με γνώμονα την ισότητα των φύλων, και να διασφαλίσει τη θεσμική ισότητα των φύλων σε όλα τα επίπεδα λήψης αποφάσεων·</w:t>
      </w:r>
    </w:p>
    <w:p>
      <w:pPr>
        <w:pStyle w:val="Normal12a24b"/>
      </w:pPr>
      <w:r>
        <w:rPr>
          <w:rStyle w:val="BoldItalic"/>
        </w:rPr>
        <w:t>Φεμινιστική εξωτερική πολιτική</w:t>
      </w:r>
    </w:p>
    <w:p>
      <w:pPr>
        <w:pStyle w:val="NormalHanging12a"/>
      </w:pPr>
      <w:r>
        <w:t>16.</w:t>
      </w:r>
      <w:r>
        <w:tab/>
      </w:r>
      <w:r>
        <w:t>καλεί την Επιτροπή να προωθήσει μια εξωτερική πολιτική, πολιτική ασφάλειας, εμπορίου και ανάπτυξης που να δίνει προτεραιότητα στην ισότητα των φύλων και να βασίζεται στο τρίπτυχο «δικαιώματα, εκπροσώπηση και πόροι»·</w:t>
      </w:r>
    </w:p>
    <w:p>
      <w:pPr>
        <w:pStyle w:val="Normal12a24b"/>
      </w:pPr>
      <w:r>
        <w:rPr>
          <w:rStyle w:val="Italic"/>
        </w:rPr>
        <w:t>Αντιμετώπιση των κινημάτων κατά της ισότητας των φύλων</w:t>
      </w:r>
    </w:p>
    <w:p>
      <w:pPr>
        <w:pStyle w:val="NormalHanging12a"/>
      </w:pPr>
      <w:r>
        <w:t>17.</w:t>
      </w:r>
      <w:r>
        <w:tab/>
      </w:r>
      <w:r>
        <w:t>παροτρύνει την Επιτροπή να αναπτύξει ένα ολοκληρωμένο εργαλείο για την παρακολούθηση και την αντιμετώπιση της δημοκρατικής οπισθοδρόμησης και της εναντίωσης στα δικαιώματα των γυναικών, φαινόμενα άρρηκτα διασυνδεδεμένα, και να διασφαλίσει ότι η ισότητα των φύλων θα παραμείνει προτεραιότητα σε ολόκληρη την ΕΕ·</w:t>
      </w:r>
    </w:p>
    <w:p>
      <w:pPr>
        <w:pStyle w:val="Normal12a24b"/>
      </w:pPr>
      <w:r>
        <w:rPr>
          <w:rStyle w:val="Italic"/>
        </w:rPr>
        <w:t>Εγκάρσια μέσα για την επίτευξη της ισότητας των φύλων</w:t>
      </w:r>
    </w:p>
    <w:p>
      <w:pPr>
        <w:pStyle w:val="NormalHanging12a"/>
      </w:pPr>
      <w:r>
        <w:t>18.</w:t>
      </w:r>
      <w:r>
        <w:tab/>
      </w:r>
      <w:r>
        <w:t>επαναλαμβάνει ότι όλες οι προσπάθειες για την επίτευξη προόδου όσον αφορά την ισότητα των φύλων πρέπει να καταβάλλονται με πλήρη σεβασμό των αρχών της διατομεακότητας και της ενσωμάτωσης της διάστασης του φύλου·</w:t>
      </w:r>
    </w:p>
    <w:p>
      <w:pPr>
        <w:pStyle w:val="NormalHanging12a"/>
      </w:pPr>
      <w:r>
        <w:t>19.</w:t>
      </w:r>
      <w:r>
        <w:tab/>
      </w:r>
      <w:r>
        <w:t>καλεί την Επιτροπή να διασφαλίσει και να αναπτύξει περαιτέρω την εφαρμογή της ενσωμάτωσης της διάστασης του φύλου στις δομές, τις μεθόδους και τα εργαλεία της, και να διασφαλίσει επίσης ότι η διάσταση του φύλου θα ενσωματωθεί σε όλες τις προτάσεις της Επιτροπής, συμπεριλαμβανομένων όλων των διαδικασιών του προϋπολογισμού·</w:t>
      </w:r>
    </w:p>
    <w:p>
      <w:pPr>
        <w:pStyle w:val="NormalHanging12a"/>
      </w:pPr>
      <w:r>
        <w:t>20.</w:t>
      </w:r>
      <w:r>
        <w:tab/>
      </w:r>
      <w:r>
        <w:t>παροτρύνει την Επιτροπή να χρησιμοποιήσει και να αναπτύξει περαιτέρω τη διατομεακότητα ως οριζόντια αρχή στη νέα στρατηγική για την ισότητα των φύλων·</w:t>
      </w:r>
    </w:p>
    <w:p>
      <w:pPr>
        <w:pStyle w:val="NormalCenter12a"/>
      </w:pPr>
      <w:r>
        <w:t>°</w:t>
      </w:r>
    </w:p>
    <w:p>
      <w:pPr>
        <w:pStyle w:val="NormalCenter12a"/>
      </w:pPr>
      <w:r>
        <w:t>°</w:t>
      </w:r>
      <w:r>
        <w:tab/>
      </w:r>
      <w:r>
        <w:t>°</w:t>
      </w:r>
    </w:p>
    <w:p>
      <w:pPr>
        <w:pStyle w:val="NormalHanging12a"/>
      </w:pPr>
      <w:r>
        <w:t>21.</w:t>
      </w:r>
      <w:r>
        <w:tab/>
      </w:r>
      <w:r>
        <w:t>αναθέτει στην Πρόεδρό του να διαβιβάσει το παρόν ψήφισμα στο Συμβούλιο και στην Επιτροπή.</w:t>
      </w:r>
    </w:p>
    <w:p>
      <w:pPr>
        <w:pStyle w:val="NormalHanging12a"/>
        <w:sectPr>
          <w:footerReference w:type="even" r:id="rId9"/>
          <w:footerReference w:type="default" r:id="rId10"/>
          <w:footerReference w:type="first" r:id="rId11"/>
          <w:footnotePr>
            <w:numRestart w:val="eachSect"/>
          </w:footnotePr>
          <w:pgSz w:w="11906" w:h="16838"/>
          <w:pgMar w:top="1134" w:right="1417" w:bottom="1417" w:left="1417" w:header="1134" w:footer="567" w:gutter="0"/>
          <w:cols w:num="1" w:space="708"/>
          <w:titlePg/>
          <w:docGrid w:linePitch="360"/>
        </w:sectPr>
      </w:pPr>
    </w:p>
    <w:p>
      <w:pPr>
        <w:pStyle w:val="PageHeading"/>
      </w:pPr>
      <w:bookmarkStart w:id="1" w:name="_Toc256000004"/>
      <w:r>
        <w:t>ΑΙΤΙΟΛΟΓΙΚΗ ΕΚΘΕΣΗ</w:t>
      </w:r>
      <w:bookmarkEnd w:id="1"/>
    </w:p>
    <w:p>
      <w:pPr>
        <w:pStyle w:val="Normal12a"/>
      </w:pPr>
      <w:r>
        <w:t>Η ισότητα των φύλων αποτελεί μία από τις βασικές αξίες της Ευρωπαϊκής Ένωσης η οποία, όπως και τα δικαιώματα των γυναικών αποτελεί απαραίτητο και αναπόσπαστο μέρος των ανθρωπίνων δικαιωμάτων. Αποτελούν τη βάση και τον σκοπό του κράτους δικαίου σε εθνικό, ευρωπαϊκό και διεθνές επίπεδο, καθώς και τους πλέον κατάλληλους και συναφείς δείκτες υγείας και ανθεκτικότητας των δημοκρατιών μας.</w:t>
      </w:r>
    </w:p>
    <w:p>
      <w:pPr>
        <w:pStyle w:val="Normal12a"/>
      </w:pPr>
      <w:r>
        <w:t>Στο σημερινό γεωπολιτικό πλαίσιο και στις σημερινές παγκόσμιες διαδικασίες, είναι πλέον πιο σημαντικό από ποτέ να προταθεί ένα φιλόδοξο θεματολόγιο για τα δικαιώματα των γυναικών και την ισότητα των φύλων και, κατά συνέπεια, η παρούσα έκθεση έρχεται σε μια κρίσιμη στιγμή για την Ευρωπαϊκή Ένωση. Η νέα ευρωπαϊκή στρατηγική για την ισότητα των φύλων μετά το 2025 πρέπει να τηρεί τα πρότυπα που καθορίστηκαν τα προηγούμενα έτη και να προχωρήσει με μια ολοκληρωμένη προσπάθεια για την επίτευξη της ισότητας των φύλων σε όλα τα επίπεδα και σε όλους τους τομείς, για όλους τους ανθρώπους χωρίς καμία διάκριση.</w:t>
      </w:r>
      <w:r>
        <w:rPr>
          <w:rStyle w:val="Bold"/>
        </w:rPr>
        <w:t xml:space="preserve"> </w:t>
      </w:r>
      <w:r>
        <w:t>Επιπλέον, η νέα στρατηγική πρέπει να αναλάβει αποφασιστική δράση για την εφαρμογή της νομοθεσίας που εγκρίθηκε στο παρελθόν.</w:t>
      </w:r>
      <w:r>
        <w:rPr>
          <w:rStyle w:val="Bold"/>
        </w:rPr>
        <w:t xml:space="preserve"> </w:t>
      </w:r>
    </w:p>
    <w:p>
      <w:pPr>
        <w:pStyle w:val="Normal12a"/>
      </w:pPr>
      <w:r>
        <w:t>Η νέα στρατηγική θα τεθεί σε εφαρμογή σε μια εποχή κατά την οποία τα κινήματα κατά της ισότητας των φύλων και της δημοκρατίας βρίσκονται σε άνοδο και, επομένως, το κείμενο, το οποίο θα υποβάλει η Επιτροπή, πρέπει να αντικατοπτρίζει σαφή θεσμική προσήλωση και συγκεκριμένες δεσμεύσεις για την προστασία και την περαιτέρω ανάπτυξη του πλαισίου για την ισότητα των φύλων και, κατά συνέπεια, για τη διασφάλιση της δημοκρατίας μας.</w:t>
      </w:r>
      <w:r>
        <w:rPr>
          <w:rStyle w:val="Bold"/>
        </w:rPr>
        <w:t xml:space="preserve"> </w:t>
      </w:r>
      <w:r>
        <w:t>Δεν υπάρχει δημοκρατία χωρίς ισότιμη και ισχυρή συμμετοχή και ενεργό δέσμευση των γυναικών και των κοριτσιών και όσοι προσπαθούν να εξαρθρώσουν το θεσμικό μας πλαίσιο είναι εκείνοι που επιτίθενται στα δικαιώματα των γυναικών. Τα θεματολόγια αυτά είναι αλληλένδετα, με αποτέλεσμα να απαιτούν απάντηση σε ευρωπαϊκό επίπεδο. Η απάντηση αυτή πρέπει να δοθεί σε όλους τους τομείς πολιτικής, σε όλα τα επίπεδα, με σαφή ενσωμάτωση της διάστασης του φύλου σε όλες τις εργασίες μας.</w:t>
      </w:r>
    </w:p>
    <w:p>
      <w:pPr>
        <w:pStyle w:val="Normal12a"/>
      </w:pPr>
      <w:r>
        <w:t>Ο σημερινός κόσμος έχει αλλάξει σημαντικά από την εποχή της έγκρισης της τελευταίας στρατηγικής για την ισότητα των φύλων</w:t>
      </w:r>
      <w:r>
        <w:rPr>
          <w:rStyle w:val="FootnoteReference"/>
        </w:rPr>
        <w:footnoteReference w:id="37"/>
      </w:r>
      <w:r>
        <w:t xml:space="preserve"> και οι νέοι τομείς πρέπει να αντιμετωπιστούν με κατάλληλο τρόπο: από τη βία και την παρενόχληση κατά των γυναικών και των κοριτσιών στην ψηφιακή σφαίρα και στον κόσμο της εργασίας έως την ανάγκη για μια φεμινιστική εξωτερική πολιτική για την οικοδόμηση της ειρήνης και την προστασία της σεξουαλικής και αναπαραγωγικής υγείας και των συναφών δικαιωμάτων, συμπεριλαμβανομένης της πρόσβασης σε ασφαλή και νόμιμη άμβλωση, ως θεμελιωδών ανθρωπίνων δικαιωμάτων. Πρέπει επίσης να συμπεριλάβουμε μια διατομεακή προσέγγιση στις πολιτικές μας, καθώς γνωρίζουμε καλά ότι ορισμένες ομάδες, όπως π.χ. οι μετανάστριες, τα άτομα ΛΟΑΤΚΙ, οι γυναίκες Ρομά ή οι γυναίκες με αναπηρία στην ΕΕ, αντιμετωπίζουν πολλαπλές διασταυρούμενες μορφές διακρίσεων. Εναπόκειται σε εμάς να τις αντιμετωπίσουμε κατάλληλα και γρήγορα.</w:t>
      </w:r>
    </w:p>
    <w:p>
      <w:pPr>
        <w:pStyle w:val="Normal12a"/>
      </w:pPr>
      <w:r>
        <w:t>Αν και ο χάρτης πορείας για τα δικαιώματα των γυναικών</w:t>
      </w:r>
      <w:r>
        <w:rPr>
          <w:rStyle w:val="FootnoteReference"/>
        </w:rPr>
        <w:footnoteReference w:id="38"/>
      </w:r>
      <w:r>
        <w:t xml:space="preserve"> που παρουσιάστηκε πρόσφατα αποτελεί ένα βήμα προς τη σωστή κατεύθυνση, δεδομένου ότι αναγνωρίζει πολλά ζητήματα που αντιμετωπίζουμε σήμερα όταν μιλάμε για τα δικαιώματα των γυναικών, πρέπει να γίνει ένα βήμα προόδου στο πλαίσιο της νέας στρατηγικής για την ισότητα των φύλων με συγκεκριμένα, νομοθετικά και μη νομοθετικά μέτρα που να αποσκοπούν στη δημιουργία μιας κοινωνίας με πραγματική ισότητα των φύλων.</w:t>
      </w:r>
    </w:p>
    <w:p>
      <w:pPr>
        <w:pStyle w:val="Normal12a"/>
      </w:pPr>
      <w:r>
        <w:t>Ως έμφυλη βία νοείται, σύμφωνα με τον ορισμό του Ευρωπαϊκού Ινστιτούτου για την Ισότητα των Φύλων, κάθε μορφή βίας που βασίζεται στο φύλο ενός ατόμου, από τη σωματική έως την ψυχολογική, την οικονομική και την αναπαραγωγική βία και, ενώ οποιοσδήποτε μπορεί να είναι θύμα έμφυλης βίας, η συντριπτική πλειοψηφία των θυμάτων είναι γυναίκες</w:t>
      </w:r>
      <w:r>
        <w:rPr>
          <w:rStyle w:val="FootnoteReference"/>
        </w:rPr>
        <w:footnoteReference w:id="39"/>
      </w:r>
      <w:r>
        <w:t>. Η πιο πρόσφατη Θεματική Εστίαση του Δείκτη Ισότητας των Φύλων</w:t>
      </w:r>
      <w:r>
        <w:rPr>
          <w:rStyle w:val="FootnoteReference"/>
        </w:rPr>
        <w:footnoteReference w:id="40"/>
      </w:r>
      <w:r>
        <w:t xml:space="preserve"> αφορούσε ειδικά την έμφυλη βία και τα στοιχεία δείχνουν ότι το 31 % των γυναικών στην ΕΕ έχουν υποστεί σωματική και/ή σεξουαλική βία από την ηλικία των 15 ετών. Αυτό δείχνει ότι, παρόλο που έχει σημειωθεί τόσο νομοθετική όσο και μη νομοθετική πρόοδος στην ΕΕ</w:t>
      </w:r>
      <w:r>
        <w:rPr>
          <w:rStyle w:val="FootnoteReference"/>
        </w:rPr>
        <w:footnoteReference w:id="41"/>
      </w:r>
      <w:r>
        <w:t>, η έμφυλη βία παραμένει μία από τις βασικές προκλήσεις που εμποδίζουν μια πραγματική κοινωνία με ισότητα των φύλων, εξακολουθεί να είναι πολύ διαδεδομένη σε ολόκληρη την Ένωση και πρέπει να αντιμετωπιστεί περαιτέρω σε ευρωπαϊκό επίπεδο και να οριστεί σαφώς ως έγκλημα της ΕΕ. Τα πρόσφατα στοιχεία δείχνουν ότι η εφαρμογή της ισχύουσας νομοθεσίας, όπως π.χ. της οδηγίας για την καταπολέμηση της βίας κατά των γυναικών και της εξ οικείων βίας, αποτελεί πιεστικό ζήτημα και πρέπει να παρακολουθείται και να καθοδηγείται επαρκώς. Υπάρχει επίσης ανάγκη επαναπροσδιορισμού και περαιτέρω ανάπτυξης ορισμένων πτυχών του προηγούμενου νομοθετικού έργου, όπως οι ορισμοί που βασίζονται στη συναίνεση, η προσθήκη του βιασμού στον κατάλογο των εγκλημάτων της ΕΕ, καθώς και η αναγνώριση της γυναικοκτονίας ως αδικήματος διαφορετικού από την ανθρωποκτονία, αλλά και ανάδειξης ορισμένων από τις λιγότερο γνωστές κατηγορίες έμφυλης βίας, όπως π.χ. η μαιευτική βία και η άρνηση περίθαλψης μετά την άμβλωση. Θα θέλαμε επίσης να σημειωθεί πρόοδος όσον αφορά τις συστάσεις για τις επιβλαβείς πρακτικές.</w:t>
      </w:r>
    </w:p>
    <w:p>
      <w:pPr>
        <w:pStyle w:val="Normal12a"/>
      </w:pPr>
      <w:r>
        <w:t>Όλοι στην Ευρωπαϊκή Ένωση έχουν δικαίωμα πρόσβασης στα υψηλότερα δυνατά πρότυπα σωματικής και ψυχικής υγείας και πρέπει να διασφαλίζεται υψηλό επίπεδο προστασίας της ανθρώπινης υγείας κατά τον καθορισμό και την εφαρμογή όλων των πολιτικών και δραστηριοτήτων της Ένωσης</w:t>
      </w:r>
      <w:r>
        <w:rPr>
          <w:rStyle w:val="FootnoteReference"/>
        </w:rPr>
        <w:footnoteReference w:id="42"/>
      </w:r>
      <w:r>
        <w:t>. Το δικαίωμα πρόσβασης στην υγειονομική περίθαλψη κατοχυρώνεται στην αρχή 16 του ευρωπαϊκού πυλώνα κοινωνικών δικαιωμάτων και στο σχέδιο δράσης ενθαρρύνουμε τα κράτη μέλη να αντιμετωπίσουν τις ανισότητες στον τομέα της υγείας. Ο δείκτης ισότητας των φύλων δείχνει αργή πρόοδο όσον αφορά την ισότητα των φύλων στον τομέα της υγείας, με τα ποσοστά των γυναικών και των ανδρών που θεωρούν την υγεία τους πολύ καλή ή καλή να μειώνονται στα δύο τρίτα των κρατών μελών, ενώ για πολλές παθήσεις που είναι ευαίσθητες ως προς το βιολογικό και το κοινωνικό φύλο δεν υπάρχουν επαρκής έρευνα, χρηματοδότηση και πόροι, συμπεριλαμβανομένης της ιεράρχησης προτεραιοτήτων</w:t>
      </w:r>
      <w:r>
        <w:rPr>
          <w:rStyle w:val="FootnoteReference"/>
        </w:rPr>
        <w:footnoteReference w:id="43"/>
      </w:r>
      <w:r>
        <w:t>.</w:t>
      </w:r>
    </w:p>
    <w:p>
      <w:pPr>
        <w:pStyle w:val="Normal12a"/>
      </w:pPr>
      <w:r>
        <w:t>Η σεξουαλική και αναπαραγωγική υγεία και τα συναφή δικαιώματα (ΣΑΥΔ) αποτελούν ένα από τα βασικά ζητήματα στο πλαίσιο του διαλόγου για τα ανθρώπινα δικαιώματα και συνδέονται άρρηκτα με την πραγμάτωση του θεμελιώδους δικαιώματος στην υγεία, καθώς και με την επίτευξη της ισότητας των φύλων και την εξάλειψη της βίας με βάση το φύλο. Η σωματική αυτονομία και το δικαίωμα ενός ατόμου να αποφασίζει για το σώμα και τη ζωή του είναι η απόλυτη προϋπόθεση για την επίτευξη της ισότητας των φύλων. Οι παραβιάσεις της σεξουαλικής και αναπαραγωγικής υγείας και των συναφών δικαιωμάτων συνιστούν παραβιάσεις των ανθρωπίνων δικαιωμάτων. Όλες οι σχετικές με τη σεξουαλική και αναπαραγωγική υγεία και τα συναφή δικαιώματα προκλήσεις τις οποίες αντιμετωπίζουν τα κράτη μέλη συνιστούν κοινές ευρωπαϊκές προκλήσεις και ζήτημα ανθρωπίνων δικαιωμάτων και υγείας, το οποίο πρέπει να αντιμετωπιστεί με ενιαία προσέγγιση. Ο Παγκόσμιος Οργανισμός Υγείας (ΠΟΥ) αναγνωρίζει την ανάγκη για καθολική πρόσβαση στη σεξουαλική και αναπαραγωγική υγεία ως συνιστώσα του δικαιώματος στην υγεία. Στόχος μας είναι να έχουμε μια στρατηγική για την ισότητα των φύλων που θα διασφαλίζει την καθολική πρόσβαση σε ολοκληρωμένη, κατάλληλη για την ηλικία και τεκμηριωμένη εκπαίδευση για τη σεξουαλικότητα και τις σχέσεις, σε μια σειρά υψηλής ποιότητας, προσβάσιμων και οικονομικά προσιτών σύγχρονων μεθόδων και προμηθειών αντισύλληψης, στην παροχή συμβουλών οικογενειακού προγραμματισμού, σε θεραπείες γονιμότητας και σε πληροφορίες σχετικά με την αντισύλληψη, καθώς και σε δωρεάν, ασφαλή και νόμιμη περίθαλψη σε περίπτωση άμβλωσης.</w:t>
      </w:r>
    </w:p>
    <w:p>
      <w:pPr>
        <w:pStyle w:val="Normal12a"/>
      </w:pPr>
      <w:r>
        <w:t>Η κατάσταση στην ευρωπαϊκή αγορά εργασίας απαιτεί επείγουσα και ολοκληρωμένη προσέγγιση για να ξεπεραστούν οι υφιστάμενες ανισότητες. Μία στις τρεις γυναίκες στην ΕΕ δεν έχει αμειβόμενη εργασία και η συντριπτική πλειονότητα των θέσεων μερικής απασχόλησης στην Ένωση κατέχονται από γυναίκες. Η εργασία των γυναικών ήταν ανέκαθεν υποτιμημένη, ενώ ο διαχωρισμός με βάση το φύλο εξακολουθεί να είναι σημαντικός, με τις γυναίκες να υπερεκπροσωπούνται στους λιγότερο κερδοφόρους τομείς.</w:t>
      </w:r>
      <w:r>
        <w:rPr>
          <w:rStyle w:val="Bold"/>
        </w:rPr>
        <w:t xml:space="preserve"> </w:t>
      </w:r>
      <w:r>
        <w:t>Η χειραφέτηση των γυναικών στον κόσμο της εργασίας αποτελεί κρίσιμο βήμα για την κοινωνική και οικονομική ανάπτυξη και προϋπόθεση για μια ισχυρή ανταγωνιστική οικονομία. Για τον λόγο αυτό, η ταχεία μεταφορά της οδηγίας για τη μισθολογική διαφάνεια στο εθνικό δίκαιο είναι απαραίτητη με έμφαση στην εξέταση τρόπων για τη διεύρυνση του πεδίου εφαρμογής της. Επιπλέον, πρέπει να τεθούν σε εφαρμογή τόσο η οδηγία για επαρκείς κατώτατους μισθούς όσο και η οδηγία για τις γυναίκες στα διοικητικά συμβούλια. Στην παρούσα έκθεση αναγνωρίζεται ότι ο κύριος λόγος για το μισθολογικό χάσμα μεταξύ των φύλων είναι οι συστηματικά χαμηλότερες αμοιβές στους γυναικοκρατούμενους τομείς (φροντίδα, υγειονομική περίθαλψη, εκπαίδευση, λιανικό εμπόριο) σε σύγκριση με τους μισθούς στους ανδροκρατούμενους τομείς, γεγονός που έχει επίσης ως αποτέλεσμα οι εν λόγω τομείς να μην είναι ελκυστικοί για τους άνδρες, με αποτέλεσμα να ενισχύονται τα επιβλαβή πρότυπα και στερεότυπα. Είναι επειγόντως αναγκαίο να αναπτυχθούν κατευθυντήριες γραμμές που να επιτρέπουν τον ορισμό και τη σύγκριση της «αξίας της εργασίας» σε επίπεδο ΕΕ, και να θεσπιστούν χωρίς καθυστέρηση ουδέτερα ως προς το φύλο εργαλεία και κριτήρια αξιολόγησης των θέσεων εργασίας με στόχο την καλύτερη αξιολόγηση και τη δικαιότερη αμοιβή της εργασίας που εκτελείται σε γυναικοκρατούμενους τομείς. Πρέπει να αντιμετωπιστεί το ζήτημα της ασφάλειας στην εργασία, τόσο στους χώρους εργασίας όσο και στο πλαίσιο της εξ αποστάσεως εργασίας.</w:t>
      </w:r>
    </w:p>
    <w:p>
      <w:pPr>
        <w:pStyle w:val="Normal12a"/>
      </w:pPr>
      <w:r>
        <w:t>Η εκπαίδευση και η κατάρτιση είναι απαραίτητες για την ισότητα των φύλων και για την ικανότητα όλων να προσαρμόζονται στις αλλαγές της αγοράς εργασίας, ενώ η τριτοβάθμια εκπαίδευση είναι ζωτικής σημασίας για ποιοτικές ευκαιρίες απασχόλησης. Στην Ευρωπαϊκή Ένωση σήμερα, εξακολουθεί να υφίσταται ο οριζόντιος και κάθετος διαχωρισμός με βάση το φύλο στην εκπαίδευση, ο οποίος είναι επιζήμιος για την ισότητα των φύλων. Κατά συνέπεια, η παροχή πλήρους και απρόσκοπτης πρόσβασης στην εκπαίδευση και την κατάρτιση και η στήριξη της συμμετοχής των γυναικών στην εκπαίδευση στους τομείς STEM και σε όλους τους άλλους τομείς και σταδιοδρομίες είναι ζωτικής σημασίας. Εκτιμάται ότι υπάρχουν 8 εκατομμύρια ειδικοί στις ΤΠΕ στην ΕΕ, αλλά μόνο το 17 % εξ αυτών είναι γυναίκες. Σε παγκόσμιο επίπεδο, μόνο το 22 % των επαγγελματιών στον τομέα της ΤΝ είναι γυναίκες. Η σπουδαιότητα αυτών των θεμάτων και των συναφών θέσεων εργασίας αυξάνεται και πρέπει να διασφαλίσουμε ότι οι γυναίκες δεν θα μείνουν στο περιθώριο και ότι θα είναι ασφαλείς στην ψηφιακή σφαίρα, μεταξύ άλλων κατά την αντιμετώπιση του ζητήματος των αλγορίθμων και άλλων υφιστάμενων εργαλείων. Έχοντας επίγνωση του γεγονότος ότι η σημερινή δομή της ιδιωτικής ιδιοκτησίας και οι βασικοί παράγοντες των μεγάλων επιγραμμικών πλατφορμών έχουν δημιουργήσει έναν διαδικτυακό κόσμο επιζήμιο για τα δικαιώματα των γυναικών και την ισότητα των φύλων, πρέπει να είμαστε σε θέση να αντιμετωπίσουμε το πρόβλημα αυτό και να προστατεύσουμε όλες τις γυναίκες και τα κορίτσια σε ολόκληρη την ΕΕ. Επίσης, οι άνδρες πρέπει να ενθαρρυνθούν να εισέλθουν σε γυναικοκρατούμενους τομείς, με καλύτερες συνθήκες εργασίας και δίκαιη αμοιβή. Η νέα στρατηγική για την ισότητα των φύλων πρέπει να αναπτύξει ένα πλαίσιο, το οποίο θα δημιουργήσει ασφαλείς εκπαιδευτικούς χώρους για τα κορίτσια και τα αγόρια, εκπαιδεύοντας γονείς και εκπαιδευτικούς σχετικά με τα έμφυλα στερεότυπα και δημιουργώντας θετικά πρότυπα για τις γυναίκες και τους φεμινιστές άνδρες.</w:t>
      </w:r>
    </w:p>
    <w:p>
      <w:pPr>
        <w:pStyle w:val="Normal12a"/>
      </w:pPr>
      <w:r>
        <w:t>Οι ευθύνες φροντίδας των παιδιών και άλλων εξαρτώμενων ατόμων αποτελούν σημαντικό εμπόδιο στη συμμετοχή των γυναικών στην αγορά εργασίας. Η μη αμειβόμενη παροχή φροντίδας αποκλείει περίπου 7,7 εκατομμύρια γυναίκες στην ΕΕ από τη συμμετοχή στην αγορά εργασίας, σε σύγκριση με μόλις 450.000 άνδρες. Σε επίπεδο νοικοκυριών, η άνιση κατανομή της μη αμειβόμενης εργασίας φροντίδας μεταξύ γυναικών και ανδρών περιορίζει την ίση συμμετοχή των γυναικών στο εργατικό δυναμικό και την επαγγελματική εξέλιξή τους. Η κατάσταση αυτή είναι επιζήμια για την επίτευξη ενός πραγματικά δίκαιου πλαισίου ισορροπίας μεταξύ επαγγελματικής και προσωπικής ζωής και η νέα στρατηγική πρέπει να αντιμετωπίσει τα ζητήματα αυτά. Στόχος μας είναι να εργαστούμε για την επίτευξη ενός μοντέλου ισότητας μεταξύ γυναικών και ανδρών όσον αφορά τις αμοιβές και τα καθήκοντα φροντίδας στην κοινωνία. Για τον λόγο αυτό, πρέπει να παρακολουθούμε στενά, να αξιολογούμε και, εάν χρειαστεί, να αναπτύξουμε περαιτέρω την οδηγία για την ισορροπία μεταξύ επαγγελματικής και ιδιωτικής ζωής, αλλά υπάρχει επίσης ανάγκη να προταθεί μια ευρωπαϊκή συμφωνία για τη φροντίδα, με βάση την ευρωπαϊκή στρατηγική για τη φροντίδα, με δεσμευτική νομοθεσία και χρηματοδότηση σε επίπεδο ΕΕ. Οι γυναίκες επωμίζονται το βάρος της φροντίδας σε διάφορες κατηγορίες και πρέπει να εξασφαλίσουμε ίσους όρους ανταγωνισμού σε ευρωπαϊκό επίπεδο.</w:t>
      </w:r>
    </w:p>
    <w:p>
      <w:pPr>
        <w:pStyle w:val="Normal12a"/>
      </w:pPr>
      <w:r>
        <w:t>Οι διαφορετικές ομάδες λαμβάνουν καλύτερες, πιο συμπεριληπτικές και πιο βιώσιμες αποφάσεις. Μόνο οι αποφάσεις που λαμβάνουν υπόψη την άποψη όλων είναι κατάλληλες για να προετοιμάσουν το έδαφος για ένα μέλλον καλύτερο για όλους και οι γυναίκες σε θέσεις λήψης αποφάσεων αποτελούν πρότυπα καίριας σημασίας και συμβάλλουν στη διαμόρφωση του πλαισίου για ένα ισότιμο μέλλον. Πρέπει να ασχοληθούμε με τα κενά στη λήψη αποφάσεων σε πολιτικό και οικονομικό επίπεδο, αντιμετωπίζοντας παράλληλα τις θεσμικές ανισότητες που εμποδίζουν τις γυναίκες να αξιοποιήσουν το πλήρες δυναμικό τους.</w:t>
      </w:r>
    </w:p>
    <w:p>
      <w:pPr>
        <w:pStyle w:val="Normal12a"/>
      </w:pPr>
      <w:r>
        <w:t>Σε μια εποχή αύξησης των παγκόσμιων συγκρούσεων και της αβεβαιότητας, η εξωτερική πολιτική και η πολιτική άμυνας και ασφάλειας της ΕΕ πρέπει να είναι φεμινιστική και η πραγμάτωση των δικαιωμάτων των γυναικών και της ισότητας των φύλων πρέπει να αποτελεί μία από τις οριζόντιες αρχές και έναν από τους βασικούς στόχους. Όσον αφορά τις εξωτερικές πολιτικές μας, πρέπει να είμαστε σε θέση να εξασφαλίσουμε ότι θα αντικατοπτρίζουν μια αποστολή οικοδόμησης της ειρήνης και μία από τις προϋποθέσεις για την επίτευξη αυτού του στόχου είναι η ισότιμη συμμετοχή των γυναικών που κατέχουν ηγετικές θέσεις και των ενδιαφερόμενων γυναικών. Το θεματολόγιο για την προώθηση και την προστασία των δικαιωμάτων των γυναικών, καθώς και η στήριξη των ακτιβιστριών, των εκπαιδευτριών και των ηγέτιδων σε εμπόλεμες ζώνες πρέπει να αποτελούν προτεραιότητα σε όλες τις στρατηγικές της ΕΕ για την αντιμετώπιση των συγκρούσεων, καθώς και σε όλα τα εργαλεία και τους μηχανισμούς αντιμετώπισης κρίσεων. Το τρίπτυχο «δικαιώματα, εκπροσώπηση και πόροι» πρέπει να εφαρμόζεται σε όλες τις εξωτερικές δράσεις της ΕΕ.</w:t>
      </w:r>
    </w:p>
    <w:p>
      <w:pPr>
        <w:pStyle w:val="Normal12a"/>
        <w:sectPr>
          <w:footnotePr>
            <w:numRestart w:val="eachSect"/>
          </w:footnotePr>
          <w:type w:val="nextPage"/>
          <w:pgSz w:w="11906" w:h="16838"/>
          <w:pgMar w:top="1134" w:right="1417" w:bottom="1417" w:left="1417" w:header="1134" w:footer="567" w:gutter="0"/>
          <w:cols w:num="1" w:space="708"/>
          <w:titlePg w:val="0"/>
          <w:docGrid w:linePitch="360"/>
        </w:sectPr>
      </w:pPr>
    </w:p>
    <w:p>
      <w:pPr>
        <w:pStyle w:val="PageHeading"/>
      </w:pPr>
      <w:bookmarkStart w:id="2" w:name="_Toc256000005"/>
      <w:r>
        <w:t>ΠΑΡΑΡΤΗΜΑ: ΟΝΤΟΤΗΤΕΣ Ή ΠΡΟΣΩΠΑ</w:t>
        <w:br/>
        <w:t>ΠΟΥ ΕΧΟΥΝ ΚΑΤΑΘΕΣΕΙ ΤΙΣ ΕΙΣΗΓΗΣΕΙΣ ΤΟΥΣ ΣΤΟΝ ΕΙΣΗΓΗΤΗ</w:t>
      </w:r>
      <w:bookmarkEnd w:id="2"/>
    </w:p>
    <w:p>
      <w:pPr>
        <w:pStyle w:val="Normal12a"/>
      </w:pPr>
      <w:r>
        <w:rPr>
          <w:rStyle w:val="HideTWBExt"/>
        </w:rPr>
        <w:t>&lt;</w:t>
      </w:r>
      <w:r>
        <w:rPr>
          <w:rStyle w:val="HideTWBExt"/>
        </w:rPr>
        <w:t>FootprintIntro</w:t>
      </w:r>
      <w:r>
        <w:rPr>
          <w:rStyle w:val="HideTWBExt"/>
        </w:rPr>
        <w:t>&gt;</w:t>
      </w:r>
      <w:r>
        <w:t>Σύμφωνα με το άρθρο 8 του παραρτήματος Ι του Κανονισμού, ο εισηγητής δηλώνει ότι έλαβε εισηγήσεις από τις ακόλουθες οντότητες ή πρόσωπα κατά την εκπόνηση του σχεδίου έκθεσης:</w:t>
      </w:r>
      <w:r>
        <w:rPr>
          <w:rStyle w:val="HideTWBExt"/>
        </w:rPr>
        <w:t>&lt;/</w:t>
      </w:r>
      <w:r>
        <w:rPr>
          <w:rStyle w:val="HideTWBExt"/>
        </w:rPr>
        <w:t>FootprintIntro</w:t>
      </w:r>
      <w:r>
        <w:rPr>
          <w:rStyle w:val="HideTWBExt"/>
        </w:rPr>
        <w:t>&gt;</w:t>
      </w:r>
    </w:p>
    <w:tbl>
      <w:tblPr>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
      <w:tblGrid>
        <w:gridCol w:w="9060"/>
      </w:tblGrid>
      <w:tr>
        <w:tblPrEx>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Ex>
        <w:trPr>
          <w:cantSplit w:val="0"/>
          <w:trHeight w:hRule="auto" w:val="0"/>
          <w:jc w:val="center"/>
        </w:trPr>
        <w:tc>
          <w:tcPr>
            <w:tcW w:w="9060" w:type="dxa"/>
            <w:vAlign w:val="top"/>
          </w:tcPr>
          <w:p>
            <w:pPr>
              <w:pStyle w:val="NormalCenter"/>
            </w:pPr>
            <w:r>
              <w:rPr>
                <w:rStyle w:val="Bold"/>
              </w:rPr>
              <w:t>Οντότητα και/ή πρόσωπο</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Parliamentary Forum for Sexual &amp; Reproductive Rights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The International Planned Parenthood Federation (IPPF) European Network</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Center for Reproductive Rights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Women’s Lobby</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Foundation for European Progressive Studies (FEPS)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Institute for Gender Equality</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B.a.B.e. Budi aktivna. Budi emancipiran.</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Fertility Europe</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Center for Women Victims of War (ROSA)</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The Directorate-General for Justice and Consumers (DG JUST) of the European Commission</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Trade Union Confederation (ETUC)</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Public Service Union (EPSU)</w:t>
            </w:r>
          </w:p>
        </w:tc>
      </w:tr>
    </w:tbl>
    <w:p/>
    <w:p>
      <w:pPr>
        <w:pStyle w:val="Normal12a"/>
      </w:pPr>
      <w:r>
        <w:t>Ο ανωτέρω κατάλογος συντάσσεται υπό την αποκλειστική ευθύνη του εισηγητή.</w:t>
      </w:r>
    </w:p>
    <w:p>
      <w:pPr>
        <w:pStyle w:val="Normal12a"/>
      </w:pPr>
      <w:r>
        <w:t>Όταν φυσικά πρόσωπα προσδιορίζονται στον κατάλογο με το όνομά τους, με τα καθήκοντά τους ή και με τα δύο, ο εισηγητής δηλώνει ότι υπέβαλε στα ενδιαφερόμενα φυσικά πρόσωπα τη Δήλωση περί ιδιωτικότητας αριθ. 484 του Ευρωπαϊκού Κοινοβουλίου (</w:t>
      </w:r>
      <w:hyperlink r:id="rId12" w:history="1">
        <w:r>
          <w:rPr>
            <w:rStyle w:val="Hyperlink"/>
          </w:rPr>
          <w:t>https://www.europarl.europa.eu/data-protect/index.do</w:t>
        </w:r>
      </w:hyperlink>
      <w:r>
        <w:rPr>
          <w:rStyle w:val="DefaultParagraphFont"/>
          <w:b w:val="0"/>
          <w:i w:val="0"/>
          <w:u w:val="none"/>
        </w:rPr>
        <w:t>), η οποία ρυθμίζει τους όρους που ισχύουν για την επεξεργασία των προσωπικών τους δεδομένων και τα δικαιώματα που συνδέονται με την εν λόγω επεξεργασία.</w:t>
      </w:r>
    </w:p>
    <w:p>
      <w:pPr>
        <w:pStyle w:val="Normal12a"/>
      </w:pPr>
    </w:p>
    <w:sectPr>
      <w:footnotePr>
        <w:numRestart w:val="eachSect"/>
      </w:footnotePr>
      <w:type w:val="nextPage"/>
      <w:pgSz w:w="11906" w:h="16838"/>
      <w:pgMar w:top="1134" w:right="1417" w:bottom="1417" w:left="1417" w:header="1134" w:footer="567" w:gutter="0"/>
      <w:cols w:num="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16</w:t>
    </w:r>
    <w:r>
      <w:fldChar w:fldCharType="end"/>
    </w:r>
    <w:r>
      <w:t>/</w:t>
    </w:r>
    <w:r>
      <w:fldChar w:fldCharType="begin"/>
    </w:r>
    <w:r>
      <w:instrText>NUMPAGES</w:instrText>
    </w:r>
    <w:r>
      <w:fldChar w:fldCharType="separate"/>
    </w:r>
    <w:r>
      <w:t>16</w:t>
    </w:r>
    <w:r>
      <w:fldChar w:fldCharType="end"/>
    </w:r>
    <w:r>
      <w:tab/>
    </w:r>
    <w:r>
      <w:rPr>
        <w:rStyle w:val="HideTWBExt"/>
      </w:rPr>
      <w:t>&lt;</w:t>
    </w:r>
    <w:r>
      <w:rPr>
        <w:rStyle w:val="HideTWBExt"/>
      </w:rPr>
      <w:t>PathFdR</w:t>
    </w:r>
    <w:r>
      <w:rPr>
        <w:rStyle w:val="HideTWBExt"/>
      </w:rPr>
      <w:t>&gt;</w:t>
    </w:r>
    <w:r>
      <w:t>PR\1316271EL.docx</w:t>
    </w:r>
    <w:r>
      <w:rPr>
        <w:rStyle w:val="HideTWBExt"/>
      </w:rPr>
      <w:t>&lt;/</w:t>
    </w:r>
    <w:r>
      <w:rPr>
        <w:rStyle w:val="HideTWBExt"/>
      </w:rPr>
      <w:t>PathFdR</w:t>
    </w:r>
    <w:r>
      <w:rPr>
        <w:rStyle w:val="HideTWBExt"/>
      </w:rPr>
      <w:t>&gt;</w:t>
    </w:r>
  </w:p>
  <w:p>
    <w:pPr>
      <w:pStyle w:val="EPFooter2"/>
    </w:pPr>
    <w:r>
      <w:t>EL</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PR\1316271EL.docx</w:t>
    </w:r>
    <w:r>
      <w:rPr>
        <w:rStyle w:val="HideTWBExt"/>
      </w:rPr>
      <w:t>&lt;/</w:t>
    </w:r>
    <w:r>
      <w:rPr>
        <w:rStyle w:val="HideTWBExt"/>
      </w:rPr>
      <w:t>PathFdR</w:t>
    </w:r>
    <w:r>
      <w:rPr>
        <w:rStyle w:val="HideTWBExt"/>
      </w:rPr>
      <w:t>&gt;</w:t>
    </w:r>
    <w:r>
      <w:tab/>
    </w:r>
    <w:r>
      <w:fldChar w:fldCharType="begin"/>
    </w:r>
    <w:r>
      <w:instrText>PAGE</w:instrText>
    </w:r>
    <w:r>
      <w:fldChar w:fldCharType="separate"/>
    </w:r>
    <w:r>
      <w:t>15</w:t>
    </w:r>
    <w:r>
      <w:fldChar w:fldCharType="end"/>
    </w:r>
    <w:r>
      <w:t>/</w:t>
    </w:r>
    <w:r>
      <w:fldChar w:fldCharType="begin"/>
    </w:r>
    <w:r>
      <w:instrText>NUMPAGES</w:instrText>
    </w:r>
    <w:r>
      <w:fldChar w:fldCharType="separate"/>
    </w:r>
    <w:r>
      <w:t>16</w:t>
    </w:r>
    <w:r>
      <w:fldChar w:fldCharType="end"/>
    </w:r>
    <w:r>
      <w:tab/>
    </w: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EL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PR\1316271EL.docx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EL</w:t>
    </w:r>
    <w:r>
      <w:tab/>
    </w:r>
    <w:r>
      <w:rPr>
        <w:rStyle w:val="EPFooter2Motto"/>
      </w:rPr>
      <w:t>Ενωμένη στην πολυμορφία</w:t>
    </w:r>
    <w:r>
      <w:tab/>
    </w:r>
    <w:r>
      <w:t>EL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rStyle w:val="FootnoteReference"/>
        </w:rPr>
        <w:footnoteRef/>
      </w:r>
      <w:r>
        <w:t xml:space="preserve"> </w:t>
      </w:r>
      <w:hyperlink r:id="rId1" w:history="1">
        <w:r>
          <w:rPr>
            <w:color w:val="0000FF"/>
            <w:u w:val="single" w:color="0000FF"/>
          </w:rPr>
          <w:t>Οδηγία 79/7/ΕΟΚ του Συμβουλίου, της 19ης Δεκεμβρίου 1978, περί της προοδευτικής εφαρμογής της αρχής της ίσης μεταχειρίσεως μεταξύ ανδρών και γυναικών σε θέματα κοινωνικής ασφαλίσεως, ΕΕ L 6 της 10.1.1979, σ. 24, ELI: http://data.europa.eu/eli/dir/1979/7/oj.</w:t>
        </w:r>
      </w:hyperlink>
    </w:p>
  </w:footnote>
  <w:footnote w:id="3">
    <w:p>
      <w:pPr>
        <w:pStyle w:val="FootnoteText"/>
      </w:pPr>
      <w:r>
        <w:rPr>
          <w:rStyle w:val="FootnoteReference"/>
        </w:rPr>
        <w:footnoteRef/>
      </w:r>
      <w:r>
        <w:t xml:space="preserve"> </w:t>
      </w:r>
      <w:hyperlink r:id="rId2" w:history="1">
        <w:r>
          <w:rPr>
            <w:color w:val="0000FF"/>
            <w:u w:val="single" w:color="0000FF"/>
          </w:rPr>
          <w:t>Οδηγία 86/613/ΕΟΚ του Συμβουλίου, της 11ης Δεκεμβρίου 1986, σχετικά με την εφαρμογή της αρχής της ίσης μεταχείρισης ανδρών και γυναικών που ασκούν ανεξάρτητη δραστηριότητα, συμπεριλαμβανομένης της γεωργικής, καθώς και για την προστασία της μητρότητας, ΕΕ L 359 της 19.12.1986, σ. 56, ELI: http://data.europa.eu/eli/dir/1986/613/oj.</w:t>
        </w:r>
      </w:hyperlink>
    </w:p>
  </w:footnote>
  <w:footnote w:id="4">
    <w:p>
      <w:pPr>
        <w:pStyle w:val="FootnoteText"/>
      </w:pPr>
      <w:r>
        <w:rPr>
          <w:rStyle w:val="FootnoteReference"/>
        </w:rPr>
        <w:footnoteRef/>
      </w:r>
      <w:r>
        <w:t xml:space="preserve"> </w:t>
      </w:r>
      <w:hyperlink r:id="rId3" w:history="1">
        <w:r>
          <w:rPr>
            <w:color w:val="0000FF"/>
            <w:u w:val="single" w:color="0000FF"/>
          </w:rPr>
          <w:t>Οδηγία 92/85/ΕΟΚ του Συμβουλίου της 19ης Οκτωβρίου 1992 σχετικά με την εφαρμογή μέτρων που αποβλέπουν στη βελτίωση της υγείας και της ασφάλειας κατά την εργασία των εγκύων, λεχώνων και γαλουχουσών εργαζομένων, ΕΕ L 348 της 28.11.1992, σ. 1, ELI: http://data.europa.eu/eli/dir/1992/85/oj.</w:t>
        </w:r>
      </w:hyperlink>
    </w:p>
  </w:footnote>
  <w:footnote w:id="5">
    <w:p>
      <w:pPr>
        <w:pStyle w:val="FootnoteText"/>
      </w:pPr>
      <w:r>
        <w:rPr>
          <w:rStyle w:val="FootnoteReference"/>
        </w:rPr>
        <w:footnoteRef/>
      </w:r>
      <w:r>
        <w:t xml:space="preserve"> </w:t>
      </w:r>
      <w:hyperlink r:id="rId4" w:history="1">
        <w:r>
          <w:rPr>
            <w:color w:val="0000FF"/>
            <w:u w:val="single" w:color="0000FF"/>
          </w:rPr>
          <w:t>Οδηγία 2004/113/ΕΚ του Συμβουλίου, της 13ης Δεκεμβρίου 2004, για την εφαρμογή της αρχής της ίσης μεταχείρισης ανδρών και γυναικών στην πρόσβαση σε αγαθά και υπηρεσίες και την παροχή αυτών, ΕΕ L 373 της 21.12.2004, σ. 37, ELI: http://data.europa.eu/eli/dir/2004/113/oj.</w:t>
        </w:r>
      </w:hyperlink>
    </w:p>
  </w:footnote>
  <w:footnote w:id="6">
    <w:p>
      <w:pPr>
        <w:pStyle w:val="FootnoteText"/>
      </w:pPr>
      <w:r>
        <w:rPr>
          <w:rStyle w:val="FootnoteReference"/>
        </w:rPr>
        <w:footnoteRef/>
      </w:r>
      <w:r>
        <w:t xml:space="preserve"> </w:t>
      </w:r>
      <w:hyperlink r:id="rId5" w:history="1">
        <w:r>
          <w:rPr>
            <w:color w:val="0000FF"/>
            <w:u w:val="single" w:color="0000FF"/>
          </w:rPr>
          <w:t>Οδηγία 2006/54/ΕΚ του Ευρωπαϊκού Κοινοβουλίου και του Συμβουλίου της 5ης Ιουλίου 2006 για την εφαρμογή της αρχής των ίσων ευκαιριών και της ίσης μεταχείρισης ανδρών και γυναικών σε θέματα εργασίας και απασχόλησης, EE L 204 της 26.7.2006, σ. 23, ELI: http://data.europa.eu/eli/dir/2006/54/oj.</w:t>
        </w:r>
      </w:hyperlink>
    </w:p>
  </w:footnote>
  <w:footnote w:id="7">
    <w:p>
      <w:pPr>
        <w:pStyle w:val="FootnoteText"/>
      </w:pPr>
      <w:r>
        <w:rPr>
          <w:rStyle w:val="FootnoteReference"/>
        </w:rPr>
        <w:footnoteRef/>
      </w:r>
      <w:r>
        <w:t xml:space="preserve"> </w:t>
      </w:r>
      <w:hyperlink r:id="rId6" w:history="1">
        <w:r>
          <w:rPr>
            <w:color w:val="0000FF"/>
            <w:u w:val="single" w:color="0000FF"/>
          </w:rPr>
          <w:t>Οδηγία 2010/41/ΕΕ του Ευρωπαϊκού Κοινοβουλίου και του Συμβουλίου, της 7ης Ιουλίου 2010 , για την εφαρμογή της αρχής της ίσης μεταχείρισης ανδρών και γυναικών που ασκούν αυτοτελή επαγγελματική δραστηριότητα, ΕΕ L 180 της 15.7.2010, σ. 1, ELI: http://data.europa.eu/eli/dir/2010/41/oj.</w:t>
        </w:r>
      </w:hyperlink>
    </w:p>
  </w:footnote>
  <w:footnote w:id="8">
    <w:p>
      <w:pPr>
        <w:pStyle w:val="FootnoteText"/>
      </w:pPr>
      <w:r>
        <w:rPr>
          <w:rStyle w:val="FootnoteReference"/>
        </w:rPr>
        <w:footnoteRef/>
      </w:r>
      <w:r>
        <w:t xml:space="preserve"> </w:t>
      </w:r>
      <w:hyperlink r:id="rId7" w:history="1">
        <w:r>
          <w:rPr>
            <w:color w:val="0000FF"/>
            <w:u w:val="single" w:color="0000FF"/>
          </w:rPr>
          <w:t>ΕΕ L 188 της 12.7.2019, σ. 79, ELI: http://data.europa.eu/eli/dir/2019/1158/oj.</w:t>
        </w:r>
      </w:hyperlink>
    </w:p>
  </w:footnote>
  <w:footnote w:id="9">
    <w:p>
      <w:pPr>
        <w:pStyle w:val="FootnoteText"/>
      </w:pPr>
      <w:r>
        <w:rPr>
          <w:rStyle w:val="FootnoteReference"/>
        </w:rPr>
        <w:footnoteRef/>
      </w:r>
      <w:r>
        <w:t xml:space="preserve"> </w:t>
      </w:r>
      <w:hyperlink r:id="rId8" w:history="1">
        <w:r>
          <w:rPr>
            <w:color w:val="0000FF"/>
            <w:u w:val="single" w:color="0000FF"/>
          </w:rPr>
          <w:t>ΕΕ L 315 της 7.12.2022, σ. 44, ELI: http://data.europa.eu/eli/dir/2022/2381/oj.</w:t>
        </w:r>
      </w:hyperlink>
    </w:p>
  </w:footnote>
  <w:footnote w:id="10">
    <w:p>
      <w:pPr>
        <w:pStyle w:val="FootnoteText"/>
      </w:pPr>
      <w:r>
        <w:rPr>
          <w:rStyle w:val="FootnoteReference"/>
        </w:rPr>
        <w:footnoteRef/>
      </w:r>
      <w:r>
        <w:t xml:space="preserve"> </w:t>
      </w:r>
      <w:hyperlink r:id="rId9" w:history="1">
        <w:r>
          <w:rPr>
            <w:color w:val="0000FF"/>
            <w:u w:val="single" w:color="0000FF"/>
          </w:rPr>
          <w:t>ΕΕ L 132 της 17.5.2023, σ. 21, ELI: http://data.europa.eu/eli/dir/2023/970/oj.</w:t>
        </w:r>
      </w:hyperlink>
    </w:p>
  </w:footnote>
  <w:footnote w:id="11">
    <w:p>
      <w:pPr>
        <w:pStyle w:val="FootnoteText"/>
      </w:pPr>
      <w:r>
        <w:rPr>
          <w:rStyle w:val="FootnoteReference"/>
        </w:rPr>
        <w:footnoteRef/>
      </w:r>
      <w:r>
        <w:t xml:space="preserve"> </w:t>
      </w:r>
      <w:hyperlink r:id="rId10" w:history="1">
        <w:r>
          <w:rPr>
            <w:color w:val="0000FF"/>
            <w:u w:val="single" w:color="0000FF"/>
          </w:rPr>
          <w:t>ΕΕ L, 2024/1385, 24.5.2024, ELI: http://data.europa.eu/eli/dir/2024/1385/oj.</w:t>
        </w:r>
      </w:hyperlink>
    </w:p>
  </w:footnote>
  <w:footnote w:id="12">
    <w:p>
      <w:pPr>
        <w:pStyle w:val="FootnoteText"/>
      </w:pPr>
      <w:r>
        <w:rPr>
          <w:rStyle w:val="FootnoteReference"/>
        </w:rPr>
        <w:footnoteRef/>
      </w:r>
      <w:r>
        <w:t xml:space="preserve"> </w:t>
      </w:r>
      <w:hyperlink r:id="rId11" w:history="1">
        <w:r>
          <w:rPr>
            <w:color w:val="0000FF"/>
            <w:u w:val="single" w:color="0000FF"/>
          </w:rPr>
          <w:t>ΕΕ L, 2024/1500, 29.5.2024, ELI: http://data.europa.eu/eli/dir/2024/1500/oj.</w:t>
        </w:r>
      </w:hyperlink>
    </w:p>
  </w:footnote>
  <w:footnote w:id="13">
    <w:p>
      <w:pPr>
        <w:pStyle w:val="FootnoteText"/>
      </w:pPr>
      <w:r>
        <w:rPr>
          <w:rStyle w:val="FootnoteReference"/>
        </w:rPr>
        <w:footnoteRef/>
      </w:r>
      <w:r>
        <w:t xml:space="preserve"> </w:t>
      </w:r>
      <w:hyperlink r:id="rId12" w:history="1">
        <w:r>
          <w:rPr>
            <w:color w:val="0000FF"/>
            <w:u w:val="single" w:color="0000FF"/>
          </w:rPr>
          <w:t>ΕΕ L, 2024/1712, 24.6.2024, ELI: http://data.europa.eu/eli/dir/2024/1712/oj.</w:t>
        </w:r>
      </w:hyperlink>
    </w:p>
  </w:footnote>
  <w:footnote w:id="14">
    <w:p>
      <w:pPr>
        <w:pStyle w:val="FootnoteText"/>
      </w:pPr>
      <w:r>
        <w:rPr>
          <w:rStyle w:val="FootnoteReference"/>
        </w:rPr>
        <w:footnoteRef/>
      </w:r>
      <w:r>
        <w:t xml:space="preserve"> </w:t>
      </w:r>
      <w:r>
        <w:t>ΕΕ C 449 της 23.12.2020, σ. 102.</w:t>
      </w:r>
    </w:p>
  </w:footnote>
  <w:footnote w:id="15">
    <w:p>
      <w:pPr>
        <w:pStyle w:val="FootnoteText"/>
      </w:pPr>
      <w:r>
        <w:rPr>
          <w:rStyle w:val="FootnoteReference"/>
        </w:rPr>
        <w:footnoteRef/>
      </w:r>
      <w:r>
        <w:t xml:space="preserve"> </w:t>
      </w:r>
      <w:r>
        <w:t>ΕΕ C 232 της 16.6.2021, σ. 48.</w:t>
      </w:r>
    </w:p>
  </w:footnote>
  <w:footnote w:id="16">
    <w:p>
      <w:pPr>
        <w:pStyle w:val="FootnoteText"/>
      </w:pPr>
      <w:r>
        <w:rPr>
          <w:rStyle w:val="FootnoteReference"/>
        </w:rPr>
        <w:footnoteRef/>
      </w:r>
      <w:r>
        <w:t xml:space="preserve"> </w:t>
      </w:r>
      <w:r>
        <w:t>ΕΕ C 331 της 17.8.2021, σ. 5.</w:t>
      </w:r>
    </w:p>
  </w:footnote>
  <w:footnote w:id="17">
    <w:p>
      <w:pPr>
        <w:pStyle w:val="FootnoteText"/>
      </w:pPr>
      <w:r>
        <w:rPr>
          <w:rStyle w:val="FootnoteReference"/>
        </w:rPr>
        <w:footnoteRef/>
      </w:r>
      <w:r>
        <w:t xml:space="preserve"> </w:t>
      </w:r>
      <w:r>
        <w:t>ΕΕ C 404 της 6.10.2021, σ. 202.</w:t>
      </w:r>
    </w:p>
  </w:footnote>
  <w:footnote w:id="18">
    <w:p>
      <w:pPr>
        <w:pStyle w:val="FootnoteText"/>
      </w:pPr>
      <w:r>
        <w:rPr>
          <w:rStyle w:val="FootnoteReference"/>
        </w:rPr>
        <w:footnoteRef/>
      </w:r>
      <w:r>
        <w:t xml:space="preserve"> </w:t>
      </w:r>
      <w:r>
        <w:t>ΕΕ C 456 της 10.11.2021, σ. 208.</w:t>
      </w:r>
    </w:p>
  </w:footnote>
  <w:footnote w:id="19">
    <w:p>
      <w:pPr>
        <w:pStyle w:val="FootnoteText"/>
      </w:pPr>
      <w:r>
        <w:rPr>
          <w:rStyle w:val="FootnoteReference"/>
        </w:rPr>
        <w:footnoteRef/>
      </w:r>
      <w:r>
        <w:t xml:space="preserve"> </w:t>
      </w:r>
      <w:r>
        <w:t>ΕΕ C 456 της 10.11.2021, σ. 232.</w:t>
      </w:r>
    </w:p>
  </w:footnote>
  <w:footnote w:id="20">
    <w:p>
      <w:pPr>
        <w:pStyle w:val="FootnoteText"/>
      </w:pPr>
      <w:r>
        <w:rPr>
          <w:rStyle w:val="FootnoteReference"/>
        </w:rPr>
        <w:footnoteRef/>
      </w:r>
      <w:r>
        <w:t xml:space="preserve"> </w:t>
      </w:r>
      <w:r>
        <w:t>ΕΕ C 465 της 17.11.2021, σ. 160.</w:t>
      </w:r>
    </w:p>
  </w:footnote>
  <w:footnote w:id="21">
    <w:p>
      <w:pPr>
        <w:pStyle w:val="FootnoteText"/>
      </w:pPr>
      <w:r>
        <w:rPr>
          <w:rStyle w:val="FootnoteReference"/>
        </w:rPr>
        <w:footnoteRef/>
      </w:r>
      <w:r>
        <w:t xml:space="preserve"> </w:t>
      </w:r>
      <w:r>
        <w:t>ΕΕ C 67 της 8.2.2022, σ. 137.</w:t>
      </w:r>
    </w:p>
  </w:footnote>
  <w:footnote w:id="22">
    <w:p>
      <w:pPr>
        <w:pStyle w:val="FootnoteText"/>
      </w:pPr>
      <w:r>
        <w:rPr>
          <w:rStyle w:val="FootnoteReference"/>
        </w:rPr>
        <w:footnoteRef/>
      </w:r>
      <w:r>
        <w:t xml:space="preserve"> </w:t>
      </w:r>
      <w:r>
        <w:t>ΕΕ C 81 της 18.2.2022, σ. 43.</w:t>
      </w:r>
    </w:p>
  </w:footnote>
  <w:footnote w:id="23">
    <w:p>
      <w:pPr>
        <w:pStyle w:val="FootnoteText"/>
      </w:pPr>
      <w:r>
        <w:rPr>
          <w:rStyle w:val="FootnoteReference"/>
        </w:rPr>
        <w:footnoteRef/>
      </w:r>
      <w:r>
        <w:t xml:space="preserve"> </w:t>
      </w:r>
      <w:r>
        <w:t>ΕΕ C 117 της 11.3.2022, σ. 88.</w:t>
      </w:r>
    </w:p>
  </w:footnote>
  <w:footnote w:id="24">
    <w:p>
      <w:pPr>
        <w:pStyle w:val="FootnoteText"/>
      </w:pPr>
      <w:r>
        <w:rPr>
          <w:rStyle w:val="FootnoteReference"/>
        </w:rPr>
        <w:footnoteRef/>
      </w:r>
      <w:r>
        <w:t xml:space="preserve"> </w:t>
      </w:r>
      <w:r>
        <w:t>ΕΕ C 251 της 30.6.2022, σ. 2.</w:t>
      </w:r>
    </w:p>
  </w:footnote>
  <w:footnote w:id="25">
    <w:p>
      <w:pPr>
        <w:pStyle w:val="FootnoteText"/>
      </w:pPr>
      <w:r>
        <w:rPr>
          <w:rStyle w:val="FootnoteReference"/>
        </w:rPr>
        <w:footnoteRef/>
      </w:r>
      <w:r>
        <w:t xml:space="preserve"> </w:t>
      </w:r>
      <w:r>
        <w:t>ΕΕ C 251 της 30.6.2022, σ. 23.</w:t>
      </w:r>
    </w:p>
  </w:footnote>
  <w:footnote w:id="26">
    <w:p>
      <w:pPr>
        <w:pStyle w:val="FootnoteText"/>
      </w:pPr>
      <w:r>
        <w:rPr>
          <w:rStyle w:val="FootnoteReference"/>
        </w:rPr>
        <w:footnoteRef/>
      </w:r>
      <w:r>
        <w:t xml:space="preserve"> </w:t>
      </w:r>
      <w:r>
        <w:t>ΕΕ C 347 της 9.9.2022, σ. 150.</w:t>
      </w:r>
    </w:p>
  </w:footnote>
  <w:footnote w:id="27">
    <w:p>
      <w:pPr>
        <w:pStyle w:val="FootnoteText"/>
      </w:pPr>
      <w:r>
        <w:rPr>
          <w:rStyle w:val="FootnoteReference"/>
        </w:rPr>
        <w:footnoteRef/>
      </w:r>
      <w:r>
        <w:t xml:space="preserve"> </w:t>
      </w:r>
      <w:r>
        <w:t>ΕΕ C 465 της 6.12.2022, σ. 54.</w:t>
      </w:r>
    </w:p>
  </w:footnote>
  <w:footnote w:id="28">
    <w:p>
      <w:pPr>
        <w:pStyle w:val="FootnoteText"/>
      </w:pPr>
      <w:r>
        <w:rPr>
          <w:rStyle w:val="FootnoteReference"/>
        </w:rPr>
        <w:footnoteRef/>
      </w:r>
      <w:r>
        <w:t xml:space="preserve"> </w:t>
      </w:r>
      <w:r>
        <w:t>ΕΕ C 47 της 7.2.2023, σ. 30.</w:t>
      </w:r>
    </w:p>
  </w:footnote>
  <w:footnote w:id="29">
    <w:p>
      <w:pPr>
        <w:pStyle w:val="FootnoteText"/>
      </w:pPr>
      <w:r>
        <w:rPr>
          <w:rStyle w:val="FootnoteReference"/>
        </w:rPr>
        <w:footnoteRef/>
      </w:r>
      <w:r>
        <w:t xml:space="preserve"> </w:t>
      </w:r>
      <w:r>
        <w:t>ΕΕ C 47 της 7.2.2023, σ. 2.</w:t>
      </w:r>
    </w:p>
  </w:footnote>
  <w:footnote w:id="30">
    <w:p>
      <w:pPr>
        <w:pStyle w:val="FootnoteText"/>
      </w:pPr>
      <w:r>
        <w:rPr>
          <w:rStyle w:val="FootnoteReference"/>
        </w:rPr>
        <w:footnoteRef/>
      </w:r>
      <w:r>
        <w:t xml:space="preserve"> </w:t>
      </w:r>
      <w:hyperlink r:id="rId13" w:history="1">
        <w:r>
          <w:rPr>
            <w:color w:val="0000FF"/>
            <w:u w:val="single" w:color="0000FF"/>
          </w:rPr>
          <w:t>ΕΕ C, C/2023/1224, 21.12.2023, ELI: http://data.europa.eu/eli/C/2023/1224/oj.</w:t>
        </w:r>
      </w:hyperlink>
    </w:p>
  </w:footnote>
  <w:footnote w:id="31">
    <w:p>
      <w:pPr>
        <w:pStyle w:val="FootnoteText"/>
      </w:pPr>
      <w:r>
        <w:rPr>
          <w:rStyle w:val="FootnoteReference"/>
        </w:rPr>
        <w:footnoteRef/>
      </w:r>
      <w:r>
        <w:t xml:space="preserve"> </w:t>
      </w:r>
      <w:hyperlink r:id="rId14" w:history="1">
        <w:r>
          <w:rPr>
            <w:color w:val="0000FF"/>
            <w:u w:val="single" w:color="0000FF"/>
          </w:rPr>
          <w:t>ΕΕ C, C/2025/1279, 13.3.2025, ELI: http://data.europa.eu/eli/C/2025/1279/oj.</w:t>
        </w:r>
      </w:hyperlink>
    </w:p>
  </w:footnote>
  <w:footnote w:id="32">
    <w:p>
      <w:pPr>
        <w:pStyle w:val="FootnoteText"/>
      </w:pPr>
      <w:r>
        <w:rPr>
          <w:rStyle w:val="FootnoteReference"/>
        </w:rPr>
        <w:footnoteRef/>
      </w:r>
      <w:r>
        <w:t xml:space="preserve"> </w:t>
      </w:r>
      <w:r>
        <w:t>Κείμενα που εγκρίθηκαν, P10_TA(2024)0075.</w:t>
      </w:r>
    </w:p>
  </w:footnote>
  <w:footnote w:id="33">
    <w:p>
      <w:pPr>
        <w:pStyle w:val="FootnoteText"/>
      </w:pPr>
      <w:r>
        <w:rPr>
          <w:rStyle w:val="FootnoteReference"/>
        </w:rPr>
        <w:footnoteRef/>
      </w:r>
      <w:r>
        <w:t xml:space="preserve"> </w:t>
      </w:r>
      <w:r>
        <w:t>Άρθρο 2 και άρθρο 3 παράγραφος 3 ΣΕΕ, άρθρα 8, 10, 19 και 157 ΣΛΕΕ, και άρθρα 21 και 23 του Χάρτη των Θεμελιωδών Δικαιωμάτων της ΕΕ.</w:t>
      </w:r>
    </w:p>
  </w:footnote>
  <w:footnote w:id="34">
    <w:p>
      <w:pPr>
        <w:pStyle w:val="FootnoteText"/>
      </w:pPr>
      <w:r>
        <w:rPr>
          <w:rStyle w:val="FootnoteReference"/>
        </w:rPr>
        <w:footnoteRef/>
      </w:r>
      <w:r>
        <w:t xml:space="preserve"> </w:t>
      </w:r>
      <w:r>
        <w:t>Οδηγία (ΕΕ) 2022/2041 του Ευρωπαϊκού Κοινοβουλίου και του Συμβουλίου, της 19ης Οκτωβρίου 2022, για επαρκείς κατώτατους μισθούς στην Ευρωπαϊκή Ένωση (ΕΕ L 275 της 25.10.2022, σ. 33, ELI: http://data.europa.eu/eli/dir/2022/2041/oj).</w:t>
      </w:r>
    </w:p>
  </w:footnote>
  <w:footnote w:id="35">
    <w:p>
      <w:pPr>
        <w:pStyle w:val="FootnoteText"/>
      </w:pPr>
      <w:r>
        <w:rPr>
          <w:rStyle w:val="FootnoteReference"/>
        </w:rPr>
        <w:footnoteRef/>
      </w:r>
      <w:r>
        <w:t xml:space="preserve"> </w:t>
      </w:r>
      <w:r>
        <w:t>Οδηγία (ΕΕ) 2023/970.</w:t>
      </w:r>
    </w:p>
  </w:footnote>
  <w:footnote w:id="36">
    <w:p>
      <w:pPr>
        <w:pStyle w:val="FootnoteText"/>
      </w:pPr>
      <w:r>
        <w:rPr>
          <w:rStyle w:val="FootnoteReference"/>
        </w:rPr>
        <w:footnoteRef/>
      </w:r>
      <w:r>
        <w:t xml:space="preserve"> </w:t>
      </w:r>
      <w:r>
        <w:t>Οδηγία (ΕΕ) 2022/2381.</w:t>
      </w:r>
    </w:p>
  </w:footnote>
  <w:footnote w:id="37">
    <w:p>
      <w:pPr>
        <w:pStyle w:val="FootnoteText"/>
      </w:pPr>
      <w:r>
        <w:rPr>
          <w:rStyle w:val="FootnoteReference"/>
        </w:rPr>
        <w:footnoteRef/>
      </w:r>
      <w:r>
        <w:t xml:space="preserve"> </w:t>
      </w:r>
      <w:r>
        <w:t>ΕΕ C 364 της 28.10.2020, σ. 77-86.</w:t>
      </w:r>
    </w:p>
  </w:footnote>
  <w:footnote w:id="38">
    <w:p>
      <w:pPr>
        <w:pStyle w:val="FootnoteText"/>
      </w:pPr>
      <w:r>
        <w:rPr>
          <w:rStyle w:val="FootnoteReference"/>
        </w:rPr>
        <w:footnoteRef/>
      </w:r>
      <w:r>
        <w:t xml:space="preserve"> </w:t>
      </w:r>
      <w:r>
        <w:t>Ανακοίνωση της Επιτροπής «Χάρτης πορείας για τα δικαιώματα των γυναικών» (COM (2025)97 final).</w:t>
      </w:r>
    </w:p>
  </w:footnote>
  <w:footnote w:id="39">
    <w:p>
      <w:pPr>
        <w:pStyle w:val="FootnoteText"/>
      </w:pPr>
      <w:r>
        <w:rPr>
          <w:rStyle w:val="FootnoteReference"/>
        </w:rPr>
        <w:footnoteRef/>
      </w:r>
      <w:r>
        <w:t xml:space="preserve"> </w:t>
      </w:r>
      <w:hyperlink r:id="rId15" w:history="1">
        <w:r>
          <w:rPr>
            <w:color w:val="0000FF"/>
            <w:u w:val="single" w:color="0000FF"/>
          </w:rPr>
          <w:t>https://eige.europa.eu/gender-based-violence</w:t>
        </w:r>
      </w:hyperlink>
    </w:p>
  </w:footnote>
  <w:footnote w:id="40">
    <w:p>
      <w:pPr>
        <w:pStyle w:val="FootnoteText"/>
      </w:pPr>
      <w:r>
        <w:rPr>
          <w:rStyle w:val="FootnoteReference"/>
        </w:rPr>
        <w:footnoteRef/>
      </w:r>
      <w:r>
        <w:t xml:space="preserve"> </w:t>
      </w:r>
      <w:r>
        <w:t>Δείκτης ισότητας των φύλων για το 2024: «Tackling violence against women, tackling gender inequalities» (Αντιμετώπιση της βίας κατά των γυναικών, αντιμετώπιση των ανισοτήτων μεταξύ των φύλων) που δημοσιεύτηκε το 2025.</w:t>
      </w:r>
    </w:p>
  </w:footnote>
  <w:footnote w:id="41">
    <w:p>
      <w:pPr>
        <w:pStyle w:val="FootnoteText"/>
      </w:pPr>
      <w:r>
        <w:rPr>
          <w:rStyle w:val="FootnoteReference"/>
        </w:rPr>
        <w:footnoteRef/>
      </w:r>
      <w:r>
        <w:t xml:space="preserve"> </w:t>
      </w:r>
      <w:r>
        <w:t>Όπως η έκδοση της οδηγίας για την καταπολέμηση της βίας κατά των γυναικών και της εξ οικείων βίας και η προσχώρηση της ΕΕ στη Σύμβαση του Συμβουλίου της Ευρώπης για την πρόληψη και την καταπολέμηση της βίας κατά των γυναικών («Σύμβαση της Κωνσταντινούπολης»)</w:t>
      </w:r>
    </w:p>
  </w:footnote>
  <w:footnote w:id="42">
    <w:p>
      <w:pPr>
        <w:pStyle w:val="FootnoteText"/>
      </w:pPr>
      <w:r>
        <w:rPr>
          <w:rStyle w:val="FootnoteReference"/>
        </w:rPr>
        <w:footnoteRef/>
      </w:r>
      <w:r>
        <w:t xml:space="preserve"> </w:t>
      </w:r>
      <w:r>
        <w:t>ΕΕ C 326 της 26.10.2012, σ. 391-407.</w:t>
      </w:r>
    </w:p>
  </w:footnote>
  <w:footnote w:id="43">
    <w:p>
      <w:pPr>
        <w:pStyle w:val="FootnoteText"/>
      </w:pPr>
      <w:r>
        <w:rPr>
          <w:rStyle w:val="FootnoteReference"/>
        </w:rPr>
        <w:footnoteRef/>
      </w:r>
      <w:r>
        <w:t xml:space="preserve"> </w:t>
      </w:r>
      <w:r>
        <w:t>EIGE (2025), «Impact driver: marking milestones and opportunities for gender equality in the EU», Υπηρεσία Εκδόσεων της Ευρωπαϊκής Ένωσης, Λουξεμβούργο (επίκειται η δημοσίευση).</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 w:type="paragraph" w:customStyle="1" w:styleId="NormalTab">
    <w:name w:val="NormalTab"/>
    <w:basedOn w:val="Normal"/>
    <w:rsid w:val="00CC6F1E"/>
    <w:pPr>
      <w:tabs>
        <w:tab w:val="center" w:pos="284"/>
        <w:tab w:val="left" w:pos="425"/>
      </w:tabs>
    </w:pPr>
    <w:rPr>
      <w:snapToGrid/>
      <w:lang w:eastAsia="en-GB"/>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yperlink" Target="https://www.europarl.europa.eu/data-protect/index.do" TargetMode="Externa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hyperlink" Target="https://eur-lex.europa.eu/legal-content/EL/ALL/?uri=CELEX:52021DC0102" TargetMode="External" /><Relationship Id="rId7" Type="http://schemas.openxmlformats.org/officeDocument/2006/relationships/hyperlink" Target="https://eur-lex.europa.eu/legal-content/EL/ALL/?uri=CELEX:52020DC0152" TargetMode="External" /><Relationship Id="rId8" Type="http://schemas.openxmlformats.org/officeDocument/2006/relationships/hyperlink" Target="https://eur-lex.europa.eu/legal-content/EL/ALL/?uri=CELEX:52025DC0097" TargetMode="External" /><Relationship Id="rId9" Type="http://schemas.openxmlformats.org/officeDocument/2006/relationships/footer" Target="footer1.xml" /></Relationships>
</file>

<file path=word/_rels/footnotes.xml.rels><?xml version="1.0" encoding="utf-8" standalone="yes"?><Relationships xmlns="http://schemas.openxmlformats.org/package/2006/relationships"><Relationship Id="rId1" Type="http://schemas.openxmlformats.org/officeDocument/2006/relationships/hyperlink" Target="http://data.europa.eu/eli/dir/1979/7/oj" TargetMode="External" /><Relationship Id="rId10" Type="http://schemas.openxmlformats.org/officeDocument/2006/relationships/hyperlink" Target="http://data.europa.eu/eli/dir/2024/1385/oj" TargetMode="External" /><Relationship Id="rId11" Type="http://schemas.openxmlformats.org/officeDocument/2006/relationships/hyperlink" Target="http://data.europa.eu/eli/dir/2024/1500/oj" TargetMode="External" /><Relationship Id="rId12" Type="http://schemas.openxmlformats.org/officeDocument/2006/relationships/hyperlink" Target="http://data.europa.eu/eli/dir/2024/1712/oj" TargetMode="External" /><Relationship Id="rId13" Type="http://schemas.openxmlformats.org/officeDocument/2006/relationships/hyperlink" Target="http://data.europa.eu/eli/C/2023/1224/oj" TargetMode="External" /><Relationship Id="rId14" Type="http://schemas.openxmlformats.org/officeDocument/2006/relationships/hyperlink" Target="http://data.europa.eu/eli/C/2025/1279/oj" TargetMode="External" /><Relationship Id="rId15" Type="http://schemas.openxmlformats.org/officeDocument/2006/relationships/hyperlink" Target="https://eige.europa.eu/gender-based-violence" TargetMode="External" /><Relationship Id="rId2" Type="http://schemas.openxmlformats.org/officeDocument/2006/relationships/hyperlink" Target="http://data.europa.eu/eli/dir/1986/613/oj" TargetMode="External" /><Relationship Id="rId3" Type="http://schemas.openxmlformats.org/officeDocument/2006/relationships/hyperlink" Target="http://data.europa.eu/eli/dir/1992/85/oj" TargetMode="External" /><Relationship Id="rId4" Type="http://schemas.openxmlformats.org/officeDocument/2006/relationships/hyperlink" Target="http://data.europa.eu/eli/dir/2004/113/oj" TargetMode="External" /><Relationship Id="rId5" Type="http://schemas.openxmlformats.org/officeDocument/2006/relationships/hyperlink" Target="http://data.europa.eu/eli/dir/2006/54/oj" TargetMode="External" /><Relationship Id="rId6" Type="http://schemas.openxmlformats.org/officeDocument/2006/relationships/hyperlink" Target="http://data.europa.eu/eli/dir/2010/41/oj" TargetMode="External" /><Relationship Id="rId7" Type="http://schemas.openxmlformats.org/officeDocument/2006/relationships/hyperlink" Target="http://data.europa.eu/eli/dir/2019/1158/oj" TargetMode="External" /><Relationship Id="rId8" Type="http://schemas.openxmlformats.org/officeDocument/2006/relationships/hyperlink" Target="http://data.europa.eu/eli/dir/2022/2381/oj" TargetMode="External" /><Relationship Id="rId9" Type="http://schemas.openxmlformats.org/officeDocument/2006/relationships/hyperlink" Target="http://data.europa.eu/eli/dir/2023/970/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16</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1316271</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20250404-094404-011025-011856</vt:lpwstr>
  </property>
  <property fmtid="{D5CDD505-2E9C-101B-9397-08002B2CF9AE}" pid="7" name="FooterPath">
    <vt:lpwstr>PR\1316271EL.doc</vt:lpwstr>
  </property>
  <property fmtid="{D5CDD505-2E9C-101B-9397-08002B2CF9AE}" pid="8" name="PE Number">
    <vt:lpwstr>770.090</vt:lpwstr>
  </property>
  <property fmtid="{D5CDD505-2E9C-101B-9397-08002B2CF9AE}" pid="9" name="UID">
    <vt:lpwstr>eu.europa.europarl-DIN1-2025-0000056500_01.06-el-01.00_text-xml</vt:lpwstr>
  </property>
</Properties>
</file>