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4.1.0 -->
  <w:body>
    <w:tbl>
      <w:tblPr>
        <w:jc w:val="left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4"/>
        <w:gridCol w:w="2488"/>
      </w:tblGrid>
      <w:tr>
        <w:tblPrEx>
          <w:jc w:val="left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 w:val="0"/>
          <w:trHeight w:hRule="exact" w:val="1420"/>
          <w:jc w:val="left"/>
        </w:trPr>
        <w:tc>
          <w:tcPr>
            <w:tcW w:w="6804" w:type="dxa"/>
            <w:vAlign w:val="center"/>
          </w:tcPr>
          <w:p>
            <w:pPr>
              <w:pStyle w:val="EPName"/>
            </w:pPr>
            <w:r w:rsidR="00A77B3E">
              <w:t>Europski parlament</w:t>
            </w:r>
          </w:p>
          <w:p>
            <w:pPr>
              <w:pStyle w:val="EPTerm"/>
            </w:pPr>
            <w:r>
              <w:t>2024-2029</w:t>
            </w:r>
          </w:p>
        </w:tc>
        <w:tc>
          <w:tcPr>
            <w:tcW w:w="2488" w:type="dxa"/>
            <w:vAlign w:val="top"/>
          </w:tcPr>
          <w:p>
            <w:pPr>
              <w:pStyle w:val="EPLogo"/>
            </w:pPr>
            <w:r>
              <w:drawing>
                <wp:inline>
                  <wp:extent cx="1162812" cy="647954"/>
                  <wp:docPr id="100001" nam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01" name="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812" cy="6479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LineTop"/>
      </w:pPr>
    </w:p>
    <w:p>
      <w:pPr>
        <w:pStyle w:val="EPBody"/>
      </w:pPr>
      <w:r>
        <w:rPr>
          <w:rStyle w:val="HideTWBExt"/>
        </w:rPr>
        <w:t>&lt;</w:t>
      </w:r>
      <w:r>
        <w:rPr>
          <w:rStyle w:val="HideTWBExt"/>
        </w:rPr>
        <w:t>Commission</w:t>
      </w:r>
      <w:r>
        <w:rPr>
          <w:rStyle w:val="HideTWBExt"/>
        </w:rPr>
        <w:t>&gt;</w:t>
      </w:r>
      <w:r>
        <w:rPr>
          <w:rStyle w:val="HideTWBInt"/>
        </w:rPr>
        <w:t>{</w:t>
      </w:r>
      <w:r>
        <w:rPr>
          <w:rStyle w:val="HideTWBInt"/>
        </w:rPr>
        <w:t>FEMM</w:t>
      </w:r>
      <w:r>
        <w:rPr>
          <w:rStyle w:val="HideTWBInt"/>
        </w:rPr>
        <w:t>}</w:t>
      </w:r>
      <w:r>
        <w:t>Odbor za prava žena i rodnu ravnopravnost</w:t>
      </w:r>
      <w:r>
        <w:rPr>
          <w:rStyle w:val="HideTWBExt"/>
        </w:rPr>
        <w:t>&lt;/</w:t>
      </w:r>
      <w:r>
        <w:rPr>
          <w:rStyle w:val="HideTWBExt"/>
        </w:rPr>
        <w:t>Commission</w:t>
      </w:r>
      <w:r>
        <w:rPr>
          <w:rStyle w:val="HideTWBExt"/>
        </w:rPr>
        <w:t>&gt;</w:t>
      </w:r>
    </w:p>
    <w:p>
      <w:pPr>
        <w:pStyle w:val="LineBottom"/>
      </w:pPr>
    </w:p>
    <w:p>
      <w:pPr>
        <w:pStyle w:val="CoverReference"/>
      </w:pPr>
      <w:r>
        <w:rPr>
          <w:rStyle w:val="HideTWBExt"/>
        </w:rPr>
        <w:t>&lt;</w:t>
      </w:r>
      <w:r>
        <w:rPr>
          <w:rStyle w:val="HideTWBExt"/>
        </w:rPr>
        <w:t>RefProc</w:t>
      </w:r>
      <w:r>
        <w:rPr>
          <w:rStyle w:val="HideTWBExt"/>
        </w:rPr>
        <w:t>&gt;</w:t>
      </w:r>
      <w:r>
        <w:t>2024/2125</w:t>
      </w:r>
      <w:r>
        <w:rPr>
          <w:rStyle w:val="HideTWBExt"/>
        </w:rPr>
        <w:t>&lt;/</w:t>
      </w:r>
      <w:r>
        <w:rPr>
          <w:rStyle w:val="HideTWBExt"/>
        </w:rPr>
        <w:t>RefProc</w:t>
      </w:r>
      <w:r>
        <w:rPr>
          <w:rStyle w:val="HideTWBExt"/>
        </w:rPr>
        <w:t>&gt;</w:t>
      </w:r>
      <w:r>
        <w:rPr>
          <w:rStyle w:val="HideTWBExt"/>
        </w:rPr>
        <w:t>&lt;</w:t>
      </w:r>
      <w:r>
        <w:rPr>
          <w:rStyle w:val="HideTWBExt"/>
        </w:rPr>
        <w:t>RefTypeProc</w:t>
      </w:r>
      <w:r>
        <w:rPr>
          <w:rStyle w:val="HideTWBExt"/>
        </w:rPr>
        <w:t>&gt;</w:t>
      </w:r>
      <w:r>
        <w:t>(INI)</w:t>
      </w:r>
      <w:r>
        <w:rPr>
          <w:rStyle w:val="HideTWBExt"/>
        </w:rPr>
        <w:t>&lt;/</w:t>
      </w:r>
      <w:r>
        <w:rPr>
          <w:rStyle w:val="HideTWBExt"/>
        </w:rPr>
        <w:t>RefTypeProc</w:t>
      </w:r>
      <w:r>
        <w:rPr>
          <w:rStyle w:val="HideTWBExt"/>
        </w:rPr>
        <w:t>&gt;</w:t>
      </w:r>
    </w:p>
    <w:p>
      <w:pPr>
        <w:pStyle w:val="CoverDate"/>
      </w:pPr>
      <w:r>
        <w:rPr>
          <w:rStyle w:val="HideTWBExt"/>
        </w:rPr>
        <w:t>&lt;</w:t>
      </w:r>
      <w:r>
        <w:rPr>
          <w:rStyle w:val="HideTWBExt"/>
        </w:rPr>
        <w:t>Date</w:t>
      </w:r>
      <w:r>
        <w:rPr>
          <w:rStyle w:val="HideTWBExt"/>
        </w:rPr>
        <w:t>&gt;</w:t>
      </w:r>
      <w:r>
        <w:rPr>
          <w:rStyle w:val="HideTWBInt"/>
        </w:rPr>
        <w:t>{</w:t>
      </w:r>
      <w:r>
        <w:rPr>
          <w:rStyle w:val="HideTWBInt"/>
        </w:rPr>
        <w:t>24/03/2025</w:t>
      </w:r>
      <w:r>
        <w:rPr>
          <w:rStyle w:val="HideTWBInt"/>
        </w:rPr>
        <w:t>}</w:t>
      </w:r>
      <w:r>
        <w:t>24.03.2025</w:t>
      </w:r>
      <w:r>
        <w:rPr>
          <w:rStyle w:val="HideTWBExt"/>
        </w:rPr>
        <w:t>&lt;/</w:t>
      </w:r>
      <w:r>
        <w:rPr>
          <w:rStyle w:val="HideTWBExt"/>
        </w:rPr>
        <w:t>Date</w:t>
      </w:r>
      <w:r>
        <w:rPr>
          <w:rStyle w:val="HideTWBExt"/>
        </w:rPr>
        <w:t>&gt;</w:t>
      </w:r>
    </w:p>
    <w:p>
      <w:pPr>
        <w:pStyle w:val="CoverDocType24a"/>
      </w:pPr>
      <w:r>
        <w:rPr>
          <w:rStyle w:val="HideTWBExt"/>
        </w:rPr>
        <w:t>&lt;</w:t>
      </w:r>
      <w:r>
        <w:rPr>
          <w:rStyle w:val="HideTWBExt"/>
        </w:rPr>
        <w:t>TitreType</w:t>
      </w:r>
      <w:r>
        <w:rPr>
          <w:rStyle w:val="HideTWBExt"/>
        </w:rPr>
        <w:t>&gt;</w:t>
      </w:r>
      <w:r>
        <w:t>NACRT IZVJEŠĆA</w:t>
      </w:r>
      <w:r>
        <w:rPr>
          <w:rStyle w:val="HideTWBExt"/>
        </w:rPr>
        <w:t>&lt;/</w:t>
      </w:r>
      <w:r>
        <w:rPr>
          <w:rStyle w:val="HideTWBExt"/>
        </w:rPr>
        <w:t>TitreType</w:t>
      </w:r>
      <w:r>
        <w:rPr>
          <w:rStyle w:val="HideTWBExt"/>
        </w:rPr>
        <w:t>&gt;</w:t>
      </w:r>
    </w:p>
    <w:p>
      <w:pPr>
        <w:pStyle w:val="CoverNormal"/>
      </w:pPr>
      <w:r>
        <w:rPr>
          <w:rStyle w:val="HideTWBExt"/>
        </w:rPr>
        <w:t>&lt;</w:t>
      </w:r>
      <w:r>
        <w:rPr>
          <w:rStyle w:val="HideTWBExt"/>
        </w:rPr>
        <w:t>Titre</w:t>
      </w:r>
      <w:r>
        <w:rPr>
          <w:rStyle w:val="HideTWBExt"/>
        </w:rPr>
        <w:t>&gt;</w:t>
      </w:r>
      <w:r>
        <w:t>o Strategiji za rodnu ravnopravnost za 2025.</w:t>
      </w:r>
      <w:r>
        <w:rPr>
          <w:rStyle w:val="HideTWBExt"/>
        </w:rPr>
        <w:t>&lt;/</w:t>
      </w:r>
      <w:r>
        <w:rPr>
          <w:rStyle w:val="HideTWBExt"/>
        </w:rPr>
        <w:t>Titre</w:t>
      </w:r>
      <w:r>
        <w:rPr>
          <w:rStyle w:val="HideTWBExt"/>
        </w:rPr>
        <w:t>&gt;</w:t>
      </w:r>
    </w:p>
    <w:p>
      <w:pPr>
        <w:pStyle w:val="CoverNormal24a"/>
      </w:pPr>
      <w:r>
        <w:rPr>
          <w:rStyle w:val="HideTWBExt"/>
        </w:rPr>
        <w:t>&lt;</w:t>
      </w:r>
      <w:r>
        <w:rPr>
          <w:rStyle w:val="HideTWBExt"/>
        </w:rPr>
        <w:t>DocRef</w:t>
      </w:r>
      <w:r>
        <w:rPr>
          <w:rStyle w:val="HideTWBExt"/>
        </w:rPr>
        <w:t>&gt;</w:t>
      </w:r>
      <w:r>
        <w:t>(2024/2125(INI))</w:t>
      </w:r>
      <w:r>
        <w:rPr>
          <w:rStyle w:val="HideTWBExt"/>
        </w:rPr>
        <w:t>&lt;/</w:t>
      </w:r>
      <w:r>
        <w:rPr>
          <w:rStyle w:val="HideTWBExt"/>
        </w:rPr>
        <w:t>DocRef</w:t>
      </w:r>
      <w:r>
        <w:rPr>
          <w:rStyle w:val="HideTWBExt"/>
        </w:rPr>
        <w:t>&gt;</w:t>
      </w:r>
    </w:p>
    <w:p>
      <w:pPr>
        <w:pStyle w:val="CoverNormal24a"/>
      </w:pPr>
      <w:r>
        <w:rPr>
          <w:rStyle w:val="HideTWBExt"/>
        </w:rPr>
        <w:t>&lt;</w:t>
      </w:r>
      <w:r>
        <w:rPr>
          <w:rStyle w:val="HideTWBExt"/>
        </w:rPr>
        <w:t>Commission</w:t>
      </w:r>
      <w:r>
        <w:rPr>
          <w:rStyle w:val="HideTWBExt"/>
        </w:rPr>
        <w:t>&gt;</w:t>
      </w:r>
      <w:r>
        <w:rPr>
          <w:rStyle w:val="HideTWBInt"/>
        </w:rPr>
        <w:t>{</w:t>
      </w:r>
      <w:r>
        <w:rPr>
          <w:rStyle w:val="HideTWBInt"/>
        </w:rPr>
        <w:t>FEMM</w:t>
      </w:r>
      <w:r>
        <w:rPr>
          <w:rStyle w:val="HideTWBInt"/>
        </w:rPr>
        <w:t>}</w:t>
      </w:r>
      <w:r>
        <w:t>Odbor za prava žena i rodnu ravnopravnost</w:t>
      </w:r>
      <w:r>
        <w:rPr>
          <w:rStyle w:val="HideTWBExt"/>
        </w:rPr>
        <w:t>&lt;/</w:t>
      </w:r>
      <w:r>
        <w:rPr>
          <w:rStyle w:val="HideTWBExt"/>
        </w:rPr>
        <w:t>Commission</w:t>
      </w:r>
      <w:r>
        <w:rPr>
          <w:rStyle w:val="HideTWBExt"/>
        </w:rPr>
        <w:t>&gt;</w:t>
      </w:r>
    </w:p>
    <w:p>
      <w:pPr>
        <w:pStyle w:val="CoverNormal24a"/>
      </w:pPr>
      <w:r>
        <w:t>Izvjestitelj</w:t>
      </w:r>
      <w:r>
        <w:t xml:space="preserve">: </w:t>
      </w:r>
      <w:r>
        <w:rPr>
          <w:rStyle w:val="HideTWBExt"/>
        </w:rPr>
        <w:t>&lt;</w:t>
      </w:r>
      <w:r>
        <w:rPr>
          <w:rStyle w:val="HideTWBExt"/>
        </w:rPr>
        <w:t>Depute</w:t>
      </w:r>
      <w:r>
        <w:rPr>
          <w:rStyle w:val="HideTWBExt"/>
        </w:rPr>
        <w:t>&gt;</w:t>
      </w:r>
      <w:r>
        <w:t>Marko Vešligaj</w:t>
      </w:r>
      <w:r>
        <w:rPr>
          <w:rStyle w:val="HideTWBExt"/>
        </w:rPr>
        <w:t>&lt;/</w:t>
      </w:r>
      <w:r>
        <w:rPr>
          <w:rStyle w:val="HideTWBExt"/>
        </w:rPr>
        <w:t>Depute</w:t>
      </w:r>
      <w:r>
        <w:rPr>
          <w:rStyle w:val="HideTWBExt"/>
        </w:rPr>
        <w:t>&gt;</w:t>
      </w:r>
    </w:p>
    <w:p>
      <w:r>
        <w:br w:type="page"/>
      </w:r>
      <w:r>
        <w:t>PR_INI</w:t>
      </w:r>
    </w:p>
    <w:p>
      <w:pPr>
        <w:pStyle w:val="TOCHeading"/>
      </w:pPr>
      <w:r>
        <w:t>SADRŽAJ</w:t>
      </w:r>
    </w:p>
    <w:p>
      <w:pPr>
        <w:pStyle w:val="TOCPage"/>
      </w:pPr>
      <w:r>
        <w:t>Stranica</w:t>
      </w:r>
    </w:p>
    <w:p>
      <w:pPr>
        <w:pStyle w:val="TOC1"/>
        <w:tabs>
          <w:tab w:val="right" w:leader="dot" w:pos="9062"/>
        </w:tabs>
        <w:rPr>
          <w:rFonts w:ascii="Calibri" w:hAnsi="Calibri"/>
          <w:noProof/>
          <w:sz w:val="22"/>
        </w:rPr>
      </w:pPr>
      <w:r>
        <w:fldChar w:fldCharType="begin"/>
      </w:r>
      <w:r>
        <w:instrText>TOC \t "PageHeading"</w:instrText>
      </w:r>
      <w:r>
        <w:fldChar w:fldCharType="separate"/>
      </w:r>
      <w:r>
        <w:t>PRIJEDLOG REZOLUCIJE EUROPSKOG PARLAMENTA</w:t>
      </w:r>
      <w:r>
        <w:tab/>
      </w:r>
      <w:r>
        <w:fldChar w:fldCharType="begin"/>
      </w:r>
      <w:r>
        <w:instrText xml:space="preserve"> PAGEREF _Toc256000003 \h </w:instrText>
      </w:r>
      <w:r>
        <w:fldChar w:fldCharType="separate"/>
      </w:r>
      <w:r>
        <w:t>3</w:t>
      </w:r>
      <w:r>
        <w:fldChar w:fldCharType="end"/>
      </w:r>
    </w:p>
    <w:p>
      <w:pPr>
        <w:pStyle w:val="TOC1"/>
        <w:tabs>
          <w:tab w:val="right" w:leader="dot" w:pos="9062"/>
        </w:tabs>
        <w:rPr>
          <w:rFonts w:ascii="Calibri" w:hAnsi="Calibri"/>
          <w:noProof/>
          <w:sz w:val="22"/>
        </w:rPr>
      </w:pPr>
      <w:r>
        <w:t>OBRAZLOŽENJE</w:t>
      </w:r>
      <w:r>
        <w:tab/>
      </w:r>
      <w:r>
        <w:fldChar w:fldCharType="begin"/>
      </w:r>
      <w:r>
        <w:instrText xml:space="preserve"> PAGEREF _Toc256000004 \h </w:instrText>
      </w:r>
      <w:r>
        <w:fldChar w:fldCharType="separate"/>
      </w:r>
      <w:r>
        <w:t>10</w:t>
      </w:r>
      <w:r>
        <w:fldChar w:fldCharType="end"/>
      </w:r>
    </w:p>
    <w:p>
      <w:pPr>
        <w:pStyle w:val="TOC1"/>
        <w:tabs>
          <w:tab w:val="right" w:leader="dot" w:pos="9062"/>
        </w:tabs>
        <w:rPr>
          <w:rFonts w:ascii="Calibri" w:hAnsi="Calibri"/>
          <w:noProof/>
          <w:sz w:val="22"/>
        </w:rPr>
      </w:pPr>
      <w:r>
        <w:t>PRILOG: SUBJEKTI ILI OSOBE OD KOJIH JE IZVJESTITELJ PRIMIO INFORMACIJE</w:t>
      </w:r>
      <w:r>
        <w:tab/>
      </w:r>
      <w:r>
        <w:fldChar w:fldCharType="begin"/>
      </w:r>
      <w:r>
        <w:instrText xml:space="preserve"> PAGEREF _Toc256000005 \h </w:instrText>
      </w:r>
      <w:r>
        <w:fldChar w:fldCharType="separate"/>
      </w:r>
      <w:r>
        <w:t>14</w:t>
      </w:r>
      <w:r>
        <w:fldChar w:fldCharType="end"/>
      </w:r>
    </w:p>
    <w:p>
      <w:pPr>
        <w:pStyle w:val="Normal12b"/>
      </w:pPr>
      <w:r>
        <w:fldChar w:fldCharType="end"/>
      </w:r>
    </w:p>
    <w:p>
      <w:pPr>
        <w:pStyle w:val="CoverNormalLeft"/>
      </w:pPr>
    </w:p>
    <w:p>
      <w:pPr>
        <w:pStyle w:val="PageHeading"/>
      </w:pPr>
      <w:r>
        <w:br w:type="page"/>
      </w:r>
      <w:bookmarkStart w:id="0" w:name="_Toc256000003"/>
      <w:r>
        <w:t>PRIJEDLOG REZOLUCIJE EUROPSKOG PARLAMENTA</w:t>
      </w:r>
      <w:bookmarkEnd w:id="0"/>
    </w:p>
    <w:p>
      <w:pPr>
        <w:pStyle w:val="NormalBold"/>
      </w:pPr>
      <w:r>
        <w:t>o Strategiji za rodnu ravnopravnost za 2025.</w:t>
      </w:r>
    </w:p>
    <w:p>
      <w:pPr>
        <w:pStyle w:val="NormalBold"/>
      </w:pPr>
      <w:r>
        <w:t>(2024/2125(INI))</w:t>
      </w:r>
    </w:p>
    <w:p>
      <w:pPr>
        <w:pStyle w:val="EPComma"/>
      </w:pPr>
      <w:r>
        <w:rPr>
          <w:rStyle w:val="Italic"/>
        </w:rPr>
        <w:t>Europski parlament</w:t>
      </w:r>
      <w:r>
        <w:t>,</w:t>
      </w:r>
    </w:p>
    <w:p>
      <w:pPr>
        <w:pStyle w:val="NormalHanging12a"/>
      </w:pPr>
      <w:r>
        <w:t>–</w:t>
      </w:r>
      <w:r>
        <w:tab/>
      </w:r>
      <w:r>
        <w:t>uzimajući u obzir članak 2. i članak 3. Ugovora o Europskoj uniji,</w:t>
      </w:r>
    </w:p>
    <w:p>
      <w:pPr>
        <w:pStyle w:val="NormalHanging12a"/>
      </w:pPr>
      <w:r>
        <w:t>–</w:t>
      </w:r>
      <w:r>
        <w:tab/>
      </w:r>
      <w:r>
        <w:t>uzimajući u obzir članke 8., 10., 19., 79., 83., 153. i 157. Ugovora o funkcioniranju Europske unije (UFEU),</w:t>
      </w:r>
    </w:p>
    <w:p>
      <w:pPr>
        <w:pStyle w:val="NormalHanging12a"/>
      </w:pPr>
      <w:r>
        <w:t>–</w:t>
      </w:r>
      <w:r>
        <w:tab/>
      </w:r>
      <w:r>
        <w:t>uzimajući u obzir članke 21. i 23. Povelje Europske unije o temeljnim pravima,</w:t>
      </w:r>
    </w:p>
    <w:p>
      <w:pPr>
        <w:pStyle w:val="NormalHanging12a"/>
      </w:pPr>
      <w:r>
        <w:t>–</w:t>
      </w:r>
      <w:r>
        <w:tab/>
      </w:r>
      <w:r>
        <w:t>uzimajući u obzir europski stup socijalnih prava, koji su Parlament, Vijeće i Komisija proglasili i potpisali 17. studenoga 2017., te komunikaciju Komisije od 4. ožujka 2021. naslovljenu „Akcijski plan za provedbu europskog stupa socijalnih prava” (</w:t>
      </w:r>
      <w:hyperlink r:id="rId6" w:history="1">
        <w:r>
          <w:rPr>
            <w:rStyle w:val="Hyperlink"/>
          </w:rPr>
          <w:t>COM(2021)0102</w:t>
        </w:r>
      </w:hyperlink>
      <w:r>
        <w:rPr>
          <w:rStyle w:val="DefaultParagraphFont"/>
          <w:b w:val="0"/>
          <w:i w:val="0"/>
          <w:u w:val="none"/>
        </w:rPr>
        <w:t>),</w:t>
      </w:r>
    </w:p>
    <w:p>
      <w:pPr>
        <w:pStyle w:val="NormalHanging12a"/>
      </w:pPr>
      <w:r>
        <w:t>–</w:t>
      </w:r>
      <w:r>
        <w:tab/>
      </w:r>
      <w:r>
        <w:t>uzimajući u obzir Konvenciju UN-a o ukidanju svih oblika diskriminacije žena od 18. prosinca 1979.,</w:t>
      </w:r>
    </w:p>
    <w:p>
      <w:pPr>
        <w:pStyle w:val="NormalHanging12a"/>
      </w:pPr>
      <w:r>
        <w:t>–</w:t>
      </w:r>
      <w:r>
        <w:tab/>
      </w:r>
      <w:r>
        <w:t>uzimajući u obzir Pekinšku deklaraciju UN-a i platformu za djelovanje od 15. rujna 1995. te ishode njezinih revizijskih konferencija,</w:t>
      </w:r>
    </w:p>
    <w:p>
      <w:pPr>
        <w:pStyle w:val="NormalHanging12a"/>
      </w:pPr>
      <w:r>
        <w:t>–</w:t>
      </w:r>
      <w:r>
        <w:tab/>
      </w:r>
      <w:r>
        <w:t>uzimajući u obzir Program UN-a za održivi razvoj do 2030. od 21. listopada 2015. i u njemu utvrđene ciljeve održivog razvoja, posebno cilj br. 5 „Postizanje rodne ravnopravnosti i osnaživanje svih žena i djevojčica” te povezane ciljeve i pokazatelje,</w:t>
      </w:r>
    </w:p>
    <w:p>
      <w:pPr>
        <w:pStyle w:val="NormalHanging12a"/>
      </w:pPr>
      <w:r>
        <w:t>–</w:t>
      </w:r>
      <w:r>
        <w:tab/>
      </w:r>
      <w:r>
        <w:t>uzimajući u obzir Konvenciju Međunarodne organizacije rada o jednakosti plaća od 29. lipnja 1951. i Konvenciju Međunarodne organizacije rada o nasilju i uznemiravanju od 21. lipnja 2019.,</w:t>
      </w:r>
    </w:p>
    <w:p>
      <w:pPr>
        <w:pStyle w:val="NormalHanging12a"/>
      </w:pPr>
      <w:r>
        <w:t>–</w:t>
      </w:r>
      <w:r>
        <w:tab/>
      </w:r>
      <w:r>
        <w:t xml:space="preserve">uzimajući u obzir Konvenciju </w:t>
      </w:r>
      <w:r>
        <w:t>Vijeća Europe</w:t>
      </w:r>
      <w:r>
        <w:t xml:space="preserve"> o sprečavanju i borbi protiv nasilja nad ženama i nasilja u obitelji (Istanbulska konvencija) od 11. svibnja 2011.,</w:t>
      </w:r>
    </w:p>
    <w:p>
      <w:pPr>
        <w:pStyle w:val="NormalHanging12a"/>
      </w:pPr>
      <w:r>
        <w:t>–</w:t>
      </w:r>
      <w:r>
        <w:tab/>
      </w:r>
      <w:r>
        <w:t>uzimajući u obzir direktive EEZ-a i EU-a donesene počevši od 1975. godine o različitim aspektima jednakog postupanja prema ženama i muškarcima (Direktiva 79/7/EEZ</w:t>
      </w:r>
      <w:r>
        <w:rPr>
          <w:rStyle w:val="FootnoteReference"/>
        </w:rPr>
        <w:footnoteReference w:id="2"/>
      </w:r>
      <w:r>
        <w:t>, Direktiva 86/613/EEZ</w:t>
      </w:r>
      <w:r>
        <w:rPr>
          <w:rStyle w:val="FootnoteReference"/>
        </w:rPr>
        <w:footnoteReference w:id="3"/>
      </w:r>
      <w:r>
        <w:t>, Direktiva 92/85/EEZ</w:t>
      </w:r>
      <w:r>
        <w:rPr>
          <w:rStyle w:val="FootnoteReference"/>
        </w:rPr>
        <w:footnoteReference w:id="4"/>
      </w:r>
      <w:r>
        <w:t>, Direktiva 2004/113/EZ</w:t>
      </w:r>
      <w:r>
        <w:rPr>
          <w:rStyle w:val="FootnoteReference"/>
        </w:rPr>
        <w:footnoteReference w:id="5"/>
      </w:r>
      <w:r>
        <w:t>, Direktiva 2006/54/EZ</w:t>
      </w:r>
      <w:r>
        <w:rPr>
          <w:rStyle w:val="FootnoteReference"/>
        </w:rPr>
        <w:footnoteReference w:id="6"/>
      </w:r>
      <w:r>
        <w:t>, Direktiva 2010/41/EU</w:t>
      </w:r>
      <w:r>
        <w:rPr>
          <w:rStyle w:val="FootnoteReference"/>
        </w:rPr>
        <w:footnoteReference w:id="7"/>
      </w:r>
      <w:r>
        <w:t>),</w:t>
      </w:r>
    </w:p>
    <w:p>
      <w:pPr>
        <w:pStyle w:val="NormalHanging12a"/>
      </w:pPr>
      <w:r>
        <w:t>–</w:t>
      </w:r>
      <w:r>
        <w:tab/>
      </w:r>
      <w:r>
        <w:t xml:space="preserve">uzimajući u obzir Direktivu (EU) 2019/1158 </w:t>
      </w:r>
      <w:r>
        <w:t>Europskog parlamenta</w:t>
      </w:r>
      <w:r>
        <w:t xml:space="preserve"> i Vijeća od 20. lipnja 2019. o ravnoteži između poslovnog i privatnog života roditelja i pružatelja skrbi i o stavljanju izvan snage Direktive Vijeća 2010/18/EU</w:t>
      </w:r>
      <w:r>
        <w:rPr>
          <w:rStyle w:val="FootnoteReference"/>
        </w:rPr>
        <w:footnoteReference w:id="8"/>
      </w:r>
      <w:r>
        <w:t>,</w:t>
      </w:r>
    </w:p>
    <w:p>
      <w:pPr>
        <w:pStyle w:val="NormalHanging12a"/>
      </w:pPr>
      <w:r>
        <w:t>–</w:t>
      </w:r>
      <w:r>
        <w:tab/>
      </w:r>
      <w:r>
        <w:t xml:space="preserve">uzimajući u obzir Direktivu (EU) 2022/2381 </w:t>
      </w:r>
      <w:r>
        <w:t>Europskog parlamenta</w:t>
      </w:r>
      <w:r>
        <w:t xml:space="preserve"> i Vijeća od 23. studenoga 2022. o poboljšanju rodne ravnoteže među direktorima uvrštenih trgovačkih društava i o povezanim mjerama</w:t>
      </w:r>
      <w:r>
        <w:rPr>
          <w:rStyle w:val="FootnoteReference"/>
        </w:rPr>
        <w:footnoteReference w:id="9"/>
      </w:r>
      <w:r>
        <w:t>,</w:t>
      </w:r>
    </w:p>
    <w:p>
      <w:pPr>
        <w:pStyle w:val="NormalHanging12a"/>
      </w:pPr>
      <w:r>
        <w:t>–</w:t>
      </w:r>
      <w:r>
        <w:tab/>
      </w:r>
      <w:r>
        <w:t xml:space="preserve">uzimajući u obzir Direktivu (EU) 2023/970 </w:t>
      </w:r>
      <w:r>
        <w:t>Europskog parlamenta</w:t>
      </w:r>
      <w:r>
        <w:t xml:space="preserve"> i Vijeća o jačanju primjene načela jednakih plaća muškaraca i žena za jednak rad ili rad jednake vrijednosti putem transparentnosti plaća i provedbenih mehanizama</w:t>
      </w:r>
      <w:r>
        <w:rPr>
          <w:rStyle w:val="FootnoteReference"/>
        </w:rPr>
        <w:footnoteReference w:id="10"/>
      </w:r>
      <w:r>
        <w:t>,</w:t>
      </w:r>
    </w:p>
    <w:p>
      <w:pPr>
        <w:pStyle w:val="NormalHanging12a"/>
      </w:pPr>
      <w:r>
        <w:t>–</w:t>
      </w:r>
      <w:r>
        <w:tab/>
      </w:r>
      <w:r>
        <w:t xml:space="preserve">uzimajući u obzir Direktivu (EU) 2024/1385 </w:t>
      </w:r>
      <w:r>
        <w:t>Europskog parlamenta</w:t>
      </w:r>
      <w:r>
        <w:t xml:space="preserve"> i Vijeća od 14. svibnja 2024. o suzbijanju nasilja nad ženama i nasilja u obitelji</w:t>
      </w:r>
      <w:r>
        <w:rPr>
          <w:rStyle w:val="FootnoteReference"/>
        </w:rPr>
        <w:footnoteReference w:id="11"/>
      </w:r>
      <w:r>
        <w:t>,</w:t>
      </w:r>
    </w:p>
    <w:p>
      <w:pPr>
        <w:pStyle w:val="NormalHanging12a"/>
      </w:pPr>
      <w:r>
        <w:t>–</w:t>
      </w:r>
      <w:r>
        <w:tab/>
      </w:r>
      <w:r>
        <w:t xml:space="preserve">uzimajući u obzir Direktivu (EU) 2024/1500 </w:t>
      </w:r>
      <w:r>
        <w:t>Europskog parlamenta</w:t>
      </w:r>
      <w:r>
        <w:t xml:space="preserve"> i Vijeća od 14. svibnja 2024. o standardima za tijela za jednakost u području jednakog postupanja prema ženama i muškarcima te njihovih jednakih mogućnosti u pitanjima zapošljavanja i rada te o izmjeni direktiva 2006/54/EZ i 2010/41/EU</w:t>
      </w:r>
      <w:r>
        <w:rPr>
          <w:rStyle w:val="FootnoteReference"/>
        </w:rPr>
        <w:footnoteReference w:id="12"/>
      </w:r>
      <w:r>
        <w:t>,</w:t>
      </w:r>
    </w:p>
    <w:p>
      <w:pPr>
        <w:pStyle w:val="NormalHanging12a"/>
      </w:pPr>
      <w:r>
        <w:t>–</w:t>
      </w:r>
      <w:r>
        <w:tab/>
      </w:r>
      <w:r>
        <w:t xml:space="preserve">uzimajući u obzir Direktivu (EU) 2024/1712 </w:t>
      </w:r>
      <w:r>
        <w:t>Europskog parlamenta</w:t>
      </w:r>
      <w:r>
        <w:t xml:space="preserve"> i Vijeća od 13. lipnja 2024. o izmjeni Direktive 2011/36/EU o sprečavanju i suzbijanju trgovanja ljudima i zaštiti njegovih žrtava</w:t>
      </w:r>
      <w:r>
        <w:rPr>
          <w:rStyle w:val="FootnoteReference"/>
        </w:rPr>
        <w:footnoteReference w:id="13"/>
      </w:r>
      <w:r>
        <w:t>,</w:t>
      </w:r>
    </w:p>
    <w:p>
      <w:pPr>
        <w:pStyle w:val="NormalHanging12a"/>
      </w:pPr>
      <w:r>
        <w:t>–</w:t>
      </w:r>
      <w:r>
        <w:tab/>
      </w:r>
      <w:r>
        <w:t>uzimajući u obzir komunikaciju Komisije od 5. ožujka 2020. naslovljenu „Unija jednakosti: Strategija za rodnu ravnopravnost 2020. – 2025.” (</w:t>
      </w:r>
      <w:hyperlink r:id="rId7" w:history="1">
        <w:r>
          <w:rPr>
            <w:rStyle w:val="Hyperlink"/>
          </w:rPr>
          <w:t>COM(2020)0152</w:t>
        </w:r>
      </w:hyperlink>
      <w:r>
        <w:rPr>
          <w:rStyle w:val="DefaultParagraphFont"/>
          <w:b w:val="0"/>
          <w:i w:val="0"/>
          <w:u w:val="none"/>
        </w:rPr>
        <w:t>),</w:t>
      </w:r>
    </w:p>
    <w:p>
      <w:pPr>
        <w:pStyle w:val="NormalHanging12a"/>
      </w:pPr>
      <w:r>
        <w:t>–</w:t>
      </w:r>
      <w:r>
        <w:tab/>
      </w:r>
      <w:r>
        <w:t>uzimajući u obzir zajedničku komunikaciju Komisije i Visokog predstavnika Unije za vanjske poslove i sigurnosnu politiku od 25. studenoga 2020. naslovljenu „Akcijski plan EU-a za rodnu ravnopravnost (GAP III): ambiciozan plan za rodnu ravnopravnost i osnaživanje žena u vanjskom djelovanju EU-a” (JOIN(2020)0017) i popratni zajednički radni dokument službi od 25. studenog 2020. naslovljen „Ciljevi i pokazatelji za uspostavu okvira provedbe Akcijskog plana za rodnu ravnopravnost (GAP III) (2021. – 2025.)” (SWD(2020)0284),</w:t>
      </w:r>
    </w:p>
    <w:p>
      <w:pPr>
        <w:pStyle w:val="NormalHanging12a"/>
      </w:pPr>
      <w:r>
        <w:t>–</w:t>
      </w:r>
      <w:r>
        <w:tab/>
      </w:r>
      <w:r>
        <w:t>uzimajući u obzir Komunikaciju Komisije od 7. ožujka 2025. naslovljenu „Plan za prava žena” (</w:t>
      </w:r>
      <w:hyperlink r:id="rId8" w:history="1">
        <w:r>
          <w:rPr>
            <w:rStyle w:val="Hyperlink"/>
          </w:rPr>
          <w:t>COM(2025)0097</w:t>
        </w:r>
      </w:hyperlink>
      <w:r>
        <w:rPr>
          <w:rStyle w:val="DefaultParagraphFont"/>
          <w:b w:val="0"/>
          <w:i w:val="0"/>
          <w:u w:val="none"/>
        </w:rPr>
        <w:t>),</w:t>
      </w:r>
    </w:p>
    <w:p>
      <w:pPr>
        <w:pStyle w:val="NormalHanging12a"/>
      </w:pPr>
      <w:r>
        <w:t>–</w:t>
      </w:r>
      <w:r>
        <w:tab/>
      </w:r>
      <w:r>
        <w:t>uzimajući u obzir svoju Rezoluciju od 13. veljače 2019. o nazadovanju u području prava žena i rodne ravnopravnosti u EU-u</w:t>
      </w:r>
      <w:r>
        <w:rPr>
          <w:rStyle w:val="FootnoteReference"/>
        </w:rPr>
        <w:footnoteReference w:id="14"/>
      </w:r>
      <w:r>
        <w:t>,</w:t>
      </w:r>
    </w:p>
    <w:p>
      <w:pPr>
        <w:pStyle w:val="NormalHanging12a"/>
      </w:pPr>
      <w:r>
        <w:t>–</w:t>
      </w:r>
      <w:r>
        <w:tab/>
      </w:r>
      <w:r>
        <w:t>uzimajući u obzir svoju Rezoluciju od 28. studenoga 2019. o pristupanju EU-a Istanbulskoj konvenciji i drugim mjerama za borbu protiv rodno uvjetovanog nasilja</w:t>
      </w:r>
      <w:r>
        <w:rPr>
          <w:rStyle w:val="FootnoteReference"/>
        </w:rPr>
        <w:footnoteReference w:id="15"/>
      </w:r>
      <w:r>
        <w:t>,</w:t>
      </w:r>
    </w:p>
    <w:p>
      <w:pPr>
        <w:pStyle w:val="NormalHanging12a"/>
      </w:pPr>
      <w:r>
        <w:t>–</w:t>
      </w:r>
      <w:r>
        <w:tab/>
      </w:r>
      <w:r>
        <w:t>uzimajući u obzir svoju Rezoluciju od 30. siječnja 2020. o razlici u plaćama žena i muškaraca</w:t>
      </w:r>
      <w:r>
        <w:rPr>
          <w:rStyle w:val="FootnoteReference"/>
        </w:rPr>
        <w:footnoteReference w:id="16"/>
      </w:r>
      <w:r>
        <w:t>,</w:t>
      </w:r>
    </w:p>
    <w:p>
      <w:pPr>
        <w:pStyle w:val="NormalHanging12a"/>
      </w:pPr>
      <w:r>
        <w:t>–</w:t>
      </w:r>
      <w:r>
        <w:tab/>
      </w:r>
      <w:r>
        <w:t>uzimajući u obzir svoju Rezoluciju od 23. listopada 2020. o rodnoj ravnopravnosti u vanjskoj i sigurnosnoj politici EU-a</w:t>
      </w:r>
      <w:r>
        <w:rPr>
          <w:rStyle w:val="FootnoteReference"/>
        </w:rPr>
        <w:footnoteReference w:id="17"/>
      </w:r>
      <w:r>
        <w:t>,</w:t>
      </w:r>
    </w:p>
    <w:p>
      <w:pPr>
        <w:pStyle w:val="NormalHanging12a"/>
      </w:pPr>
      <w:r>
        <w:t>–</w:t>
      </w:r>
      <w:r>
        <w:tab/>
      </w:r>
      <w:r>
        <w:t>uzimajući u obzir svoju Rezoluciju od 21. siječnja 2021. o Strategiji EU-a za rodnu ravnopravnost</w:t>
      </w:r>
      <w:r>
        <w:rPr>
          <w:rStyle w:val="FootnoteReference"/>
        </w:rPr>
        <w:footnoteReference w:id="18"/>
      </w:r>
      <w:r>
        <w:t>,</w:t>
      </w:r>
    </w:p>
    <w:p>
      <w:pPr>
        <w:pStyle w:val="NormalHanging12a"/>
      </w:pPr>
      <w:r>
        <w:t>–</w:t>
      </w:r>
      <w:r>
        <w:tab/>
      </w:r>
      <w:r>
        <w:t>uzimajući u obzir svoju Rezoluciju od 21. siječnja 2021. o premošćivanju digitalnog jaza između spolova: sudjelovanje žena u digitalnom gospodarstvu</w:t>
      </w:r>
      <w:r>
        <w:rPr>
          <w:rStyle w:val="FootnoteReference"/>
        </w:rPr>
        <w:footnoteReference w:id="19"/>
      </w:r>
      <w:r>
        <w:t>,</w:t>
      </w:r>
    </w:p>
    <w:p>
      <w:pPr>
        <w:pStyle w:val="NormalHanging12a"/>
      </w:pPr>
      <w:r>
        <w:t>–</w:t>
      </w:r>
      <w:r>
        <w:tab/>
      </w:r>
      <w:r>
        <w:t>uzimajući u obzir svoju Rezoluciju od 11. veljače 2021. o budućim izazovima u području prava žena u Europi: više od 25 godina od donošenja Pekinške deklaracije i platforme za djelovanje</w:t>
      </w:r>
      <w:r>
        <w:rPr>
          <w:rStyle w:val="FootnoteReference"/>
        </w:rPr>
        <w:footnoteReference w:id="20"/>
      </w:r>
      <w:r>
        <w:t>,</w:t>
      </w:r>
    </w:p>
    <w:p>
      <w:pPr>
        <w:pStyle w:val="NormalHanging12a"/>
      </w:pPr>
      <w:r>
        <w:t>–</w:t>
      </w:r>
      <w:r>
        <w:tab/>
      </w:r>
      <w:r>
        <w:t>uzimajući u obzir svoju Rezoluciju od 10. lipnja 2021. o promicanju rodne ravnopravnosti u obrazovanju i karijerama u područjima znanosti, tehnologije, inženjerstva i matematike (STEM)</w:t>
      </w:r>
      <w:r>
        <w:rPr>
          <w:rStyle w:val="FootnoteReference"/>
        </w:rPr>
        <w:footnoteReference w:id="21"/>
      </w:r>
      <w:r>
        <w:t>,</w:t>
      </w:r>
    </w:p>
    <w:p>
      <w:pPr>
        <w:pStyle w:val="NormalHanging12a"/>
      </w:pPr>
      <w:r>
        <w:t>–</w:t>
      </w:r>
      <w:r>
        <w:tab/>
      </w:r>
      <w:r>
        <w:t>uzimajući u obzir svoju Rezoluciju od 24. lipnja 2021. o stanju u pogledu seksualnog i reproduktivnog zdravlja i prava u EU-u u kontekstu zdravlja žena</w:t>
      </w:r>
      <w:r>
        <w:rPr>
          <w:rStyle w:val="FootnoteReference"/>
        </w:rPr>
        <w:footnoteReference w:id="22"/>
      </w:r>
      <w:r>
        <w:t>,</w:t>
      </w:r>
    </w:p>
    <w:p>
      <w:pPr>
        <w:pStyle w:val="NormalHanging12a"/>
      </w:pPr>
      <w:r>
        <w:t>–</w:t>
      </w:r>
      <w:r>
        <w:tab/>
      </w:r>
      <w:r>
        <w:t>uzimajući u obzir svoju Rezoluciju od 16. rujna 2021. s preporukama Komisiji o utvrđivanju rodno uvjetovanog nasilja kao novog područja kriminaliteta u članku 83. stavku 1. UFEU-a</w:t>
      </w:r>
      <w:r>
        <w:rPr>
          <w:rStyle w:val="FootnoteReference"/>
        </w:rPr>
        <w:footnoteReference w:id="23"/>
      </w:r>
      <w:r>
        <w:t>,</w:t>
      </w:r>
    </w:p>
    <w:p>
      <w:pPr>
        <w:pStyle w:val="NormalHanging12a"/>
      </w:pPr>
      <w:r>
        <w:t>–</w:t>
      </w:r>
      <w:r>
        <w:tab/>
      </w:r>
      <w:r>
        <w:t>uzimajući u obzir svoju Rezoluciju od 14. prosinca 2021. s preporukama Komisiji o borbi protiv rodno uvjetovanog nasilja: nasilje na internetu</w:t>
      </w:r>
      <w:r>
        <w:rPr>
          <w:rStyle w:val="FootnoteReference"/>
        </w:rPr>
        <w:footnoteReference w:id="24"/>
      </w:r>
      <w:r>
        <w:t>,</w:t>
      </w:r>
    </w:p>
    <w:p>
      <w:pPr>
        <w:pStyle w:val="NormalHanging12a"/>
      </w:pPr>
      <w:r>
        <w:t>–</w:t>
      </w:r>
      <w:r>
        <w:tab/>
      </w:r>
      <w:r>
        <w:t>uzimajući u obzir svoju Rezoluciju od 15. prosinca 2021. o ravnopravnosti žena i muškaraca u Europskoj uniji 2018. – 2020.</w:t>
      </w:r>
      <w:r>
        <w:rPr>
          <w:rStyle w:val="FootnoteReference"/>
        </w:rPr>
        <w:footnoteReference w:id="25"/>
      </w:r>
      <w:r>
        <w:t>,</w:t>
      </w:r>
    </w:p>
    <w:p>
      <w:pPr>
        <w:pStyle w:val="NormalHanging12a"/>
      </w:pPr>
      <w:r>
        <w:t>–</w:t>
      </w:r>
      <w:r>
        <w:tab/>
      </w:r>
      <w:r>
        <w:t>uzimajući u obzir svoju Rezoluciju od 10. ožujka 2022. o Akcijskom planu EU-a za rodnu ravnopravnost III</w:t>
      </w:r>
      <w:r>
        <w:rPr>
          <w:rStyle w:val="FootnoteReference"/>
        </w:rPr>
        <w:footnoteReference w:id="26"/>
      </w:r>
      <w:r>
        <w:t>,</w:t>
      </w:r>
    </w:p>
    <w:p>
      <w:pPr>
        <w:pStyle w:val="NormalHanging12a"/>
      </w:pPr>
      <w:r>
        <w:t>–</w:t>
      </w:r>
      <w:r>
        <w:tab/>
      </w:r>
      <w:r>
        <w:t>uzimajući u obzir svoju Rezoluciju od 3. svibnja 2022. o postizanju ekonomske neovisnosti žena s pomoću poduzetništva i samozapošljavanja</w:t>
      </w:r>
      <w:r>
        <w:rPr>
          <w:rStyle w:val="FootnoteReference"/>
        </w:rPr>
        <w:footnoteReference w:id="27"/>
      </w:r>
      <w:r>
        <w:t>,</w:t>
      </w:r>
    </w:p>
    <w:p>
      <w:pPr>
        <w:pStyle w:val="NormalHanging12a"/>
      </w:pPr>
      <w:r>
        <w:t>–</w:t>
      </w:r>
      <w:r>
        <w:tab/>
      </w:r>
      <w:r>
        <w:t>uzimajući u obzir svoju rezoluciju od 5. srpnja 2022. naslovljenu „Prema zajedničkom europskom djelovanju u području skrbi”</w:t>
      </w:r>
      <w:r>
        <w:rPr>
          <w:rStyle w:val="FootnoteReference"/>
        </w:rPr>
        <w:footnoteReference w:id="28"/>
      </w:r>
      <w:r>
        <w:t>,</w:t>
      </w:r>
    </w:p>
    <w:p>
      <w:pPr>
        <w:pStyle w:val="NormalHanging12a"/>
      </w:pPr>
      <w:r>
        <w:t>–</w:t>
      </w:r>
      <w:r>
        <w:tab/>
      </w:r>
      <w:r>
        <w:t>uzimajući u obzir svoju Rezoluciju od 05. srpnja 2022. o siromaštvu žena u Europi</w:t>
      </w:r>
      <w:r>
        <w:rPr>
          <w:rStyle w:val="FootnoteReference"/>
        </w:rPr>
        <w:footnoteReference w:id="29"/>
      </w:r>
      <w:r>
        <w:t>,</w:t>
      </w:r>
    </w:p>
    <w:p>
      <w:pPr>
        <w:pStyle w:val="NormalHanging12a"/>
      </w:pPr>
      <w:r>
        <w:t>–</w:t>
      </w:r>
      <w:r>
        <w:tab/>
      </w:r>
      <w:r>
        <w:t>uzimajući u obzir svoju Rezoluciju od 1. lipnja 2023. o seksualnom uznemiravanju u EU-u i evaluaciji MeToo pokreta</w:t>
      </w:r>
      <w:r>
        <w:rPr>
          <w:rStyle w:val="FootnoteReference"/>
        </w:rPr>
        <w:footnoteReference w:id="30"/>
      </w:r>
      <w:r>
        <w:t>,</w:t>
      </w:r>
    </w:p>
    <w:p>
      <w:pPr>
        <w:pStyle w:val="NormalHanging12a"/>
      </w:pPr>
      <w:r>
        <w:t>–</w:t>
      </w:r>
      <w:r>
        <w:tab/>
      </w:r>
      <w:r>
        <w:t>uzimajući u obzir Rezoluciju od 11. travnja 2024. o uključivanju prava na pobačaj u Povelju EU-a o temeljnim pravima</w:t>
      </w:r>
      <w:r>
        <w:rPr>
          <w:rStyle w:val="FootnoteReference"/>
        </w:rPr>
        <w:footnoteReference w:id="31"/>
      </w:r>
      <w:r>
        <w:t>,</w:t>
      </w:r>
    </w:p>
    <w:p>
      <w:pPr>
        <w:pStyle w:val="NormalHanging12a"/>
      </w:pPr>
      <w:r>
        <w:t>–</w:t>
      </w:r>
      <w:r>
        <w:tab/>
      </w:r>
      <w:r>
        <w:t>uzimajući u obzir svoju preporuku Vijeću od 19. prosinca 2024. o prioritetima EU-a za 69. sjednicu Komisije UN-a o statusu žena</w:t>
      </w:r>
      <w:r>
        <w:rPr>
          <w:rStyle w:val="FootnoteReference"/>
        </w:rPr>
        <w:footnoteReference w:id="32"/>
      </w:r>
      <w:r>
        <w:t>,</w:t>
      </w:r>
    </w:p>
    <w:p>
      <w:pPr>
        <w:pStyle w:val="NormalHanging12a"/>
      </w:pPr>
      <w:r>
        <w:t>–</w:t>
      </w:r>
      <w:r>
        <w:tab/>
      </w:r>
      <w:r>
        <w:t>uzimajući u obzir izvješće Agencije EU-a za temeljna prava (FRA), Eurostata i Europskog instituta za ravnopravnost spolova (EIGE) od 25. studenoga 2024. naslovljeno „Istraživanje EU-a o rodno uvjetovanom nasilju: ključni rezultati”,</w:t>
      </w:r>
    </w:p>
    <w:p>
      <w:pPr>
        <w:pStyle w:val="NormalHanging12a"/>
      </w:pPr>
      <w:r>
        <w:t>–</w:t>
      </w:r>
      <w:r>
        <w:tab/>
      </w:r>
      <w:r>
        <w:t>uzimajući u obzir indeks rodne ravnopravnosti 2024. koji je EIGE objavio 10. prosinca 2024.,</w:t>
      </w:r>
    </w:p>
    <w:p>
      <w:pPr>
        <w:pStyle w:val="NormalHanging12a"/>
      </w:pPr>
      <w:r>
        <w:t>–</w:t>
      </w:r>
      <w:r>
        <w:tab/>
      </w:r>
      <w:r>
        <w:t>uzimajući u obzir članak 55. Poslovnika,</w:t>
      </w:r>
    </w:p>
    <w:p>
      <w:pPr>
        <w:pStyle w:val="NormalHanging12a"/>
      </w:pPr>
      <w:r>
        <w:t>–</w:t>
      </w:r>
      <w:r>
        <w:tab/>
      </w:r>
      <w:r>
        <w:t xml:space="preserve">uzimajući u obzir mišljenje </w:t>
      </w:r>
      <w:r>
        <w:t>Odbora za građanske slobode, pravosuđe i unutarnje poslove</w:t>
      </w:r>
      <w:r>
        <w:t>,</w:t>
      </w:r>
    </w:p>
    <w:p>
      <w:pPr>
        <w:pStyle w:val="NormalHanging12a"/>
      </w:pPr>
      <w:r>
        <w:t>–</w:t>
      </w:r>
      <w:r>
        <w:tab/>
      </w:r>
      <w:r>
        <w:t>uzimajući u obzir izvješće Odbora za prava žena i rodnu ravnopravnost (A10-0000/2025),</w:t>
      </w:r>
    </w:p>
    <w:p>
      <w:pPr>
        <w:pStyle w:val="NormalHanging12a"/>
      </w:pPr>
      <w:r>
        <w:t>A.</w:t>
      </w:r>
      <w:r>
        <w:tab/>
      </w:r>
      <w:r>
        <w:t>budući da je pravo na jednako postupanje temeljno pravo priznato u Ugovorima</w:t>
      </w:r>
      <w:r>
        <w:rPr>
          <w:rStyle w:val="FootnoteReference"/>
        </w:rPr>
        <w:footnoteReference w:id="33"/>
      </w:r>
      <w:r>
        <w:t xml:space="preserve"> i Povelji o temeljnim pravima te da je presudno za daljnji razvoj Unije;</w:t>
      </w:r>
    </w:p>
    <w:p>
      <w:pPr>
        <w:pStyle w:val="NormalHanging12a"/>
      </w:pPr>
      <w:r>
        <w:t>B.</w:t>
      </w:r>
      <w:r>
        <w:tab/>
      </w:r>
      <w:r>
        <w:t>budući da je rodna ravnopravnost temeljna vrijednost EU-a, temeljno pravo i ključno načelo europskog stupa socijalnih prava te presudan uvjet za napredak;</w:t>
      </w:r>
    </w:p>
    <w:p>
      <w:pPr>
        <w:pStyle w:val="NormalHanging12a"/>
      </w:pPr>
      <w:r>
        <w:t>C.</w:t>
      </w:r>
      <w:r>
        <w:tab/>
      </w:r>
      <w:r>
        <w:t>budući da je rodno uvjetovano nasilje i dalje raširena pojava na globalnoj razini, među ostalim i u EU-u, te ima ozbiljne posljedice za žrtve i društvo;</w:t>
      </w:r>
    </w:p>
    <w:p>
      <w:pPr>
        <w:pStyle w:val="NormalHanging12a"/>
      </w:pPr>
      <w:r>
        <w:t>D.</w:t>
      </w:r>
      <w:r>
        <w:tab/>
      </w:r>
      <w:r>
        <w:t>budući da svi u EU-u imaju pravo pristupa najvišim standardima fizičkog i mentalnog zdravlja;</w:t>
      </w:r>
    </w:p>
    <w:p>
      <w:pPr>
        <w:pStyle w:val="NormalHanging12a"/>
      </w:pPr>
      <w:r>
        <w:t>E.</w:t>
      </w:r>
      <w:r>
        <w:tab/>
      </w:r>
      <w:r>
        <w:t>budući da su razlike na tržištu rada i nedostatak pravednih radnih uvjeta i sigurnosti radnica i dalje prisutni diljem EU-a te da je postojeća razlika u plaćama između spolova u velikoj mjeri posljedica sustavnog podcjenjivanja rada u sektorima u kojima prevladavaju žene; budući da je stoga potrebno riješiti pitanje „jednake plaće za rad jednake vrijednosti” kako bi se uklonila razlika u plaćama između spolova;</w:t>
      </w:r>
    </w:p>
    <w:p>
      <w:pPr>
        <w:pStyle w:val="NormalHanging12a"/>
      </w:pPr>
      <w:r>
        <w:t>F.</w:t>
      </w:r>
      <w:r>
        <w:tab/>
      </w:r>
      <w:r>
        <w:t>budući da su digitalne tehnologije u nastajanju faktor rizika za rodnu ravnopravnost te bi mogle nastaviti i produbiti postojeće obrasce rodne nejednakosti, diskriminacije i nasilja nad ženama i djevojčicama;</w:t>
      </w:r>
    </w:p>
    <w:p>
      <w:pPr>
        <w:pStyle w:val="NormalHanging12a"/>
      </w:pPr>
      <w:r>
        <w:t>G.</w:t>
      </w:r>
      <w:r>
        <w:tab/>
      </w:r>
      <w:r>
        <w:t>budući da diljem EU-a žene nerazmjerno snose obveze skrbi, što doprinosi nejednakostima;</w:t>
      </w:r>
    </w:p>
    <w:p>
      <w:pPr>
        <w:pStyle w:val="NormalHanging12a"/>
      </w:pPr>
      <w:r>
        <w:t>H.</w:t>
      </w:r>
      <w:r>
        <w:tab/>
      </w:r>
      <w:r>
        <w:t>budući da istraživanja pokazuju da su žene nedovoljno zastupljene na svim razinama donošenja gospodarskih i političkih odluka diljem svijeta te da je postizanje rodnog pariteta u političkom životu daleko od stvarnosti;</w:t>
      </w:r>
    </w:p>
    <w:p>
      <w:pPr>
        <w:pStyle w:val="NormalHanging12a"/>
      </w:pPr>
      <w:r>
        <w:t>I.</w:t>
      </w:r>
      <w:r>
        <w:tab/>
      </w:r>
      <w:r>
        <w:t>budući da se mnoge žene i ranjive skupine, uključujući osobe s invaliditetom, osobe u nepovoljnom socioekonomskom položaju, osobe izložene rasnoj diskriminaciji, osobe etničkog, manjinskog ili migrantskog podrijetla, starije osobe i LGBTIQ+ osobe, suočavaju s intersekcijskim nejednakostima i diskriminacijom u EU-u;</w:t>
      </w:r>
    </w:p>
    <w:p>
      <w:pPr>
        <w:pStyle w:val="NormalHanging12a"/>
      </w:pPr>
      <w:r>
        <w:t>J.</w:t>
      </w:r>
      <w:r>
        <w:tab/>
      </w:r>
      <w:r>
        <w:t>budući da se u Planu za prava žena ponovno potvrđuje snažna predanost EU-a zaštiti i promicanju rodne ravnopravnosti i prava žena, navodeći načela i dugoročnu viziju napretka na kojima će se temeljiti strategija za rodnu ravnopravnost nakon 2025.;</w:t>
      </w:r>
    </w:p>
    <w:p>
      <w:pPr>
        <w:pStyle w:val="NormalHanging12a"/>
      </w:pPr>
      <w:r>
        <w:t>1.</w:t>
      </w:r>
      <w:r>
        <w:tab/>
      </w:r>
      <w:r>
        <w:t>poziva Komisiju da predstavi ambicioznu strategiju za rodnu ravnopravnost 2026. s konkretnim, opipljivim zakonodavnim i nezakonodavnim mjerama u ključnim područjima navedenima u nastavku;</w:t>
      </w:r>
    </w:p>
    <w:p>
      <w:pPr>
        <w:pStyle w:val="Normal12a24b"/>
      </w:pPr>
      <w:r>
        <w:rPr>
          <w:rStyle w:val="BoldItalic"/>
        </w:rPr>
        <w:t>Rodno uvjetovano nasilje</w:t>
      </w:r>
    </w:p>
    <w:p>
      <w:pPr>
        <w:pStyle w:val="NormalHanging12a"/>
      </w:pPr>
      <w:r>
        <w:t>2.</w:t>
      </w:r>
      <w:r>
        <w:tab/>
      </w:r>
      <w:r>
        <w:t>poziva Komisiju da rodno uvjetovano nasilje utvrdi kao novo područje kriminaliteta navedeno u članku 83. stavku 1. UFEU-a kako bi se učinkovito suzbili svi oblici nasilja nad ženama i djevojčicama, što je jedan od najraširenijih oblika kršenja temeljnih prava u EU-u;</w:t>
      </w:r>
    </w:p>
    <w:p>
      <w:pPr>
        <w:pStyle w:val="NormalHanging12a"/>
      </w:pPr>
      <w:r>
        <w:t>3.</w:t>
      </w:r>
      <w:r>
        <w:tab/>
      </w:r>
      <w:r>
        <w:t>potiče Komisiju da femicid prizna kao zasebno kazneno djelo;</w:t>
      </w:r>
    </w:p>
    <w:p>
      <w:pPr>
        <w:pStyle w:val="NormalHanging12a"/>
      </w:pPr>
      <w:r>
        <w:t>4.</w:t>
      </w:r>
      <w:r>
        <w:tab/>
      </w:r>
      <w:r>
        <w:t>poziva Komisiju da prati i potiče brzo prenošenje Direktive (EU) 2024/1385 o borbi protiv nasilja nad ženama i nasilja u obitelji te da predstavi svoju preporuku o sprečavanju štetnih praksi protiv žena i djevojčica;</w:t>
      </w:r>
    </w:p>
    <w:p>
      <w:pPr>
        <w:pStyle w:val="NormalHanging12a"/>
      </w:pPr>
      <w:r>
        <w:t>5.</w:t>
      </w:r>
      <w:r>
        <w:tab/>
      </w:r>
      <w:r>
        <w:t>poziva Komisiju da predloži zakonodavstvo EU-a za kriminalizaciju silovanja na temelju izostanka pristanka; ponavlja da silovanje nije samo kršenje temeljnih prava i tjelesne autonomije žena, već i oblik seksualnog iskorištavanja žena i djevojčica;</w:t>
      </w:r>
    </w:p>
    <w:p>
      <w:pPr>
        <w:pStyle w:val="Normal12a24b"/>
      </w:pPr>
      <w:r>
        <w:rPr>
          <w:rStyle w:val="BoldItalic"/>
        </w:rPr>
        <w:t xml:space="preserve">Sveobuhvatna rodno osjetljiva zdravstvena skrb </w:t>
      </w:r>
    </w:p>
    <w:p>
      <w:pPr>
        <w:pStyle w:val="NormalHanging12a"/>
      </w:pPr>
      <w:r>
        <w:t>6.</w:t>
      </w:r>
      <w:r>
        <w:tab/>
      </w:r>
      <w:r>
        <w:t>potiče Komisiju da ženama i djevojčicama zajamči univerzalan pristup rodno osjetljivoj zdravstvenoj skrbi;</w:t>
      </w:r>
    </w:p>
    <w:p>
      <w:pPr>
        <w:pStyle w:val="NormalHanging12a"/>
      </w:pPr>
      <w:r>
        <w:t>7.</w:t>
      </w:r>
      <w:r>
        <w:tab/>
      </w:r>
      <w:r>
        <w:t>poziva Komisiju da na razini EU-a ukloni prepreke pristupu zdravstvenoj skrbi za žene u svoj njihovoj raznolikosti;</w:t>
      </w:r>
    </w:p>
    <w:p>
      <w:pPr>
        <w:pStyle w:val="NormalHanging12a"/>
      </w:pPr>
      <w:r>
        <w:t>8.</w:t>
      </w:r>
      <w:r>
        <w:tab/>
      </w:r>
      <w:r>
        <w:t>poziva Komisiju da ženama i djevojčicama u svoj njihovoj raznolikosti osigura potpun i jednak pristup uslugama zdravstvene skrbi u području spolnog i reproduktivnog zdravlja, uključujući pravo na siguran i zakonit pobačaj;</w:t>
      </w:r>
    </w:p>
    <w:p>
      <w:pPr>
        <w:pStyle w:val="Normal12a24b"/>
      </w:pPr>
      <w:r>
        <w:rPr>
          <w:rStyle w:val="BoldItalic"/>
        </w:rPr>
        <w:t xml:space="preserve">Rodna ravnopravnost i jačanje položaja žena u svijetu rada </w:t>
      </w:r>
    </w:p>
    <w:p>
      <w:pPr>
        <w:pStyle w:val="NormalHanging12a"/>
      </w:pPr>
      <w:r>
        <w:t>9.</w:t>
      </w:r>
      <w:r>
        <w:tab/>
      </w:r>
      <w:r>
        <w:t>poziva Komisiju da prati i potiče brzo prenošenje direktiva o primjerenim minimalnim plaćama</w:t>
      </w:r>
      <w:r>
        <w:rPr>
          <w:rStyle w:val="FootnoteReference"/>
        </w:rPr>
        <w:footnoteReference w:id="34"/>
      </w:r>
      <w:r>
        <w:t>, transparentnosti plaća</w:t>
      </w:r>
      <w:r>
        <w:rPr>
          <w:rStyle w:val="FootnoteReference"/>
        </w:rPr>
        <w:footnoteReference w:id="35"/>
      </w:r>
      <w:r>
        <w:t xml:space="preserve"> i ženama u upravnim odborima</w:t>
      </w:r>
      <w:r>
        <w:rPr>
          <w:rStyle w:val="FootnoteReference"/>
        </w:rPr>
        <w:footnoteReference w:id="36"/>
      </w:r>
      <w:r>
        <w:t>;</w:t>
      </w:r>
    </w:p>
    <w:p>
      <w:pPr>
        <w:pStyle w:val="NormalHanging12a"/>
      </w:pPr>
      <w:r>
        <w:t>10.</w:t>
      </w:r>
      <w:r>
        <w:tab/>
      </w:r>
      <w:r>
        <w:t>potiče Komisiju da izradi smjernice kojima bi se omogućila definicija i usporedba „vrijednosti rada” na razini EU-a te da brzo uspostavi rodno neutralne alate i kriterije za ocjenjivanje radnih mjesta u cilju bolje procjene i pravednije naknade za rad obavljen u sektorima u kojima prevladavaju žene;</w:t>
      </w:r>
    </w:p>
    <w:p>
      <w:pPr>
        <w:pStyle w:val="Normal12a24b"/>
      </w:pPr>
      <w:r>
        <w:rPr>
          <w:rStyle w:val="BoldItalic"/>
        </w:rPr>
        <w:t>Prava žena i rodna ravnopravnost u obrazovanju, osposobljavanju i digitalnoj sferi</w:t>
      </w:r>
    </w:p>
    <w:p>
      <w:pPr>
        <w:pStyle w:val="NormalHanging12a"/>
      </w:pPr>
      <w:r>
        <w:t>11.</w:t>
      </w:r>
      <w:r>
        <w:tab/>
      </w:r>
      <w:r>
        <w:t>potiče Komisiju da osigura rodno uključiv pristup svim razinama obrazovanja i da razvije visokokvalitetne standarde za obrazovne materijale kojima se promiče rodna ravnopravnost i uklanjaju rodni stereotipi, uključujući promicanje sveobuhvatnog spolnog odgoja i pristanka;</w:t>
      </w:r>
    </w:p>
    <w:p>
      <w:pPr>
        <w:pStyle w:val="NormalHanging12a"/>
      </w:pPr>
      <w:r>
        <w:t>12.</w:t>
      </w:r>
      <w:r>
        <w:tab/>
      </w:r>
      <w:r>
        <w:t>poziva Komisiju da razvije i donese politiku nulte tolerancije u digitalnom okruženju u pogledu svih oblika rodno uvjetovanog nasilja, štetnog ponašanja i diskursa kojima se potkopava i diskreditira izražavanje žena i djevojčica na internetu i izvan njega te da prednost da preventivnim mjerama i zaštitnim mjerama u svim područjima digitalne politike;</w:t>
      </w:r>
    </w:p>
    <w:p>
      <w:pPr>
        <w:pStyle w:val="Normal12a24b"/>
      </w:pPr>
      <w:r>
        <w:rPr>
          <w:rStyle w:val="BoldItalic"/>
        </w:rPr>
        <w:t>Usklađivanje privatnog i profesionalnog života</w:t>
      </w:r>
    </w:p>
    <w:p>
      <w:pPr>
        <w:pStyle w:val="NormalHanging12a"/>
      </w:pPr>
      <w:r>
        <w:t>13.</w:t>
      </w:r>
      <w:r>
        <w:tab/>
      </w:r>
      <w:r>
        <w:t>poziva Komisiju da europsku strategiju za skrb razvije u sveobuhvatan europski plan za skrb, opremljen obvezujućim zakonodavnim i financijskim alatima za ulaganje u dostupne, cjenovno pristupačne i visokokvalitetne usluge skrbi o djeci i dugotrajne skrbi;</w:t>
      </w:r>
    </w:p>
    <w:p>
      <w:pPr>
        <w:pStyle w:val="NormalHanging12a"/>
      </w:pPr>
      <w:r>
        <w:t>14.</w:t>
      </w:r>
      <w:r>
        <w:tab/>
      </w:r>
      <w:r>
        <w:t>naglašava potrebu za nastojanjem da se u EU-u postigne ravnopravnost između osoba koje primaju plaću i pružatelja skrbi te da se u tom pogledu preispitaju i prilagode ciljevi iz Barcelone, kao i da se dodatno razviju mjere za rodiljni i očinski dopust u cilju postizanja ravnopravnije rodne ravnoteže u pogledu obaveza skrbi;</w:t>
      </w:r>
    </w:p>
    <w:p>
      <w:pPr>
        <w:pStyle w:val="Normal12a24b"/>
      </w:pPr>
      <w:r>
        <w:rPr>
          <w:rStyle w:val="BoldItalic"/>
        </w:rPr>
        <w:t xml:space="preserve">Jednaka zastupljenost i sudjelovanje u politici </w:t>
      </w:r>
    </w:p>
    <w:p>
      <w:pPr>
        <w:pStyle w:val="NormalHanging12a"/>
      </w:pPr>
      <w:r>
        <w:t>15.</w:t>
      </w:r>
      <w:r>
        <w:tab/>
      </w:r>
      <w:r>
        <w:t>potiče Komisiju da na temelju rodnog pariteta za sve izbore provede zakonodavne rodne kvote i liste koje se temelje na metodi zebre te da osigura institucijski rodni paritet na svim razinama donošenja odluka;</w:t>
      </w:r>
    </w:p>
    <w:p>
      <w:pPr>
        <w:pStyle w:val="Normal12a24b"/>
      </w:pPr>
      <w:r>
        <w:rPr>
          <w:rStyle w:val="BoldItalic"/>
        </w:rPr>
        <w:t>Feministička vanjska politika</w:t>
      </w:r>
    </w:p>
    <w:p>
      <w:pPr>
        <w:pStyle w:val="NormalHanging12a"/>
      </w:pPr>
      <w:r>
        <w:t>16.</w:t>
      </w:r>
      <w:r>
        <w:tab/>
      </w:r>
      <w:r>
        <w:t>poziva Komisiju da promiče vanjsku, sigurnosnu, trgovinsku i razvojnu politiku kojom se prednost daje rodnoj ravnopravnosti u skladu s načelima prava, zastupanja i resursa;</w:t>
      </w:r>
    </w:p>
    <w:p>
      <w:pPr>
        <w:pStyle w:val="Normal12a24b"/>
      </w:pPr>
      <w:r>
        <w:rPr>
          <w:rStyle w:val="Italic"/>
        </w:rPr>
        <w:t>Suzbijanje antirodnih pokreta</w:t>
      </w:r>
    </w:p>
    <w:p>
      <w:pPr>
        <w:pStyle w:val="NormalHanging12a"/>
      </w:pPr>
      <w:r>
        <w:t>17.</w:t>
      </w:r>
      <w:r>
        <w:tab/>
      </w:r>
      <w:r>
        <w:t>potiče Komisiju da razvije sveobuhvatan alat za praćenje i borbu protiv nazadovanja demokracije i nazadovanja u pogledu prava žena, koja su neraskidivo povezana, te da zajamči da rodna ravnopravnost ostane prioritet u cijelom EU-u;</w:t>
      </w:r>
    </w:p>
    <w:p>
      <w:pPr>
        <w:pStyle w:val="Normal12a24b"/>
      </w:pPr>
      <w:r>
        <w:rPr>
          <w:rStyle w:val="Italic"/>
        </w:rPr>
        <w:t>Međusektorska sredstva za postizanje rodne ravnopravnosti</w:t>
      </w:r>
    </w:p>
    <w:p>
      <w:pPr>
        <w:pStyle w:val="NormalHanging12a"/>
      </w:pPr>
      <w:r>
        <w:t>18.</w:t>
      </w:r>
      <w:r>
        <w:tab/>
      </w:r>
      <w:r>
        <w:t>ponavlja da se svi napori za postizanje napretka u području rodne ravnopravnosti moraju uložiti uz potpuno poštovanje načela intersekcionalnosti i rodno osviještene politike;</w:t>
      </w:r>
    </w:p>
    <w:p>
      <w:pPr>
        <w:pStyle w:val="NormalHanging12a"/>
      </w:pPr>
      <w:r>
        <w:t>19.</w:t>
      </w:r>
      <w:r>
        <w:tab/>
      </w:r>
      <w:r>
        <w:t>poziva Komisiju da osigura i dodatno razvije primjenu rodno osviještene politike u svojim strukturama, metodama i alatima te da osigura da je rodna perspektiva integrirana u sve prijedloge Komisije, uključujući sve proračunske postupke;</w:t>
      </w:r>
    </w:p>
    <w:p>
      <w:pPr>
        <w:pStyle w:val="NormalHanging12a"/>
      </w:pPr>
      <w:r>
        <w:t>20.</w:t>
      </w:r>
      <w:r>
        <w:tab/>
      </w:r>
      <w:r>
        <w:t>potiče Komisiju da iskoristi i dodatno razvije intersekcionalnost kao međusektorsko načelo u novoj strategiji za rodnu ravnopravnost;</w:t>
      </w:r>
    </w:p>
    <w:p>
      <w:pPr>
        <w:pStyle w:val="NormalCenter12a"/>
      </w:pPr>
      <w:r>
        <w:t>°</w:t>
      </w:r>
    </w:p>
    <w:p>
      <w:pPr>
        <w:pStyle w:val="NormalCenter12a"/>
      </w:pPr>
      <w:r>
        <w:t>°</w:t>
      </w:r>
      <w:r>
        <w:tab/>
      </w:r>
      <w:r>
        <w:t>°</w:t>
      </w:r>
    </w:p>
    <w:p>
      <w:pPr>
        <w:pStyle w:val="NormalHanging12a"/>
      </w:pPr>
      <w:r>
        <w:t>21.</w:t>
      </w:r>
      <w:r>
        <w:tab/>
      </w:r>
      <w:r>
        <w:t>nalaže svojoj predsjednici da ovu Rezoluciju proslijedi Vijeću i Komisiji.</w:t>
      </w:r>
    </w:p>
    <w:p>
      <w:pPr>
        <w:pStyle w:val="NormalHanging12a"/>
        <w:sectPr>
          <w:footerReference w:type="even" r:id="rId9"/>
          <w:footerReference w:type="default" r:id="rId10"/>
          <w:footerReference w:type="first" r:id="rId11"/>
          <w:footnotePr>
            <w:numRestart w:val="eachSect"/>
          </w:footnotePr>
          <w:pgSz w:w="11906" w:h="16838"/>
          <w:pgMar w:top="1134" w:right="1417" w:bottom="1417" w:left="1417" w:header="1134" w:footer="567" w:gutter="0"/>
          <w:cols w:num="1" w:space="708"/>
          <w:titlePg/>
          <w:docGrid w:linePitch="360"/>
        </w:sectPr>
      </w:pPr>
    </w:p>
    <w:p>
      <w:pPr>
        <w:pStyle w:val="PageHeading"/>
      </w:pPr>
      <w:bookmarkStart w:id="1" w:name="_Toc256000004"/>
      <w:r>
        <w:t>OBRAZLOŽENJE</w:t>
      </w:r>
      <w:bookmarkEnd w:id="1"/>
    </w:p>
    <w:p>
      <w:pPr>
        <w:pStyle w:val="Normal12a"/>
      </w:pPr>
      <w:r>
        <w:t xml:space="preserve">Rodna ravnopravnost – uz prava žena – jedna je od </w:t>
      </w:r>
      <w:r>
        <w:rPr>
          <w:rStyle w:val="Bold"/>
        </w:rPr>
        <w:t>temeljnih vrijednosti</w:t>
      </w:r>
      <w:r>
        <w:t xml:space="preserve"> Europske unije; oni su neizostavan i nedjeljiv dio ljudskih prava. Predstavljaju osnovu i svrhu vladavine prava na nacionalnoj, europskoj i međunarodnoj razini, kao i najprikladnije i najrelevantnije pokazatelje zdravlja i otpornosti naših demokracija.</w:t>
      </w:r>
    </w:p>
    <w:p>
      <w:pPr>
        <w:pStyle w:val="Normal12a"/>
      </w:pPr>
      <w:r>
        <w:t xml:space="preserve">U trenutačnom geopolitičkom kontekstu i globalnim procesima sad je važnije nego ikad predstaviti </w:t>
      </w:r>
      <w:r>
        <w:rPr>
          <w:rStyle w:val="Bold"/>
        </w:rPr>
        <w:t>ambiciozan program za prava žena i rodnu ravnopravnost</w:t>
      </w:r>
      <w:r>
        <w:t xml:space="preserve"> te stoga ovo izvješće dolazi u ključnom trenutku za Europsku uniju. Novom europskom strategijom za rodnu ravnopravnost za razdoblje nakon 2025. moraju se poštovati standardi utvrđeni prethodnih godina i nastaviti sa sveobuhvatnim ciljem postizanja </w:t>
      </w:r>
      <w:r>
        <w:rPr>
          <w:rStyle w:val="Bold"/>
        </w:rPr>
        <w:t xml:space="preserve">rodne ravnopravnosti na svim razinama i u svim područjima za sve osobe bez diskriminacije. </w:t>
      </w:r>
      <w:r>
        <w:t xml:space="preserve">Osim toga, novom strategijom moraju se poduzeti </w:t>
      </w:r>
      <w:r>
        <w:rPr>
          <w:rStyle w:val="Bold"/>
        </w:rPr>
        <w:t>odlučne mjere za provedbu</w:t>
      </w:r>
      <w:r>
        <w:t xml:space="preserve"> prethodno donesenog zakonodavstva.</w:t>
      </w:r>
      <w:r>
        <w:rPr>
          <w:rStyle w:val="Bold"/>
        </w:rPr>
        <w:t xml:space="preserve"> </w:t>
      </w:r>
    </w:p>
    <w:p>
      <w:pPr>
        <w:pStyle w:val="Normal12a"/>
      </w:pPr>
      <w:r>
        <w:t xml:space="preserve">Nova strategija donijet će se u vrijeme kada su antirodni i antidemokratski pokreti u porastu. Stoga tekst koji će predstaviti Komisija mora </w:t>
      </w:r>
      <w:r>
        <w:rPr>
          <w:rStyle w:val="Bold"/>
        </w:rPr>
        <w:t xml:space="preserve">odražavati jasnu institucionalnu predanost i konkretne obveze u pogledu zaštite i daljnjeg razvoja okvira za rodnu ravnopravnost, a time i zaštite naše demokracije. </w:t>
      </w:r>
      <w:r>
        <w:t xml:space="preserve">Ne postoji demokracija bez ravnopravnog i snažnog sudjelovanja i angažmana žena i djevojčica, a oni koje nastoje potkopati naš institucionalni okvir oni su koji napadaju prava žena. Ti su programi međusobno povezani i kao takvi zahtijevaju </w:t>
      </w:r>
      <w:r>
        <w:rPr>
          <w:rStyle w:val="Bold"/>
        </w:rPr>
        <w:t>odgovor utemeljen na europskoj razini.</w:t>
      </w:r>
      <w:r>
        <w:t xml:space="preserve"> Takav odgovor mora se dati u svim područjima politika, na svim razinama uz jasnu </w:t>
      </w:r>
      <w:r>
        <w:rPr>
          <w:rStyle w:val="Bold"/>
        </w:rPr>
        <w:t>rodno osviještenu politiku</w:t>
      </w:r>
      <w:r>
        <w:t xml:space="preserve"> u cijelom našem radu.</w:t>
      </w:r>
    </w:p>
    <w:p>
      <w:pPr>
        <w:pStyle w:val="Normal12a"/>
      </w:pPr>
      <w:r>
        <w:t>Današnji svijet dramatično se promijenio od vremena kada je donesena posljednja strategija za rodnu ravnopravnost</w:t>
      </w:r>
      <w:r>
        <w:rPr>
          <w:rStyle w:val="FootnoteReference"/>
        </w:rPr>
        <w:footnoteReference w:id="37"/>
      </w:r>
      <w:r>
        <w:t xml:space="preserve"> i postoje nova područja kojima se treba pozabaviti na odgovarajući način: od nasilja nad ženama i djevojčicama i njihova uznemiravanja u digitalnoj sferi i svijetu rada do potrebe za feminističkom vanjskom politikom izgradnje mira te zaštitom spolnog i reproduktivnog zdravlja i prava, uključujući pristup sigurnom i zakonitom pobačaju, kao temeljnim ljudskim pravima. U svoje politike moramo uključiti i </w:t>
      </w:r>
      <w:r>
        <w:rPr>
          <w:rStyle w:val="Bold"/>
        </w:rPr>
        <w:t>intersekcijski pristup</w:t>
      </w:r>
      <w:r>
        <w:t xml:space="preserve"> jer smo svjesni da su određene skupine, npr. migrantice, LGBTIQ osobe, Romkinje, žene s invaliditetom u EU-u suočene s višestrukim intersekcijskim oblicima diskriminacije. Na nama je da ih odgovarajuće i brzo riješimo.</w:t>
      </w:r>
    </w:p>
    <w:p>
      <w:pPr>
        <w:pStyle w:val="Normal12a"/>
      </w:pPr>
      <w:r>
        <w:t xml:space="preserve">Nedavno predstavljeni </w:t>
      </w:r>
      <w:r>
        <w:rPr>
          <w:rStyle w:val="Bold"/>
        </w:rPr>
        <w:t>Plan za prava žena</w:t>
      </w:r>
      <w:r>
        <w:rPr>
          <w:rStyle w:val="FootnoteReference"/>
        </w:rPr>
        <w:footnoteReference w:id="38"/>
      </w:r>
      <w:r>
        <w:t xml:space="preserve"> korak je u pravom smjeru kojim se priznaju mnoga pitanja s kojima se danas suočavamo kad govorimo o pravima žena. Međutim, potrebno ga je dalje razvijati kao dio nove strategije za rodnu ravnopravnost </w:t>
      </w:r>
      <w:r>
        <w:rPr>
          <w:rStyle w:val="Bold"/>
        </w:rPr>
        <w:t>konkretnim, zakonodavnim i nezakonodavnim mjerama</w:t>
      </w:r>
      <w:r>
        <w:t xml:space="preserve"> usmjerenima na stvaranje istinski rodno ravnopravnog društva.</w:t>
      </w:r>
    </w:p>
    <w:p>
      <w:pPr>
        <w:pStyle w:val="Normal12a"/>
      </w:pPr>
      <w:r>
        <w:rPr>
          <w:rStyle w:val="Bold"/>
        </w:rPr>
        <w:t>Rodno uvjetovano nasilje</w:t>
      </w:r>
      <w:r>
        <w:t xml:space="preserve"> je, prema definiciji Europskog instituta za ravnopravnost spolova, bilo koja vrsta nasilja na temelju spola, od fizičkog, emocionalnog i financijskog do reproduktivnog nasilja, a iako svatko može biti žrtva rodno uvjetovanog nasilja, žrtve su većinom žene</w:t>
      </w:r>
      <w:r>
        <w:rPr>
          <w:rStyle w:val="FootnoteReference"/>
        </w:rPr>
        <w:footnoteReference w:id="39"/>
      </w:r>
      <w:r>
        <w:t>. Najnoviji tematski cilj indeksa rodne ravnopravnosti</w:t>
      </w:r>
      <w:r>
        <w:rPr>
          <w:rStyle w:val="FootnoteReference"/>
        </w:rPr>
        <w:footnoteReference w:id="40"/>
      </w:r>
      <w:r>
        <w:t xml:space="preserve"> odnosio se posebno na rodno uvjetovano nasilje, a podaci pokazuju da je 31 % žena u EU-u doživjelo fizičko i/ili seksualno nasilje nakon svoje 15. godine života. To pokazuje da je, unatoč zakonodavnom i nezakonodavnom napretku u EU-u</w:t>
      </w:r>
      <w:r>
        <w:rPr>
          <w:rStyle w:val="FootnoteReference"/>
        </w:rPr>
        <w:footnoteReference w:id="41"/>
      </w:r>
      <w:r>
        <w:t xml:space="preserve">, </w:t>
      </w:r>
      <w:r>
        <w:rPr>
          <w:rStyle w:val="Bold"/>
        </w:rPr>
        <w:t>rodno uvjetovano nasilje</w:t>
      </w:r>
      <w:r>
        <w:t xml:space="preserve"> još uvijek jedan od ključnih izazova koji stoje na putu do istinski rodno ravnopravnog društva, da je i dalje vrlo rašireno diljem Unije te da se njime treba dodatno pozabaviti na europskoj razini i jasno ga </w:t>
      </w:r>
      <w:r>
        <w:rPr>
          <w:rStyle w:val="Bold"/>
        </w:rPr>
        <w:t>definirati kao kazneno djelo u EU-u</w:t>
      </w:r>
      <w:r>
        <w:t xml:space="preserve">. Najnoviji podaci pokazuju da je provedba postojećeg zakonodavstva, npr. </w:t>
      </w:r>
      <w:r>
        <w:rPr>
          <w:rStyle w:val="Bold"/>
        </w:rPr>
        <w:t>Direktive o suzbijanju nasilja nad ženama i nasilja u obitelji</w:t>
      </w:r>
      <w:r>
        <w:t xml:space="preserve">, goruće pitanje koje se mora pratiti i kojim se mora dobro upravljati. Osim toga, određene aspekte prethodnog zakonodavstva potrebno je preformulirati i dalje razvijati, npr. definicije koje se temelje na pristanku, </w:t>
      </w:r>
      <w:r>
        <w:rPr>
          <w:rStyle w:val="Bold"/>
        </w:rPr>
        <w:t>dodavanje silovanja na popis kaznenih djela u EU-u i priznavanje femicida kao kaznenog djela koje se razlikuje od ubojstva</w:t>
      </w:r>
      <w:r>
        <w:t>, ali i isticanje nekih od manje poznatih kategorija rodno uvjetovanog nasilja, npr. porodničarsko nasilje i uskraćivanje skrbi u vezi s pobačajem. Želimo vidjeti i napredak u pogledu preporuka o štetnim praksama.</w:t>
      </w:r>
    </w:p>
    <w:p>
      <w:pPr>
        <w:pStyle w:val="Normal12a"/>
      </w:pPr>
      <w:r>
        <w:t xml:space="preserve">Svi u Europskoj uniji imaju pravo pristupa </w:t>
      </w:r>
      <w:r>
        <w:rPr>
          <w:rStyle w:val="Bold"/>
        </w:rPr>
        <w:t>najvišim standardima tjelesnog i mentalnog zdravlja i visoka razina zaštite ljudskog zdravlja</w:t>
      </w:r>
      <w:r>
        <w:t xml:space="preserve"> mora se osigurati pri utvrđivanju i provedbi svih politika i aktivnosti Unije</w:t>
      </w:r>
      <w:r>
        <w:rPr>
          <w:rStyle w:val="FootnoteReference"/>
        </w:rPr>
        <w:footnoteReference w:id="42"/>
      </w:r>
      <w:r>
        <w:t>. Pravo na pristup zdravstvenoj skrbi sadržano je u 16. načelu europskog stupa socijalnih prava i u akcijskom planu potičemo države članice da se bore protiv zdravstvenih nejednakosti. Indeks rodne ravnopravnosti pokazuje spor napredak u području rodne ravnopravnosti u zdravstvu, pri čemu udio žena i muškaraca koji svoje zdravlje smatraju vrlo dobrim ili dobrim opada u dvije trećine država članica, a za mnoga spolno i rodno osjetljiva stanja nema dovoljno istraživanja, financijskih sredstava i resursa, uključujući određivanje prioriteta</w:t>
      </w:r>
      <w:r>
        <w:rPr>
          <w:rStyle w:val="FootnoteReference"/>
        </w:rPr>
        <w:footnoteReference w:id="43"/>
      </w:r>
      <w:r>
        <w:t>.</w:t>
      </w:r>
    </w:p>
    <w:p>
      <w:pPr>
        <w:pStyle w:val="Normal12a"/>
      </w:pPr>
      <w:r>
        <w:rPr>
          <w:rStyle w:val="Bold"/>
        </w:rPr>
        <w:t>Seksualno i reproduktivno zdravlje i prava</w:t>
      </w:r>
      <w:r>
        <w:t xml:space="preserve"> jedno su od ključnih pitanja u raspravi o ljudskim pravima i neodvojivi su od ostvarenja temeljnog prava na zdravlje, kao i ostvarenja rodne ravnopravnosti i iskorjenjivanja rodno uvjetovanog nasilja. Tjelesna autonomija osobe i pravo na odlučivanje o vlastitom tijelu i životu apsolutni su preduvjet za postizanje rodne ravnopravnosti. Kršenja spolnog i reproduktivnog zdravlja i prava predstavljaju kršenja ljudskih prava. Svi izazovi povezani sa seksualnim i reproduktivnim zdravljem i pravima s kojima se suočavaju države članice zajednički su europski izazovi, a to je pitanje ljudskih prava i zdravstveno pitanje koje se mora riješiti jedinstvenim pristupom. Svjetska zdravstvena organizacija (SZO) prepoznaje potrebu za univerzalnim pristupom spolnom i reproduktivnom zdravlju kao sastavnom dijelu prava na zdravlje. Cilj nam je imati strategiju za rodnu ravnopravnost koja osigurava univerzalan pristup sveobuhvatnom, dobno primjerenom i na dokazima utemeljenom seksualnom odgoju i obrazovanju o odnosima, nizu visokokvalitetnih, dostupnih i cjenovno pristupačnih modernih kontracepcijskih metoda i pomagala, savjetovanju o planiranju obitelji, liječenju plodnosti i informacijama o kontracepcijskim sredstvima te besplatnoj, sigurnoj i zakonitoj skrbi u vezi s pobačajem.</w:t>
      </w:r>
    </w:p>
    <w:p>
      <w:pPr>
        <w:pStyle w:val="Normal12a"/>
      </w:pPr>
      <w:r>
        <w:t xml:space="preserve">Stanje na europskom </w:t>
      </w:r>
      <w:r>
        <w:rPr>
          <w:rStyle w:val="Bold"/>
        </w:rPr>
        <w:t>tržištu rada</w:t>
      </w:r>
      <w:r>
        <w:t xml:space="preserve"> zahtijeva hitan i sveobuhvatan pristup kako bi se prevladale postojeće nejednakosti. Svaka treća žena u EU-u nema plaćeno zaposlenje, a veliku većinu poslova na nepuno radno vrijeme u Uniji obavljaju žene. Rad žena tradicionalno je podcijenjen, a rodna segregacija i dalje je znatna, pri čemu su žene prekomjerno zastupljene u manje profitabilnim sektorima.</w:t>
      </w:r>
      <w:r>
        <w:rPr>
          <w:rStyle w:val="Bold"/>
        </w:rPr>
        <w:t xml:space="preserve"> Osnaživanje žena u svijetu rada</w:t>
      </w:r>
      <w:r>
        <w:t xml:space="preserve"> ključan je korak u razgovoru o društvenom i gospodarskom razvoju te preduvjet za snažno konkurentno gospodarstvo. Stoga je ključno brzo prenošenje </w:t>
      </w:r>
      <w:r>
        <w:rPr>
          <w:rStyle w:val="Bold"/>
        </w:rPr>
        <w:t>Direktive o transparentnosti plaća</w:t>
      </w:r>
      <w:r>
        <w:t xml:space="preserve"> s naglaskom na razmatranju načina za proširenje njezina područja primjene. Osim toga, mora se provesti i </w:t>
      </w:r>
      <w:r>
        <w:rPr>
          <w:rStyle w:val="Bold"/>
        </w:rPr>
        <w:t>Direktiva o primjerenim minimalnim plaćama</w:t>
      </w:r>
      <w:r>
        <w:t xml:space="preserve"> i </w:t>
      </w:r>
      <w:r>
        <w:rPr>
          <w:rStyle w:val="Bold"/>
        </w:rPr>
        <w:t>ženama u upravnim odborima</w:t>
      </w:r>
      <w:r>
        <w:t>. U ovom se izvješću prepoznaje da je glavni razlog za rodnu razliku u plaćama sustavno smanjenje plaća u sektorima u kojima prevladavaju žene (skrb, zdravstvo, obrazovanje, maloprodaja) u usporedbi s plaćama u sektorima u kojima prevladavaju muškarci, što također dovodi do toga da ti sektori nisu privlačni muškarcima, čime se jačaju štetne norme i stereotipi. Hitno je potrebno izraditi smjernice kojima bi se omogućila definicija i usporedba „</w:t>
      </w:r>
      <w:r>
        <w:rPr>
          <w:rStyle w:val="Italic"/>
        </w:rPr>
        <w:t>vrijednosti rada</w:t>
      </w:r>
      <w:r>
        <w:t>” te uspostaviti rodno neutralne alate i kriterije za ocjenjivanje radnih mjesta u cilju bolje procjene i pravednije naknade za rad u sektorima u kojima prevladavaju žene. Mora se riješiti pitanje sigurnosti na radu, kako u radnim prostorima tako i u kontekstu rada na daljinu.</w:t>
      </w:r>
    </w:p>
    <w:p>
      <w:pPr>
        <w:pStyle w:val="Normal12a"/>
      </w:pPr>
      <w:r>
        <w:rPr>
          <w:rStyle w:val="Bold"/>
        </w:rPr>
        <w:t>Obrazovanje i osposobljavanje ključni su za rodnu ravnopravnost</w:t>
      </w:r>
      <w:r>
        <w:t xml:space="preserve"> i sposobnost svih da se prilagode promjenama na tržištu rada, a tercijarno obrazovanje presudno je za kvalitetne mogućnosti zapošljavanja. U Europskoj uniji danas je horizontalna i vertikalna rodna segregacija u obrazovanju i dalje prisutna te je štetna za rodnu ravnopravnost. Stoga je ključno omogućiti potpun i neometan pristup obrazovanju i osposobljavanju te podupirati sudjelovanje žena u obrazovanju u području STEM-a te u svim drugim područjima i karijerama. Procjenjuje se da u EU-u postoji 8 milijuna stručnjaka za IKT, ali samo njih 17 % su žene. U svijetu žene čine samo 22 % stručnjaka u području umjetne inteligencije. Važnost tih tema i povezanih radnih mjesta raste i moramo osigurati da žene ne budu zapostavljene i da je digitalna sfera za njih sigurna, uključujući kad se radi o algoritmima i drugim postojećim alatima. Imajući na umu da su trenutačna struktura privatnog vlasništva i ključni akteri velikih internetskih platformi stvorili internetski svijet štetan za prava žena i rodnu ravnopravnost, moramo se moći boriti protiv toga i zaštititi sve žene i djevojčice diljem EU-a. Osim toga, muškarce treba poticati da uđu u sektore u kojima dominiraju žene s pomoću boljih uvjeta rada i pravednije plaće. Nova strategija za rodnu ravnopravnost mora razviti okvir koji će djevojčicama i dječacima stvoriti siguran prostor za učenje, educirati roditelje i nastavnike o rodnim stereotipima i uspostaviti pozitivne uzore za žene i muškarce koji podržavaju feminizam.</w:t>
      </w:r>
    </w:p>
    <w:p>
      <w:pPr>
        <w:pStyle w:val="Normal12a"/>
      </w:pPr>
      <w:r>
        <w:rPr>
          <w:rStyle w:val="Bold"/>
        </w:rPr>
        <w:t>Obveze skrbi</w:t>
      </w:r>
      <w:r>
        <w:t xml:space="preserve"> za djecu i druge uzdržavane osobe znatno su ograničenje u sudjelovanju žena na tržištu rada. Zbog neplaćenih obveza skrbi oko 7,7 milijuna žena u EU-u može sudjelovati na tržištu rada, u usporedbi sa samo 450 000 muškaraca. Na razini kućanstva nejednaka podjela neplaćenog pružanja skrbi između žena i muškaraca ograničava ravnopravno sudjelovanje žena na tržištu rada i napredovanje u karijeri. Ta je situacija štetna za postizanje istinski pravednog okvira za </w:t>
      </w:r>
      <w:r>
        <w:rPr>
          <w:rStyle w:val="Bold"/>
        </w:rPr>
        <w:t>ravnotežu između poslovnog i privatnog života</w:t>
      </w:r>
      <w:r>
        <w:t xml:space="preserve">, a nova strategija mora riješiti ta pitanja. Cilj nam je raditi na postizanju </w:t>
      </w:r>
      <w:r>
        <w:rPr>
          <w:rStyle w:val="Italic"/>
        </w:rPr>
        <w:t>ravnopravnost između osoba koje primaju plaću i pružatelja skrbi</w:t>
      </w:r>
      <w:r>
        <w:t xml:space="preserve"> u društvu. Stoga moramo pomno pratiti, ocjenjivati i, prema potrebi, dalje razvijati </w:t>
      </w:r>
      <w:r>
        <w:rPr>
          <w:rStyle w:val="Bold"/>
        </w:rPr>
        <w:t>direktivu o ravnoteži između poslovnog i privatnog života</w:t>
      </w:r>
      <w:r>
        <w:t xml:space="preserve">, ali postoji i potreba za predlaganjem </w:t>
      </w:r>
      <w:r>
        <w:rPr>
          <w:rStyle w:val="Bold"/>
        </w:rPr>
        <w:t>europskog sporazuma o skrbi</w:t>
      </w:r>
      <w:r>
        <w:t>, utemeljenog na europskoj strategiji za skrb, s obvezujućim zakonodavstvom i financiranjem na razini EU-a. Žene preuzimaju teret skrbi u različitim kategorijama i moramo izjednačiti uvjete na europskoj razini.</w:t>
      </w:r>
    </w:p>
    <w:p>
      <w:pPr>
        <w:pStyle w:val="Normal12a"/>
      </w:pPr>
      <w:r>
        <w:t xml:space="preserve">Različite skupine donose bolje, uključivije i održivije odluke. Samo odluke koje uzimaju u obzir svačije stavove mogu nas voditi prema boljoj budućnosti za sve, a </w:t>
      </w:r>
      <w:r>
        <w:rPr>
          <w:rStyle w:val="Bold"/>
        </w:rPr>
        <w:t>žene na položajima na kojima se donose odluke</w:t>
      </w:r>
      <w:r>
        <w:t xml:space="preserve"> ključni su uzori i pomoć u oblikovanju okvira za ravnopravnu budućnost.  Moramo ukloniti nedostatke u donošenju odluka na političkoj i gospodarskoj razini te se istodobno boriti protiv institucionalnih nejednakosti koje sprečavaju žene da ostvare svoj puni potencijal.</w:t>
      </w:r>
    </w:p>
    <w:p>
      <w:pPr>
        <w:pStyle w:val="Normal12a"/>
      </w:pPr>
      <w:r>
        <w:t xml:space="preserve">U vremenima sve većih globalnih sukoba i nesigurnosti </w:t>
      </w:r>
      <w:r>
        <w:rPr>
          <w:rStyle w:val="Bold"/>
        </w:rPr>
        <w:t>vanjska, obrambena i sigurnosna politika EU-a mora biti feministička</w:t>
      </w:r>
      <w:r>
        <w:t>, a ostvarivanje prava žena i rodne ravnopravnosti mora biti jedno od horizontalnih načela i jedan od ključnih ciljeva. U svojim vanjskim politikama moramo biti u stanju odražavati misiju izgradnje mira, a jedan od preduvjeta za to ravnopravno je sudjelovanje žena na vodećim položajima i među dionicima. Program promicanja i zaštite prava žena, kao i potpora aktivisticama, edukatoricama i čelnicama u zonama sukoba, moraju biti prioritet u svim strategijama EU-a za odgovor na sukobe, kao i u svim alatima i mehanizmima za odgovor na krizu. Načela prava, zastupanja i resursa moraju se primjenjivati na sva vanjska djelovanja EU-a.</w:t>
      </w:r>
    </w:p>
    <w:p>
      <w:pPr>
        <w:pStyle w:val="Normal12a"/>
        <w:sectPr>
          <w:footnotePr>
            <w:numRestart w:val="eachSect"/>
          </w:footnotePr>
          <w:type w:val="nextPage"/>
          <w:pgSz w:w="11906" w:h="16838"/>
          <w:pgMar w:top="1134" w:right="1417" w:bottom="1417" w:left="1417" w:header="1134" w:footer="567" w:gutter="0"/>
          <w:cols w:num="1" w:space="708"/>
          <w:titlePg w:val="0"/>
          <w:docGrid w:linePitch="360"/>
        </w:sectPr>
      </w:pPr>
    </w:p>
    <w:p>
      <w:pPr>
        <w:pStyle w:val="PageHeading"/>
      </w:pPr>
      <w:bookmarkStart w:id="2" w:name="_Toc256000005"/>
      <w:r>
        <w:t>PRILOG: SUBJEKTI ILI OSOBE</w:t>
        <w:br/>
        <w:t>OD KOJIH JE IZVJESTITELJ PRIMIO INFORMACIJE</w:t>
      </w:r>
      <w:bookmarkEnd w:id="2"/>
    </w:p>
    <w:p>
      <w:pPr>
        <w:pStyle w:val="Normal12a"/>
      </w:pPr>
      <w:r>
        <w:rPr>
          <w:rStyle w:val="HideTWBExt"/>
        </w:rPr>
        <w:t>&lt;</w:t>
      </w:r>
      <w:r>
        <w:rPr>
          <w:rStyle w:val="HideTWBExt"/>
        </w:rPr>
        <w:t>FootprintIntro</w:t>
      </w:r>
      <w:r>
        <w:rPr>
          <w:rStyle w:val="HideTWBExt"/>
        </w:rPr>
        <w:t>&gt;</w:t>
      </w:r>
      <w:r>
        <w:t>U skladu s člankom 8. Priloga I. Poslovniku izvjestitelj izjavljuje da je tijekom pripreme nacrta izvješća primio informacije od sljedećih subjekata ili osoba:</w:t>
      </w:r>
      <w:r>
        <w:rPr>
          <w:rStyle w:val="HideTWBExt"/>
        </w:rPr>
        <w:t>&lt;/</w:t>
      </w:r>
      <w:r>
        <w:rPr>
          <w:rStyle w:val="HideTWBExt"/>
        </w:rPr>
        <w:t>FootprintIntro</w:t>
      </w:r>
      <w:r>
        <w:rPr>
          <w:rStyle w:val="HideTWBExt"/>
        </w:rPr>
        <w:t>&gt;</w:t>
      </w:r>
    </w:p>
    <w:tbl>
      <w:tblPr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60"/>
      </w:tblGrid>
      <w:tr>
        <w:tblPrEx>
          <w:jc w:val="center"/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 w:val="0"/>
          <w:trHeight w:hRule="auto" w:val="0"/>
          <w:jc w:val="center"/>
        </w:trPr>
        <w:tc>
          <w:tcPr>
            <w:tcW w:w="9060" w:type="dxa"/>
            <w:vAlign w:val="top"/>
          </w:tcPr>
          <w:p>
            <w:pPr>
              <w:pStyle w:val="NormalCenter"/>
            </w:pPr>
            <w:r>
              <w:rPr>
                <w:rStyle w:val="Bold"/>
              </w:rPr>
              <w:t>Subjekt i/ili osoba</w:t>
            </w:r>
          </w:p>
        </w:tc>
      </w:tr>
      <w:tr>
        <w:tblPrEx>
          <w:jc w:val="cente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 w:val="0"/>
          <w:trHeight w:hRule="auto" w:val="0"/>
          <w:jc w:val="center"/>
        </w:trPr>
        <w:tc>
          <w:tcPr>
            <w:tcW w:w="9060" w:type="dxa"/>
            <w:vAlign w:val="top"/>
          </w:tcPr>
          <w:p>
            <w:r>
              <w:t>European Parliamentary Forum for Sexual &amp; Reproductive Rights</w:t>
            </w:r>
          </w:p>
        </w:tc>
      </w:tr>
      <w:tr>
        <w:tblPrEx>
          <w:jc w:val="cente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 w:val="0"/>
          <w:trHeight w:hRule="auto" w:val="0"/>
          <w:jc w:val="center"/>
        </w:trPr>
        <w:tc>
          <w:tcPr>
            <w:tcW w:w="9060" w:type="dxa"/>
            <w:vAlign w:val="top"/>
          </w:tcPr>
          <w:p>
            <w:r>
              <w:t>The International Planned Parenthood Federation (IPPF) European Network</w:t>
            </w:r>
          </w:p>
        </w:tc>
      </w:tr>
      <w:tr>
        <w:tblPrEx>
          <w:jc w:val="cente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 w:val="0"/>
          <w:trHeight w:hRule="auto" w:val="0"/>
          <w:jc w:val="center"/>
        </w:trPr>
        <w:tc>
          <w:tcPr>
            <w:tcW w:w="9060" w:type="dxa"/>
            <w:vAlign w:val="top"/>
          </w:tcPr>
          <w:p>
            <w:r>
              <w:t>Center for Reproductive Rights</w:t>
            </w:r>
          </w:p>
        </w:tc>
      </w:tr>
      <w:tr>
        <w:tblPrEx>
          <w:jc w:val="cente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 w:val="0"/>
          <w:trHeight w:hRule="auto" w:val="0"/>
          <w:jc w:val="center"/>
        </w:trPr>
        <w:tc>
          <w:tcPr>
            <w:tcW w:w="9060" w:type="dxa"/>
            <w:vAlign w:val="top"/>
          </w:tcPr>
          <w:p>
            <w:r>
              <w:t>European Women’s Lobby</w:t>
            </w:r>
          </w:p>
        </w:tc>
      </w:tr>
      <w:tr>
        <w:tblPrEx>
          <w:jc w:val="cente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 w:val="0"/>
          <w:trHeight w:hRule="auto" w:val="0"/>
          <w:jc w:val="center"/>
        </w:trPr>
        <w:tc>
          <w:tcPr>
            <w:tcW w:w="9060" w:type="dxa"/>
            <w:vAlign w:val="top"/>
          </w:tcPr>
          <w:p>
            <w:r>
              <w:t>Foundation for European Progressive Studies (FEPS)</w:t>
            </w:r>
          </w:p>
        </w:tc>
      </w:tr>
      <w:tr>
        <w:tblPrEx>
          <w:jc w:val="cente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 w:val="0"/>
          <w:trHeight w:hRule="auto" w:val="0"/>
          <w:jc w:val="center"/>
        </w:trPr>
        <w:tc>
          <w:tcPr>
            <w:tcW w:w="9060" w:type="dxa"/>
            <w:vAlign w:val="top"/>
          </w:tcPr>
          <w:p>
            <w:r>
              <w:t>European Institute for Gender Equality</w:t>
            </w:r>
          </w:p>
        </w:tc>
      </w:tr>
      <w:tr>
        <w:tblPrEx>
          <w:jc w:val="cente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 w:val="0"/>
          <w:trHeight w:hRule="auto" w:val="0"/>
          <w:jc w:val="center"/>
        </w:trPr>
        <w:tc>
          <w:tcPr>
            <w:tcW w:w="9060" w:type="dxa"/>
            <w:vAlign w:val="top"/>
          </w:tcPr>
          <w:p>
            <w:r>
              <w:t>B.a.B.e. Budi aktivna. Budi emancipiran.</w:t>
            </w:r>
          </w:p>
        </w:tc>
      </w:tr>
      <w:tr>
        <w:tblPrEx>
          <w:jc w:val="cente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 w:val="0"/>
          <w:trHeight w:hRule="auto" w:val="0"/>
          <w:jc w:val="center"/>
        </w:trPr>
        <w:tc>
          <w:tcPr>
            <w:tcW w:w="9060" w:type="dxa"/>
            <w:vAlign w:val="top"/>
          </w:tcPr>
          <w:p>
            <w:r>
              <w:t>Fertility Europe</w:t>
            </w:r>
          </w:p>
        </w:tc>
      </w:tr>
      <w:tr>
        <w:tblPrEx>
          <w:jc w:val="cente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 w:val="0"/>
          <w:trHeight w:hRule="auto" w:val="0"/>
          <w:jc w:val="center"/>
        </w:trPr>
        <w:tc>
          <w:tcPr>
            <w:tcW w:w="9060" w:type="dxa"/>
            <w:vAlign w:val="top"/>
          </w:tcPr>
          <w:p>
            <w:r>
              <w:t>Center for Women Victims of War (ROSA)</w:t>
            </w:r>
          </w:p>
        </w:tc>
      </w:tr>
      <w:tr>
        <w:tblPrEx>
          <w:jc w:val="cente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 w:val="0"/>
          <w:trHeight w:hRule="auto" w:val="0"/>
          <w:jc w:val="center"/>
        </w:trPr>
        <w:tc>
          <w:tcPr>
            <w:tcW w:w="9060" w:type="dxa"/>
            <w:vAlign w:val="top"/>
          </w:tcPr>
          <w:p>
            <w:r>
              <w:t>The Directorate-General for Justice and Consumers (DG JUST) of the European Commission</w:t>
            </w:r>
          </w:p>
        </w:tc>
      </w:tr>
      <w:tr>
        <w:tblPrEx>
          <w:jc w:val="cente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 w:val="0"/>
          <w:trHeight w:hRule="auto" w:val="0"/>
          <w:jc w:val="center"/>
        </w:trPr>
        <w:tc>
          <w:tcPr>
            <w:tcW w:w="9060" w:type="dxa"/>
            <w:vAlign w:val="top"/>
          </w:tcPr>
          <w:p>
            <w:r>
              <w:t>European Trade Union Confederation (ETUC)</w:t>
            </w:r>
          </w:p>
        </w:tc>
      </w:tr>
      <w:tr>
        <w:tblPrEx>
          <w:jc w:val="cente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 w:val="0"/>
          <w:trHeight w:hRule="auto" w:val="0"/>
          <w:jc w:val="center"/>
        </w:trPr>
        <w:tc>
          <w:tcPr>
            <w:tcW w:w="9060" w:type="dxa"/>
            <w:vAlign w:val="top"/>
          </w:tcPr>
          <w:p>
            <w:r>
              <w:t>European Public Service Union (EPSU)</w:t>
            </w:r>
          </w:p>
        </w:tc>
      </w:tr>
    </w:tbl>
    <w:p/>
    <w:p>
      <w:pPr>
        <w:pStyle w:val="Normal12a"/>
      </w:pPr>
      <w:r>
        <w:t>Navedeni popis sastavljen je pod isključivom odgovornošću izvjestitelja.</w:t>
      </w:r>
    </w:p>
    <w:p>
      <w:pPr>
        <w:pStyle w:val="Normal12a"/>
      </w:pPr>
      <w:r>
        <w:t>Ako su fizičke osobe na popisu navedene imenom, funkcijom ili imenom i funkcijom, izvjestitelj izjavljuje da je tim fizičkim osobama dostavio Obavijest Europskog parlamenta o zaštiti podataka br. 484 (</w:t>
      </w:r>
      <w:hyperlink r:id="rId12" w:history="1">
        <w:r>
          <w:rPr>
            <w:rStyle w:val="Hyperlink"/>
          </w:rPr>
          <w:t>https://www.europarl.europa.eu/data-protect/index.do</w:t>
        </w:r>
      </w:hyperlink>
      <w:r>
        <w:rPr>
          <w:rStyle w:val="DefaultParagraphFont"/>
          <w:b w:val="0"/>
          <w:i w:val="0"/>
          <w:u w:val="none"/>
        </w:rPr>
        <w:t>), u kojoj se navode uvjeti za obradu njihovih osobnih podataka i prava povezana s tom obradom.</w:t>
      </w:r>
    </w:p>
    <w:p>
      <w:pPr>
        <w:pStyle w:val="Normal12a"/>
      </w:pPr>
    </w:p>
    <w:sectPr>
      <w:footnotePr>
        <w:numRestart w:val="eachSect"/>
      </w:footnotePr>
      <w:type w:val="nextPage"/>
      <w:pgSz w:w="11906" w:h="16838"/>
      <w:pgMar w:top="1134" w:right="1417" w:bottom="1417" w:left="1417" w:header="1134" w:footer="567" w:gutter="0"/>
      <w:cols w:num="1"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t>PE</w:t>
    </w:r>
    <w:r>
      <w:rPr>
        <w:rStyle w:val="HideTWBExt"/>
      </w:rPr>
      <w:t>&lt;</w:t>
    </w:r>
    <w:r>
      <w:rPr>
        <w:rStyle w:val="HideTWBExt"/>
      </w:rPr>
      <w:t>NoPE</w:t>
    </w:r>
    <w:r>
      <w:rPr>
        <w:rStyle w:val="HideTWBExt"/>
      </w:rPr>
      <w:t>&gt;</w:t>
    </w:r>
    <w:r>
      <w:t>770.090</w:t>
    </w:r>
    <w:r>
      <w:rPr>
        <w:rStyle w:val="HideTWBExt"/>
      </w:rPr>
      <w:t>&lt;/</w:t>
    </w:r>
    <w:r>
      <w:rPr>
        <w:rStyle w:val="HideTWBExt"/>
      </w:rPr>
      <w:t>NoPE</w:t>
    </w:r>
    <w:r>
      <w:rPr>
        <w:rStyle w:val="HideTWBExt"/>
      </w:rPr>
      <w:t>&gt;</w:t>
    </w:r>
    <w:r>
      <w:rPr>
        <w:rStyle w:val="HideTWBExt"/>
      </w:rPr>
      <w:t>&lt;</w:t>
    </w:r>
    <w:r>
      <w:rPr>
        <w:rStyle w:val="HideTWBExt"/>
      </w:rPr>
      <w:t>Version</w:t>
    </w:r>
    <w:r>
      <w:rPr>
        <w:rStyle w:val="HideTWBExt"/>
      </w:rPr>
      <w:t>&gt;</w:t>
    </w:r>
    <w:r>
      <w:t>v01-00</w:t>
    </w:r>
    <w:r>
      <w:rPr>
        <w:rStyle w:val="HideTWBExt"/>
      </w:rPr>
      <w:t>&lt;/</w:t>
    </w:r>
    <w:r>
      <w:rPr>
        <w:rStyle w:val="HideTWBExt"/>
      </w:rPr>
      <w:t>Version</w:t>
    </w:r>
    <w:r>
      <w:rPr>
        <w:rStyle w:val="HideTWBExt"/>
      </w:rPr>
      <w:t>&gt;</w:t>
    </w:r>
    <w:r>
      <w:tab/>
    </w:r>
    <w:r>
      <w:fldChar w:fldCharType="begin"/>
    </w:r>
    <w:r>
      <w:instrText>PAGE</w:instrText>
    </w:r>
    <w:r>
      <w:fldChar w:fldCharType="separate"/>
    </w:r>
    <w:r>
      <w:t>14</w:t>
    </w:r>
    <w:r>
      <w:fldChar w:fldCharType="end"/>
    </w:r>
    <w:r>
      <w:t>/</w:t>
    </w:r>
    <w:r>
      <w:fldChar w:fldCharType="begin"/>
    </w:r>
    <w:r>
      <w:instrText>NUMPAGES</w:instrText>
    </w:r>
    <w:r>
      <w:fldChar w:fldCharType="separate"/>
    </w:r>
    <w:r>
      <w:t>14</w:t>
    </w:r>
    <w:r>
      <w:fldChar w:fldCharType="end"/>
    </w:r>
    <w:r>
      <w:tab/>
    </w:r>
    <w:r>
      <w:rPr>
        <w:rStyle w:val="HideTWBExt"/>
      </w:rPr>
      <w:t>&lt;</w:t>
    </w:r>
    <w:r>
      <w:rPr>
        <w:rStyle w:val="HideTWBExt"/>
      </w:rPr>
      <w:t>PathFdR</w:t>
    </w:r>
    <w:r>
      <w:rPr>
        <w:rStyle w:val="HideTWBExt"/>
      </w:rPr>
      <w:t>&gt;</w:t>
    </w:r>
    <w:r>
      <w:t>PR\1316271HR.docx</w:t>
    </w:r>
    <w:r>
      <w:rPr>
        <w:rStyle w:val="HideTWBExt"/>
      </w:rPr>
      <w:t>&lt;/</w:t>
    </w:r>
    <w:r>
      <w:rPr>
        <w:rStyle w:val="HideTWBExt"/>
      </w:rPr>
      <w:t>PathFdR</w:t>
    </w:r>
    <w:r>
      <w:rPr>
        <w:rStyle w:val="HideTWBExt"/>
      </w:rPr>
      <w:t>&gt;</w:t>
    </w:r>
  </w:p>
  <w:p>
    <w:pPr>
      <w:pStyle w:val="EPFooter2"/>
    </w:pPr>
    <w:r>
      <w:t>HR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rPr>
        <w:rStyle w:val="HideTWBExt"/>
      </w:rPr>
      <w:t>&lt;</w:t>
    </w:r>
    <w:r>
      <w:rPr>
        <w:rStyle w:val="HideTWBExt"/>
      </w:rPr>
      <w:t>PathFdR</w:t>
    </w:r>
    <w:r>
      <w:rPr>
        <w:rStyle w:val="HideTWBExt"/>
      </w:rPr>
      <w:t>&gt;</w:t>
    </w:r>
    <w:r>
      <w:t>PR\1316271HR.docx</w:t>
    </w:r>
    <w:r>
      <w:rPr>
        <w:rStyle w:val="HideTWBExt"/>
      </w:rPr>
      <w:t>&lt;/</w:t>
    </w:r>
    <w:r>
      <w:rPr>
        <w:rStyle w:val="HideTWBExt"/>
      </w:rPr>
      <w:t>PathFdR</w:t>
    </w:r>
    <w:r>
      <w:rPr>
        <w:rStyle w:val="HideTWBExt"/>
      </w:rPr>
      <w:t>&gt;</w:t>
    </w:r>
    <w:r>
      <w:tab/>
    </w:r>
    <w:r>
      <w:fldChar w:fldCharType="begin"/>
    </w:r>
    <w:r>
      <w:instrText>PAGE</w:instrText>
    </w:r>
    <w:r>
      <w:fldChar w:fldCharType="separate"/>
    </w:r>
    <w:r>
      <w:t>13</w:t>
    </w:r>
    <w:r>
      <w:fldChar w:fldCharType="end"/>
    </w:r>
    <w:r>
      <w:t>/</w:t>
    </w:r>
    <w:r>
      <w:fldChar w:fldCharType="begin"/>
    </w:r>
    <w:r>
      <w:instrText>NUMPAGES</w:instrText>
    </w:r>
    <w:r>
      <w:fldChar w:fldCharType="separate"/>
    </w:r>
    <w:r>
      <w:t>14</w:t>
    </w:r>
    <w:r>
      <w:fldChar w:fldCharType="end"/>
    </w:r>
    <w:r>
      <w:tab/>
    </w:r>
    <w:r>
      <w:t>PE</w:t>
    </w:r>
    <w:r>
      <w:rPr>
        <w:rStyle w:val="HideTWBExt"/>
      </w:rPr>
      <w:t>&lt;</w:t>
    </w:r>
    <w:r>
      <w:rPr>
        <w:rStyle w:val="HideTWBExt"/>
      </w:rPr>
      <w:t>NoPE</w:t>
    </w:r>
    <w:r>
      <w:rPr>
        <w:rStyle w:val="HideTWBExt"/>
      </w:rPr>
      <w:t>&gt;</w:t>
    </w:r>
    <w:r>
      <w:t>770.090</w:t>
    </w:r>
    <w:r>
      <w:rPr>
        <w:rStyle w:val="HideTWBExt"/>
      </w:rPr>
      <w:t>&lt;/</w:t>
    </w:r>
    <w:r>
      <w:rPr>
        <w:rStyle w:val="HideTWBExt"/>
      </w:rPr>
      <w:t>NoPE</w:t>
    </w:r>
    <w:r>
      <w:rPr>
        <w:rStyle w:val="HideTWBExt"/>
      </w:rPr>
      <w:t>&gt;</w:t>
    </w:r>
    <w:r>
      <w:rPr>
        <w:rStyle w:val="HideTWBExt"/>
      </w:rPr>
      <w:t>&lt;</w:t>
    </w:r>
    <w:r>
      <w:rPr>
        <w:rStyle w:val="HideTWBExt"/>
      </w:rPr>
      <w:t>Version</w:t>
    </w:r>
    <w:r>
      <w:rPr>
        <w:rStyle w:val="HideTWBExt"/>
      </w:rPr>
      <w:t>&gt;</w:t>
    </w:r>
    <w:r>
      <w:t>v01-00</w:t>
    </w:r>
    <w:r>
      <w:rPr>
        <w:rStyle w:val="HideTWBExt"/>
      </w:rPr>
      <w:t>&lt;/</w:t>
    </w:r>
    <w:r>
      <w:rPr>
        <w:rStyle w:val="HideTWBExt"/>
      </w:rPr>
      <w:t>Version</w:t>
    </w:r>
    <w:r>
      <w:rPr>
        <w:rStyle w:val="HideTWBExt"/>
      </w:rPr>
      <w:t>&gt;</w:t>
    </w:r>
  </w:p>
  <w:p>
    <w:pPr>
      <w:pStyle w:val="EPFooter2"/>
    </w:pPr>
    <w:r>
      <w:tab/>
    </w:r>
    <w:r>
      <w:tab/>
    </w:r>
    <w:r>
      <w:t>HR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rPr>
        <w:rStyle w:val="HideTWBExt"/>
      </w:rPr>
      <w:t>&lt;</w:t>
    </w:r>
    <w:r>
      <w:rPr>
        <w:rStyle w:val="HideTWBExt"/>
      </w:rPr>
      <w:t>PathFdR</w:t>
    </w:r>
    <w:r>
      <w:rPr>
        <w:rStyle w:val="HideTWBExt"/>
      </w:rPr>
      <w:t>&gt;</w:t>
    </w:r>
    <w:r>
      <w:t>PR\1316271HR.docx</w:t>
    </w:r>
    <w:r>
      <w:rPr>
        <w:rStyle w:val="HideTWBExt"/>
      </w:rPr>
      <w:t>&lt;/</w:t>
    </w:r>
    <w:r>
      <w:rPr>
        <w:rStyle w:val="HideTWBExt"/>
      </w:rPr>
      <w:t>PathFdR</w:t>
    </w:r>
    <w:r>
      <w:rPr>
        <w:rStyle w:val="HideTWBExt"/>
      </w:rPr>
      <w:t>&gt;</w:t>
    </w:r>
    <w:r>
      <w:tab/>
    </w:r>
    <w:r>
      <w:tab/>
    </w:r>
    <w:r>
      <w:t>PE</w:t>
    </w:r>
    <w:r>
      <w:rPr>
        <w:rStyle w:val="HideTWBExt"/>
      </w:rPr>
      <w:t>&lt;</w:t>
    </w:r>
    <w:r>
      <w:rPr>
        <w:rStyle w:val="HideTWBExt"/>
      </w:rPr>
      <w:t>NoPE</w:t>
    </w:r>
    <w:r>
      <w:rPr>
        <w:rStyle w:val="HideTWBExt"/>
      </w:rPr>
      <w:t>&gt;</w:t>
    </w:r>
    <w:r>
      <w:t>770.090</w:t>
    </w:r>
    <w:r>
      <w:rPr>
        <w:rStyle w:val="HideTWBExt"/>
      </w:rPr>
      <w:t>&lt;/</w:t>
    </w:r>
    <w:r>
      <w:rPr>
        <w:rStyle w:val="HideTWBExt"/>
      </w:rPr>
      <w:t>NoPE</w:t>
    </w:r>
    <w:r>
      <w:rPr>
        <w:rStyle w:val="HideTWBExt"/>
      </w:rPr>
      <w:t>&gt;</w:t>
    </w:r>
    <w:r>
      <w:rPr>
        <w:rStyle w:val="HideTWBExt"/>
      </w:rPr>
      <w:t>&lt;</w:t>
    </w:r>
    <w:r>
      <w:rPr>
        <w:rStyle w:val="HideTWBExt"/>
      </w:rPr>
      <w:t>Version</w:t>
    </w:r>
    <w:r>
      <w:rPr>
        <w:rStyle w:val="HideTWBExt"/>
      </w:rPr>
      <w:t>&gt;</w:t>
    </w:r>
    <w:r>
      <w:t>v01-00</w:t>
    </w:r>
    <w:r>
      <w:rPr>
        <w:rStyle w:val="HideTWBExt"/>
      </w:rPr>
      <w:t>&lt;/</w:t>
    </w:r>
    <w:r>
      <w:rPr>
        <w:rStyle w:val="HideTWBExt"/>
      </w:rPr>
      <w:t>Version</w:t>
    </w:r>
    <w:r>
      <w:rPr>
        <w:rStyle w:val="HideTWBExt"/>
      </w:rPr>
      <w:t>&gt;</w:t>
    </w:r>
  </w:p>
  <w:p>
    <w:pPr>
      <w:pStyle w:val="EPFooter2"/>
    </w:pPr>
    <w:r>
      <w:t>HR</w:t>
    </w:r>
    <w:r>
      <w:tab/>
    </w:r>
    <w:r>
      <w:rPr>
        <w:rStyle w:val="EPFooter2Motto"/>
      </w:rPr>
      <w:t>Ujedinjena u raznolikosti</w:t>
    </w:r>
    <w:r>
      <w:tab/>
    </w:r>
    <w:r>
      <w:t>HR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>
      <w:pPr>
        <w:spacing w:after="0" w:line="240" w:lineRule="auto"/>
      </w:pPr>
      <w:r>
        <w:separator/>
      </w:r>
    </w:p>
  </w:footnote>
  <w:footnote w:type="continuationSeparator" w:id="1">
    <w:p>
      <w:pPr>
        <w:spacing w:after="0" w:line="240" w:lineRule="auto"/>
      </w:pPr>
      <w:r>
        <w:continuationSeparator/>
      </w:r>
    </w:p>
  </w:footnote>
  <w:footnote w:id="2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" w:history="1">
        <w:r>
          <w:rPr>
            <w:color w:val="0000FF"/>
            <w:u w:val="single" w:color="0000FF"/>
          </w:rPr>
          <w:t>Direktiva Vijeća 79/7/EEZ od 19. prosinca 1978. o postupnoj provedbi načela jednakog postupanja prema muškarcima i ženama u pitanjima socijalne sigurnosti, SL L 6, 10.1.1979., str. 24., ELI: http://data.europa.eu/eli/dir/1979/7/oj.</w:t>
        </w:r>
      </w:hyperlink>
    </w:p>
  </w:footnote>
  <w:footnote w:id="3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2" w:history="1">
        <w:r>
          <w:rPr>
            <w:color w:val="0000FF"/>
            <w:u w:val="single" w:color="0000FF"/>
          </w:rPr>
          <w:t>Direktiva Vijeća 86/613/EEZ od 11. prosinca 1986. o primjeni načela jednakog postupanja prema muškarcima i ženama koji obavljaju samostalnu djelatnost, uključujući poljoprivredne djelatnosti, i zaštiti majčinstva, SL L 359, 19.12.1986., str. 56., ELI: http://data.europa.eu/eli/dir/1986/613/oj.</w:t>
        </w:r>
      </w:hyperlink>
    </w:p>
  </w:footnote>
  <w:footnote w:id="4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3" w:history="1">
        <w:r>
          <w:rPr>
            <w:color w:val="0000FF"/>
            <w:u w:val="single" w:color="0000FF"/>
          </w:rPr>
          <w:t>Direktiva Vijeća 92/85/EEZ od 19. listopada 1992. o uvođenju mjera za poticanje poboljšanja sigurnosti i zdravlja na radu trudnih radnica te radnica koje su nedavno rodile ili doje, SL L 348, 28.11.1992., str. 1., ELI: http://data.europa.eu/eli/dir/1992/85/oj.</w:t>
        </w:r>
      </w:hyperlink>
    </w:p>
  </w:footnote>
  <w:footnote w:id="5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4" w:history="1">
        <w:r>
          <w:rPr>
            <w:color w:val="0000FF"/>
            <w:u w:val="single" w:color="0000FF"/>
          </w:rPr>
          <w:t>Direktiva Vijeća 2004/113/EZ od 13. prosinca 2004. o provedbi načela jednakog postupanja prema muškarcima i ženama u pristupu i nabavi robe, odnosno pružanju usluga, SL L 373, 21.12.2004., str. 37., ELI: http://data.europa.eu/eli/dir/2004/113/oj.</w:t>
        </w:r>
      </w:hyperlink>
    </w:p>
  </w:footnote>
  <w:footnote w:id="6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5" w:history="1">
        <w:r>
          <w:rPr>
            <w:color w:val="0000FF"/>
            <w:u w:val="single" w:color="0000FF"/>
          </w:rPr>
          <w:t>Direktiva 2006/54/EZ Europskog parlamenta i Vijeća od 5. srpnja 2006. o provedbi načela jednakih mogućnosti i jednakog postupanja prema muškarcima i ženama u pitanjima zapošljavanja i rada, SL L 204, 26.7.2006., str. 23., ELI: http://data.europa.eu/eli/dir/2006/54/oj.</w:t>
        </w:r>
      </w:hyperlink>
    </w:p>
  </w:footnote>
  <w:footnote w:id="7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6" w:history="1">
        <w:r>
          <w:rPr>
            <w:color w:val="0000FF"/>
            <w:u w:val="single" w:color="0000FF"/>
          </w:rPr>
          <w:t>Direktiva 2010/41/EU Europskog parlamenta i Vijeća od 7. srpnja 2010. o primjeni načela jednakog postupanja prema muškarcima i ženama koji su samozaposleni, SL L 180, 15.7.2010., str. 1, ELI: http://data.europa.eu/eli/dir/2010/41/oj.</w:t>
        </w:r>
      </w:hyperlink>
    </w:p>
  </w:footnote>
  <w:footnote w:id="8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7" w:history="1">
        <w:r>
          <w:rPr>
            <w:color w:val="0000FF"/>
            <w:u w:val="single" w:color="0000FF"/>
          </w:rPr>
          <w:t>SL L 188, 12.7.2019., str. 79., ELI: http://data.europa.eu/eli/dir/2019/1158/oj.</w:t>
        </w:r>
      </w:hyperlink>
    </w:p>
  </w:footnote>
  <w:footnote w:id="9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8" w:history="1">
        <w:r>
          <w:rPr>
            <w:color w:val="0000FF"/>
            <w:u w:val="single" w:color="0000FF"/>
          </w:rPr>
          <w:t>SL L 315, 7.12.2022., str. 44., ELI: http://data.europa.eu/eli/dir/2022/2381/oj.</w:t>
        </w:r>
      </w:hyperlink>
    </w:p>
  </w:footnote>
  <w:footnote w:id="10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9" w:history="1">
        <w:r>
          <w:rPr>
            <w:color w:val="0000FF"/>
            <w:u w:val="single" w:color="0000FF"/>
          </w:rPr>
          <w:t>SL L 132, 17.5.2023., str. 21., ELI: http://data.europa.eu/eli/dir/2023/970/oj.</w:t>
        </w:r>
      </w:hyperlink>
    </w:p>
  </w:footnote>
  <w:footnote w:id="11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0" w:history="1">
        <w:r>
          <w:rPr>
            <w:color w:val="0000FF"/>
            <w:u w:val="single" w:color="0000FF"/>
          </w:rPr>
          <w:t>SL L, 2024/1385, 24.5.2024., ELI: http://data.europa.eu/eli/dir/2024/1385/oj.</w:t>
        </w:r>
      </w:hyperlink>
    </w:p>
  </w:footnote>
  <w:footnote w:id="12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1" w:history="1">
        <w:r>
          <w:rPr>
            <w:color w:val="0000FF"/>
            <w:u w:val="single" w:color="0000FF"/>
          </w:rPr>
          <w:t>SL L, 2024/1500, 29.5.2024., ELI: http://data.europa.eu/eli/dir/2024/1500/oj.</w:t>
        </w:r>
      </w:hyperlink>
    </w:p>
  </w:footnote>
  <w:footnote w:id="13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2" w:history="1">
        <w:r>
          <w:rPr>
            <w:color w:val="0000FF"/>
            <w:u w:val="single" w:color="0000FF"/>
          </w:rPr>
          <w:t>SL L, 2024/1712, 24.6.2024., ELI: http://data.europa.eu/eli/dir/2024/1712/oj.</w:t>
        </w:r>
      </w:hyperlink>
    </w:p>
  </w:footnote>
  <w:footnote w:id="14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SL C 449, 23.12.2020., str. 102.</w:t>
      </w:r>
    </w:p>
  </w:footnote>
  <w:footnote w:id="15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SL C 232, 16.6.2021., str. 48.</w:t>
      </w:r>
    </w:p>
  </w:footnote>
  <w:footnote w:id="16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SL C 331, 17.8.2021., str. 5.</w:t>
      </w:r>
    </w:p>
  </w:footnote>
  <w:footnote w:id="17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SL C 404, 6.10.2021., str. 202.</w:t>
      </w:r>
    </w:p>
  </w:footnote>
  <w:footnote w:id="18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SL C 456, 10.11.2021., str. 208.</w:t>
      </w:r>
    </w:p>
  </w:footnote>
  <w:footnote w:id="19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SL C 456, 10.11.2021., str. 232.</w:t>
      </w:r>
    </w:p>
  </w:footnote>
  <w:footnote w:id="20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SL C 465, 17.11.2021., str. 160.</w:t>
      </w:r>
    </w:p>
  </w:footnote>
  <w:footnote w:id="21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SL C 67, 8.2.2022., str. 137.</w:t>
      </w:r>
    </w:p>
  </w:footnote>
  <w:footnote w:id="22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SL C 81, 18.2.2022., str. 43.</w:t>
      </w:r>
    </w:p>
  </w:footnote>
  <w:footnote w:id="23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SL C 117, 11.3.2022., str. 88.</w:t>
      </w:r>
    </w:p>
  </w:footnote>
  <w:footnote w:id="24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SL C 251, 30.6.2022., str. 2.</w:t>
      </w:r>
    </w:p>
  </w:footnote>
  <w:footnote w:id="25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SL C 251, 30.6.2022., str. 23.</w:t>
      </w:r>
    </w:p>
  </w:footnote>
  <w:footnote w:id="26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SL C 347, 9.9.2022., str. 150.</w:t>
      </w:r>
    </w:p>
  </w:footnote>
  <w:footnote w:id="27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SL C 465, 6.12.2022., str. 54.</w:t>
      </w:r>
    </w:p>
  </w:footnote>
  <w:footnote w:id="28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SL C 47, 7.2.2023., str. 30.</w:t>
      </w:r>
    </w:p>
  </w:footnote>
  <w:footnote w:id="29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SL C 47, 7.2.2023., str. 2.</w:t>
      </w:r>
    </w:p>
  </w:footnote>
  <w:footnote w:id="30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3" w:history="1">
        <w:r>
          <w:rPr>
            <w:color w:val="0000FF"/>
            <w:u w:val="single" w:color="0000FF"/>
          </w:rPr>
          <w:t>SL C, C/2023/1224, 21.12.2023., ELI: http://data.europa.eu/eli/C/2023/1224/oj.</w:t>
        </w:r>
      </w:hyperlink>
    </w:p>
  </w:footnote>
  <w:footnote w:id="31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4" w:history="1">
        <w:r>
          <w:rPr>
            <w:color w:val="0000FF"/>
            <w:u w:val="single" w:color="0000FF"/>
          </w:rPr>
          <w:t>SL C, C/2025/1279, 13.3.2025., ELI: http://data.europa.eu/eli/C/2025/1279/oj.</w:t>
        </w:r>
      </w:hyperlink>
    </w:p>
  </w:footnote>
  <w:footnote w:id="32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Usvojeni tekstovi, P10_TA(2024)0075.</w:t>
      </w:r>
    </w:p>
  </w:footnote>
  <w:footnote w:id="33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Članak 2. i članak 3. stavak 3. UEU-a, članci 8., 10., 19. i 157. UFEU-a te članci 21. i 23. Povelje EU-a o temeljnim pravima.</w:t>
      </w:r>
    </w:p>
  </w:footnote>
  <w:footnote w:id="34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Direktiva (EU) 2022/2041 Europskog parlamenta i Vijeća od 19. listopada 2022. o primjerenim minimalnim plaćama u Europskoj uniji (SL L 275, 25.10.2022., str. 33., ELI: http://data.europa.eu/eli/dir/2022/2041/oj).</w:t>
      </w:r>
    </w:p>
  </w:footnote>
  <w:footnote w:id="35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Direktiva (EU) 2023/970.</w:t>
      </w:r>
    </w:p>
  </w:footnote>
  <w:footnote w:id="36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Direktiva (EU) 2022/2381.</w:t>
      </w:r>
    </w:p>
  </w:footnote>
  <w:footnote w:id="37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SL C 364, 28.10.2020., str. 77–86.</w:t>
      </w:r>
    </w:p>
  </w:footnote>
  <w:footnote w:id="38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Komunikacija Komisije „Plan za prava žena” (COM(2025) 97 final).</w:t>
      </w:r>
    </w:p>
  </w:footnote>
  <w:footnote w:id="39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5" w:history="1">
        <w:r>
          <w:rPr>
            <w:color w:val="0000FF"/>
            <w:u w:val="single" w:color="0000FF"/>
          </w:rPr>
          <w:t>https://eige.europa.eu/gender-based-violence</w:t>
        </w:r>
      </w:hyperlink>
    </w:p>
  </w:footnote>
  <w:footnote w:id="40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Indeks rodne ravnopravnosti za 2024.: „Tackling violence against women, tackling gender inequalities” (Borba protiv nasilja nad ženama, borba protiv rodne neravnopravnosti), objavljeno 2025.</w:t>
      </w:r>
    </w:p>
  </w:footnote>
  <w:footnote w:id="41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Primjerice donošenje Direktive o borbi protiv nasilja nad ženama i nasilja u obitelji te pristupanje EU-a Konvenciji Vijeća Europe o sprečavanju i borbi protiv nasilja nad ženama („Istanbulska konvencija”)</w:t>
      </w:r>
    </w:p>
  </w:footnote>
  <w:footnote w:id="42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SL C 326, 26.10.2020., str. 391–407.</w:t>
      </w:r>
    </w:p>
  </w:footnote>
  <w:footnote w:id="43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EIGE (2025.), Impact driver: marking milestones and opportunities for gender equality in the EU (Pokretač utjecaja: obilježavanje ključnih etapa i mogućnosti za rodnu ravnopravnost u EU-u), Ured za publikacije Europske unije, Luxembourg (objava u pripremi).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54581"/>
    <w:multiLevelType w:val="hybridMultilevel"/>
    <w:tmpl w:val="F16C6036"/>
    <w:lvl w:ilvl="0">
      <w:start w:val="1"/>
      <w:numFmt w:val="bullet"/>
      <w:pStyle w:val="Normal12aBullet1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6C09CF"/>
    <w:multiLevelType w:val="hybridMultilevel"/>
    <w:tmpl w:val="0DAA9F68"/>
    <w:lvl w:ilvl="0">
      <w:start w:val="1"/>
      <w:numFmt w:val="bullet"/>
      <w:pStyle w:val="Normal12aBullet2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grammar="clean"/>
  <w:stylePaneFormatFilter w:val="3F01"/>
  <w:defaultTabStop w:val="720"/>
  <w:evenAndOddHeaders/>
  <w:noPunctuationKerning/>
  <w:characterSpacingControl w:val="doNotCompress"/>
  <w:footnotePr>
    <w:numRestart w:val="eachSect"/>
    <w:footnote w:id="0"/>
    <w:footnote w:id="1"/>
  </w:foot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pPr>
      <w:widowControl w:val="0"/>
    </w:pPr>
    <w:rPr>
      <w:snapToGrid w:val="0"/>
      <w:sz w:val="24"/>
      <w:lang w:eastAsia="en-US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customStyle="1" w:styleId="EPComma">
    <w:name w:val="EPComma"/>
    <w:basedOn w:val="Normal"/>
    <w:rsid w:val="006A5366"/>
    <w:pPr>
      <w:spacing w:before="480" w:after="240"/>
    </w:p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TOCRight">
    <w:name w:val="TOC Right"/>
    <w:basedOn w:val="Normal"/>
    <w:rsid w:val="00E839D9"/>
    <w:pPr>
      <w:spacing w:after="240"/>
      <w:jc w:val="right"/>
    </w:pPr>
  </w:style>
  <w:style w:type="paragraph" w:customStyle="1" w:styleId="CoverDateRefPart">
    <w:name w:val="CoverDateRefPart"/>
    <w:basedOn w:val="Normal"/>
    <w:rsid w:val="00C5424C"/>
    <w:pPr>
      <w:spacing w:after="1200"/>
    </w:pPr>
  </w:style>
  <w:style w:type="paragraph" w:customStyle="1" w:styleId="EPName">
    <w:name w:val="EPName"/>
    <w:basedOn w:val="Normal"/>
    <w:rsid w:val="00D16E15"/>
    <w:pPr>
      <w:spacing w:before="80" w:after="80"/>
    </w:pPr>
    <w:rPr>
      <w:rFonts w:ascii="Arial Narrow" w:hAnsi="Arial Narrow" w:cs="Arial"/>
      <w:b/>
      <w:snapToGrid/>
      <w:sz w:val="32"/>
      <w:szCs w:val="22"/>
      <w:lang w:eastAsia="en-GB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styleId="FootnoteText">
    <w:name w:val="footnote text"/>
    <w:basedOn w:val="Normal"/>
    <w:semiHidden/>
    <w:rPr>
      <w:sz w:val="20"/>
    </w:rPr>
  </w:style>
  <w:style w:type="paragraph" w:customStyle="1" w:styleId="NormalBold">
    <w:name w:val="NormalBold"/>
    <w:basedOn w:val="Normal"/>
    <w:rsid w:val="006A5366"/>
    <w:rPr>
      <w:b/>
    </w:rPr>
  </w:style>
  <w:style w:type="paragraph" w:customStyle="1" w:styleId="CoverReference">
    <w:name w:val="CoverReference"/>
    <w:basedOn w:val="Normal"/>
    <w:rsid w:val="00791131"/>
    <w:pPr>
      <w:spacing w:before="1080"/>
      <w:jc w:val="right"/>
    </w:pPr>
    <w:rPr>
      <w:rFonts w:ascii="Arial" w:hAnsi="Arial" w:cs="Arial"/>
      <w:b/>
    </w:rPr>
  </w:style>
  <w:style w:type="paragraph" w:customStyle="1" w:styleId="CoverNormal24a">
    <w:name w:val="CoverNormal24a"/>
    <w:basedOn w:val="Normal"/>
    <w:rsid w:val="00D20BEB"/>
    <w:pPr>
      <w:spacing w:after="480"/>
      <w:ind w:left="1417"/>
    </w:pPr>
  </w:style>
  <w:style w:type="paragraph" w:styleId="TOC1">
    <w:name w:val="toc 1"/>
    <w:basedOn w:val="Normal"/>
    <w:next w:val="Normal"/>
    <w:autoRedefine/>
    <w:uiPriority w:val="39"/>
    <w:rsid w:val="00E57F92"/>
    <w:pPr>
      <w:spacing w:after="240"/>
    </w:pPr>
  </w:style>
  <w:style w:type="paragraph" w:customStyle="1" w:styleId="TOCPage">
    <w:name w:val="TOC Page"/>
    <w:basedOn w:val="Normal"/>
    <w:next w:val="TOC1"/>
    <w:rsid w:val="004302F8"/>
    <w:pPr>
      <w:keepNext/>
      <w:spacing w:after="240"/>
      <w:jc w:val="right"/>
    </w:pPr>
    <w:rPr>
      <w:rFonts w:ascii="Arial" w:hAnsi="Arial"/>
      <w:b/>
    </w:rPr>
  </w:style>
  <w:style w:type="paragraph" w:customStyle="1" w:styleId="CoverDocType24a">
    <w:name w:val="CoverDocType24a"/>
    <w:basedOn w:val="Normal"/>
    <w:rsid w:val="00F03FCA"/>
    <w:pPr>
      <w:spacing w:after="480"/>
      <w:ind w:left="1418"/>
    </w:pPr>
    <w:rPr>
      <w:rFonts w:ascii="Arial" w:hAnsi="Arial"/>
      <w:b/>
      <w:sz w:val="48"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styleId="TOC2">
    <w:name w:val="toc 2"/>
    <w:basedOn w:val="Normal"/>
    <w:next w:val="Normal"/>
    <w:autoRedefine/>
    <w:semiHidden/>
    <w:pPr>
      <w:ind w:left="240"/>
    </w:pPr>
  </w:style>
  <w:style w:type="paragraph" w:customStyle="1" w:styleId="NormalHanging12a">
    <w:name w:val="NormalHanging12a"/>
    <w:basedOn w:val="Normal"/>
    <w:rsid w:val="00572801"/>
    <w:pPr>
      <w:widowControl/>
      <w:spacing w:after="240"/>
      <w:ind w:left="567" w:hanging="567"/>
    </w:pPr>
  </w:style>
  <w:style w:type="paragraph" w:styleId="TOC3">
    <w:name w:val="toc 3"/>
    <w:basedOn w:val="Normal"/>
    <w:next w:val="Normal"/>
    <w:autoRedefine/>
    <w:semiHidden/>
    <w:pPr>
      <w:ind w:left="480"/>
    </w:pPr>
  </w:style>
  <w:style w:type="paragraph" w:styleId="TOC4">
    <w:name w:val="toc 4"/>
    <w:basedOn w:val="Normal"/>
    <w:next w:val="Normal"/>
    <w:autoRedefine/>
    <w:semiHidden/>
    <w:pPr>
      <w:ind w:left="720"/>
    </w:pPr>
  </w:style>
  <w:style w:type="paragraph" w:customStyle="1" w:styleId="PageHeading">
    <w:name w:val="PageHeading"/>
    <w:basedOn w:val="Normal"/>
    <w:rsid w:val="00F03FCA"/>
    <w:pPr>
      <w:keepNext/>
      <w:spacing w:after="480"/>
      <w:jc w:val="center"/>
    </w:pPr>
    <w:rPr>
      <w:rFonts w:ascii="Arial" w:hAnsi="Arial" w:cs="Arial"/>
      <w:b/>
    </w:rPr>
  </w:style>
  <w:style w:type="paragraph" w:styleId="TOC5">
    <w:name w:val="toc 5"/>
    <w:basedOn w:val="Normal"/>
    <w:next w:val="Normal"/>
    <w:autoRedefine/>
    <w:semiHidden/>
    <w:pPr>
      <w:ind w:left="960"/>
    </w:pPr>
  </w:style>
  <w:style w:type="paragraph" w:styleId="TOC6">
    <w:name w:val="toc 6"/>
    <w:basedOn w:val="Normal"/>
    <w:next w:val="Normal"/>
    <w:autoRedefine/>
    <w:semiHidden/>
    <w:pPr>
      <w:ind w:left="1200"/>
    </w:pPr>
  </w:style>
  <w:style w:type="paragraph" w:styleId="TOC7">
    <w:name w:val="toc 7"/>
    <w:basedOn w:val="Normal"/>
    <w:next w:val="Normal"/>
    <w:autoRedefine/>
    <w:semiHidden/>
    <w:pPr>
      <w:ind w:left="1440"/>
    </w:pPr>
  </w:style>
  <w:style w:type="paragraph" w:styleId="TOC8">
    <w:name w:val="toc 8"/>
    <w:basedOn w:val="Normal"/>
    <w:next w:val="Normal"/>
    <w:autoRedefine/>
    <w:semiHidden/>
    <w:pPr>
      <w:ind w:left="1680"/>
    </w:pPr>
  </w:style>
  <w:style w:type="paragraph" w:styleId="TOC9">
    <w:name w:val="toc 9"/>
    <w:basedOn w:val="Normal"/>
    <w:next w:val="Normal"/>
    <w:autoRedefine/>
    <w:semiHidden/>
    <w:pPr>
      <w:ind w:left="1920"/>
    </w:pPr>
  </w:style>
  <w:style w:type="paragraph" w:customStyle="1" w:styleId="TOCSubHeading">
    <w:name w:val="TOC SubHeading"/>
    <w:basedOn w:val="Normal"/>
    <w:rsid w:val="00F03FCA"/>
    <w:pPr>
      <w:spacing w:before="480" w:after="240"/>
    </w:pPr>
    <w:rPr>
      <w:b/>
    </w:rPr>
  </w:style>
  <w:style w:type="paragraph" w:customStyle="1" w:styleId="TOCTabLeader">
    <w:name w:val="TOC TabLeader"/>
    <w:basedOn w:val="Normal"/>
    <w:rsid w:val="00E839D9"/>
    <w:pPr>
      <w:tabs>
        <w:tab w:val="left" w:leader="dot" w:pos="5954"/>
      </w:tabs>
      <w:spacing w:after="240"/>
    </w:pPr>
  </w:style>
  <w:style w:type="paragraph" w:customStyle="1" w:styleId="CoverNormalHanging">
    <w:name w:val="CoverNormalHanging"/>
    <w:basedOn w:val="Normal"/>
    <w:rsid w:val="00BF1100"/>
    <w:pPr>
      <w:ind w:left="3686" w:hanging="2268"/>
    </w:pPr>
  </w:style>
  <w:style w:type="paragraph" w:styleId="TOCHeading">
    <w:name w:val="TOC Heading"/>
    <w:basedOn w:val="Normal"/>
    <w:next w:val="TOCPage"/>
    <w:rsid w:val="007F2104"/>
    <w:pPr>
      <w:keepNext/>
      <w:spacing w:before="240" w:after="240"/>
      <w:jc w:val="center"/>
    </w:pPr>
    <w:rPr>
      <w:rFonts w:ascii="Arial" w:hAnsi="Arial"/>
      <w:b/>
      <w:snapToGrid/>
      <w:lang w:eastAsia="en-GB"/>
    </w:rPr>
  </w:style>
  <w:style w:type="table" w:styleId="TableGrid">
    <w:name w:val="Table Grid"/>
    <w:basedOn w:val="TableNormal"/>
    <w:rsid w:val="00F732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F03FCA"/>
    <w:pPr>
      <w:jc w:val="center"/>
    </w:pPr>
    <w:rPr>
      <w:rFonts w:ascii="Arial" w:hAnsi="Arial" w:cs="Arial"/>
      <w:i/>
      <w:snapToGrid/>
      <w:sz w:val="22"/>
      <w:szCs w:val="22"/>
      <w:lang w:eastAsia="en-GB"/>
    </w:rPr>
  </w:style>
  <w:style w:type="paragraph" w:customStyle="1" w:styleId="LineTop">
    <w:name w:val="LineTop"/>
    <w:basedOn w:val="Normal"/>
    <w:next w:val="Normal"/>
    <w:rsid w:val="00F732B6"/>
    <w:pPr>
      <w:pBdr>
        <w:top w:val="single" w:sz="4" w:space="1" w:color="auto"/>
      </w:pBdr>
      <w:jc w:val="center"/>
    </w:pPr>
    <w:rPr>
      <w:rFonts w:ascii="Arial" w:hAnsi="Arial" w:cs="Arial"/>
      <w:snapToGrid/>
      <w:sz w:val="16"/>
      <w:szCs w:val="16"/>
      <w:lang w:eastAsia="en-GB"/>
    </w:rPr>
  </w:style>
  <w:style w:type="paragraph" w:customStyle="1" w:styleId="LineBottom">
    <w:name w:val="LineBottom"/>
    <w:basedOn w:val="Normal"/>
    <w:next w:val="Normal"/>
    <w:rsid w:val="00791131"/>
    <w:pPr>
      <w:pBdr>
        <w:bottom w:val="single" w:sz="4" w:space="1" w:color="auto"/>
      </w:pBdr>
      <w:spacing w:after="240"/>
      <w:jc w:val="center"/>
    </w:pPr>
    <w:rPr>
      <w:rFonts w:ascii="Arial" w:hAnsi="Arial" w:cs="Arial"/>
      <w:snapToGrid/>
      <w:sz w:val="16"/>
      <w:szCs w:val="16"/>
      <w:lang w:eastAsia="en-GB"/>
    </w:rPr>
  </w:style>
  <w:style w:type="paragraph" w:customStyle="1" w:styleId="EPTerm">
    <w:name w:val="EPTerm"/>
    <w:basedOn w:val="Normal"/>
    <w:next w:val="Normal"/>
    <w:rsid w:val="00D16E15"/>
    <w:pPr>
      <w:spacing w:after="80"/>
    </w:pPr>
    <w:rPr>
      <w:rFonts w:ascii="Arial" w:hAnsi="Arial" w:cs="Arial"/>
      <w:snapToGrid/>
      <w:sz w:val="20"/>
      <w:szCs w:val="22"/>
      <w:lang w:eastAsia="en-GB"/>
    </w:rPr>
  </w:style>
  <w:style w:type="paragraph" w:customStyle="1" w:styleId="EPLogo">
    <w:name w:val="EPLogo"/>
    <w:basedOn w:val="Normal"/>
    <w:qFormat/>
    <w:rsid w:val="00D16E15"/>
    <w:pPr>
      <w:jc w:val="right"/>
    </w:pPr>
    <w:rPr>
      <w:snapToGrid/>
      <w:lang w:eastAsia="en-GB"/>
    </w:rPr>
  </w:style>
  <w:style w:type="paragraph" w:customStyle="1" w:styleId="CoverRefPart">
    <w:name w:val="CoverRefPart"/>
    <w:basedOn w:val="Normal"/>
    <w:rsid w:val="00577455"/>
    <w:pPr>
      <w:jc w:val="right"/>
    </w:pPr>
    <w:rPr>
      <w:rFonts w:ascii="Arial" w:hAnsi="Arial"/>
    </w:rPr>
  </w:style>
  <w:style w:type="paragraph" w:customStyle="1" w:styleId="Subheading">
    <w:name w:val="Subheading"/>
    <w:basedOn w:val="Normal"/>
    <w:rsid w:val="0065571D"/>
    <w:pPr>
      <w:spacing w:before="480" w:after="240"/>
    </w:pPr>
    <w:rPr>
      <w:b/>
      <w:bCs/>
      <w:i/>
      <w:iCs/>
    </w:rPr>
  </w:style>
  <w:style w:type="paragraph" w:customStyle="1" w:styleId="EPFooter">
    <w:name w:val="EPFooter"/>
    <w:basedOn w:val="Normal"/>
    <w:rsid w:val="007C663F"/>
    <w:pPr>
      <w:tabs>
        <w:tab w:val="center" w:pos="4535"/>
        <w:tab w:val="right" w:pos="9071"/>
      </w:tabs>
      <w:spacing w:before="240" w:after="240"/>
    </w:pPr>
    <w:rPr>
      <w:sz w:val="22"/>
    </w:rPr>
  </w:style>
  <w:style w:type="paragraph" w:styleId="Header">
    <w:name w:val="header"/>
    <w:basedOn w:val="Normal"/>
    <w:link w:val="HeaderChar"/>
    <w:semiHidden/>
    <w:rsid w:val="007C663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semiHidden/>
    <w:rsid w:val="00791131"/>
    <w:rPr>
      <w:snapToGrid w:val="0"/>
      <w:sz w:val="24"/>
      <w:lang w:eastAsia="en-US"/>
    </w:rPr>
  </w:style>
  <w:style w:type="character" w:styleId="PageNumber">
    <w:name w:val="page number"/>
    <w:basedOn w:val="DefaultParagraphFont"/>
    <w:semiHidden/>
    <w:rsid w:val="00131752"/>
  </w:style>
  <w:style w:type="paragraph" w:customStyle="1" w:styleId="AmColumnHeading">
    <w:name w:val="AmColumnHeading"/>
    <w:basedOn w:val="Normal"/>
    <w:rsid w:val="00B47478"/>
    <w:pPr>
      <w:spacing w:after="240"/>
      <w:jc w:val="center"/>
    </w:pPr>
    <w:rPr>
      <w:i/>
      <w:snapToGrid/>
      <w:lang w:eastAsia="en-GB"/>
    </w:rPr>
  </w:style>
  <w:style w:type="paragraph" w:customStyle="1" w:styleId="AmCrossRef">
    <w:name w:val="AmCrossRef"/>
    <w:basedOn w:val="Normal"/>
    <w:rsid w:val="00B47478"/>
    <w:pPr>
      <w:spacing w:before="240" w:after="240"/>
      <w:jc w:val="center"/>
    </w:pPr>
    <w:rPr>
      <w:i/>
      <w:snapToGrid/>
      <w:lang w:eastAsia="en-GB"/>
    </w:rPr>
  </w:style>
  <w:style w:type="paragraph" w:customStyle="1" w:styleId="AmJustText">
    <w:name w:val="AmJustText"/>
    <w:basedOn w:val="Normal"/>
    <w:rsid w:val="00B47478"/>
    <w:pPr>
      <w:spacing w:after="240"/>
    </w:pPr>
    <w:rPr>
      <w:i/>
      <w:snapToGrid/>
      <w:lang w:eastAsia="en-GB"/>
    </w:rPr>
  </w:style>
  <w:style w:type="paragraph" w:customStyle="1" w:styleId="AmJustTitle">
    <w:name w:val="AmJustTitle"/>
    <w:basedOn w:val="Normal"/>
    <w:next w:val="AmJustText"/>
    <w:rsid w:val="00B47478"/>
    <w:pPr>
      <w:keepNext/>
      <w:spacing w:before="240" w:after="240"/>
      <w:jc w:val="center"/>
    </w:pPr>
    <w:rPr>
      <w:i/>
      <w:snapToGrid/>
      <w:lang w:eastAsia="en-GB"/>
    </w:rPr>
  </w:style>
  <w:style w:type="paragraph" w:customStyle="1" w:styleId="AmNumberTabs">
    <w:name w:val="AmNumberTabs"/>
    <w:basedOn w:val="Normal"/>
    <w:rsid w:val="00B47478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  <w:snapToGrid/>
      <w:lang w:eastAsia="en-GB"/>
    </w:rPr>
  </w:style>
  <w:style w:type="paragraph" w:customStyle="1" w:styleId="AmOrLang">
    <w:name w:val="AmOrLang"/>
    <w:basedOn w:val="Normal"/>
    <w:rsid w:val="00B47478"/>
    <w:pPr>
      <w:spacing w:before="240" w:after="240"/>
      <w:jc w:val="right"/>
    </w:pPr>
    <w:rPr>
      <w:snapToGrid/>
      <w:lang w:eastAsia="en-GB"/>
    </w:rPr>
  </w:style>
  <w:style w:type="paragraph" w:customStyle="1" w:styleId="AnnexWPDate">
    <w:name w:val="AnnexWPDate"/>
    <w:basedOn w:val="Normal"/>
    <w:rsid w:val="00B47478"/>
    <w:pPr>
      <w:spacing w:before="240" w:after="480"/>
      <w:jc w:val="right"/>
    </w:pPr>
    <w:rPr>
      <w:snapToGrid/>
      <w:lang w:eastAsia="en-GB"/>
    </w:rPr>
  </w:style>
  <w:style w:type="paragraph" w:customStyle="1" w:styleId="AnnexWPDocType">
    <w:name w:val="AnnexWPDocType"/>
    <w:basedOn w:val="Normal"/>
    <w:rsid w:val="00B47478"/>
    <w:pPr>
      <w:spacing w:after="240"/>
      <w:jc w:val="center"/>
    </w:pPr>
    <w:rPr>
      <w:b/>
      <w:snapToGrid/>
      <w:lang w:eastAsia="en-GB"/>
    </w:rPr>
  </w:style>
  <w:style w:type="paragraph" w:customStyle="1" w:styleId="AnnexWPLogo">
    <w:name w:val="AnnexWPLogo"/>
    <w:basedOn w:val="Normal"/>
    <w:rsid w:val="00B47478"/>
    <w:pPr>
      <w:spacing w:before="120" w:after="120"/>
    </w:pPr>
    <w:rPr>
      <w:snapToGrid/>
      <w:lang w:eastAsia="en-GB"/>
    </w:rPr>
  </w:style>
  <w:style w:type="paragraph" w:customStyle="1" w:styleId="AnnexWPSmall">
    <w:name w:val="AnnexWPSmall"/>
    <w:basedOn w:val="Normal"/>
    <w:rsid w:val="00B47478"/>
    <w:rPr>
      <w:smallCaps/>
      <w:snapToGrid/>
      <w:sz w:val="20"/>
      <w:lang w:eastAsia="en-GB"/>
    </w:rPr>
  </w:style>
  <w:style w:type="paragraph" w:customStyle="1" w:styleId="AnnexWPTabs">
    <w:name w:val="AnnexWPTabs"/>
    <w:basedOn w:val="Normal"/>
    <w:rsid w:val="00B47478"/>
    <w:pPr>
      <w:tabs>
        <w:tab w:val="right" w:pos="3686"/>
        <w:tab w:val="left" w:pos="3827"/>
      </w:tabs>
    </w:pPr>
    <w:rPr>
      <w:b/>
      <w:snapToGrid/>
      <w:lang w:eastAsia="en-GB"/>
    </w:rPr>
  </w:style>
  <w:style w:type="paragraph" w:customStyle="1" w:styleId="AnnexWPTitle">
    <w:name w:val="AnnexWPTitle"/>
    <w:basedOn w:val="Normal"/>
    <w:rsid w:val="00B47478"/>
    <w:pPr>
      <w:spacing w:before="480"/>
    </w:pPr>
    <w:rPr>
      <w:b/>
      <w:snapToGrid/>
      <w:lang w:eastAsia="en-GB"/>
    </w:rPr>
  </w:style>
  <w:style w:type="paragraph" w:customStyle="1" w:styleId="AmHeadingConsam">
    <w:name w:val="AmHeadingConsam"/>
    <w:basedOn w:val="Normal"/>
    <w:next w:val="Normal"/>
    <w:rsid w:val="00B47478"/>
    <w:pPr>
      <w:spacing w:before="720" w:after="240"/>
      <w:jc w:val="center"/>
    </w:pPr>
    <w:rPr>
      <w:snapToGrid/>
      <w:lang w:eastAsia="en-GB"/>
    </w:rPr>
  </w:style>
  <w:style w:type="paragraph" w:customStyle="1" w:styleId="CoverNormal12a">
    <w:name w:val="CoverNormal12a"/>
    <w:basedOn w:val="Normal"/>
    <w:rsid w:val="00B47478"/>
    <w:pPr>
      <w:spacing w:after="240"/>
      <w:ind w:left="1418"/>
    </w:pPr>
    <w:rPr>
      <w:snapToGrid/>
      <w:lang w:eastAsia="en-GB"/>
    </w:rPr>
  </w:style>
  <w:style w:type="paragraph" w:customStyle="1" w:styleId="Confidential">
    <w:name w:val="Confidential"/>
    <w:basedOn w:val="Normal"/>
    <w:rsid w:val="00B47478"/>
    <w:pPr>
      <w:spacing w:before="120" w:after="120"/>
      <w:jc w:val="center"/>
    </w:pPr>
    <w:rPr>
      <w:rFonts w:ascii="Arial" w:hAnsi="Arial"/>
      <w:caps/>
      <w:snapToGrid/>
      <w:lang w:eastAsia="en-GB"/>
    </w:rPr>
  </w:style>
  <w:style w:type="paragraph" w:customStyle="1" w:styleId="CoverReferenceIMM">
    <w:name w:val="CoverReferenceIMM"/>
    <w:basedOn w:val="Normal"/>
    <w:rsid w:val="00B47478"/>
    <w:pPr>
      <w:spacing w:before="360"/>
      <w:jc w:val="right"/>
    </w:pPr>
    <w:rPr>
      <w:rFonts w:ascii="Arial" w:hAnsi="Arial"/>
      <w:b/>
      <w:snapToGrid/>
      <w:lang w:eastAsia="en-GB"/>
    </w:rPr>
  </w:style>
  <w:style w:type="paragraph" w:customStyle="1" w:styleId="CoverDate">
    <w:name w:val="CoverDate"/>
    <w:basedOn w:val="Normal"/>
    <w:rsid w:val="00B47478"/>
    <w:pPr>
      <w:spacing w:before="240" w:after="1200"/>
    </w:pPr>
    <w:rPr>
      <w:snapToGrid/>
      <w:lang w:eastAsia="en-GB"/>
    </w:rPr>
  </w:style>
  <w:style w:type="paragraph" w:customStyle="1" w:styleId="CoverDocType">
    <w:name w:val="CoverDocType"/>
    <w:basedOn w:val="Normal"/>
    <w:rsid w:val="00B47478"/>
    <w:pPr>
      <w:ind w:left="1418"/>
    </w:pPr>
    <w:rPr>
      <w:rFonts w:ascii="Arial" w:hAnsi="Arial"/>
      <w:b/>
      <w:snapToGrid/>
      <w:sz w:val="48"/>
      <w:lang w:eastAsia="en-GB"/>
    </w:rPr>
  </w:style>
  <w:style w:type="character" w:styleId="FootnoteReference">
    <w:name w:val="footnote reference"/>
    <w:rsid w:val="00B47478"/>
    <w:rPr>
      <w:vertAlign w:val="superscript"/>
    </w:rPr>
  </w:style>
  <w:style w:type="paragraph" w:customStyle="1" w:styleId="NormalBold12a">
    <w:name w:val="NormalBold12a"/>
    <w:basedOn w:val="Normal"/>
    <w:rsid w:val="00B47478"/>
    <w:pPr>
      <w:spacing w:after="240"/>
    </w:pPr>
    <w:rPr>
      <w:b/>
      <w:snapToGrid/>
      <w:lang w:eastAsia="en-GB"/>
    </w:rPr>
  </w:style>
  <w:style w:type="paragraph" w:customStyle="1" w:styleId="NormalCenter12a">
    <w:name w:val="NormalCenter12a"/>
    <w:basedOn w:val="Normal"/>
    <w:rsid w:val="00B47478"/>
    <w:pPr>
      <w:spacing w:after="240"/>
      <w:jc w:val="center"/>
    </w:pPr>
    <w:rPr>
      <w:snapToGrid/>
      <w:lang w:eastAsia="en-GB"/>
    </w:rPr>
  </w:style>
  <w:style w:type="paragraph" w:customStyle="1" w:styleId="Normal6a">
    <w:name w:val="Normal6a"/>
    <w:basedOn w:val="Normal"/>
    <w:rsid w:val="00B47478"/>
    <w:pPr>
      <w:spacing w:after="120"/>
    </w:pPr>
    <w:rPr>
      <w:snapToGrid/>
      <w:lang w:eastAsia="en-GB"/>
    </w:rPr>
  </w:style>
  <w:style w:type="paragraph" w:customStyle="1" w:styleId="NormalBold12b">
    <w:name w:val="NormalBold12b"/>
    <w:basedOn w:val="Normal"/>
    <w:rsid w:val="00B47478"/>
    <w:pPr>
      <w:spacing w:before="240"/>
    </w:pPr>
    <w:rPr>
      <w:b/>
      <w:snapToGrid/>
      <w:lang w:eastAsia="en-GB"/>
    </w:rPr>
  </w:style>
  <w:style w:type="paragraph" w:customStyle="1" w:styleId="Arial14CentreBold">
    <w:name w:val="Arial14CentreBold"/>
    <w:basedOn w:val="Normal"/>
    <w:qFormat/>
    <w:rsid w:val="00A75A20"/>
    <w:pPr>
      <w:jc w:val="center"/>
    </w:pPr>
    <w:rPr>
      <w:rFonts w:ascii="Arial" w:hAnsi="Arial" w:cs="Arial"/>
      <w:b/>
      <w:snapToGrid/>
      <w:sz w:val="28"/>
      <w:szCs w:val="28"/>
      <w:lang w:eastAsia="en-GB"/>
    </w:rPr>
  </w:style>
  <w:style w:type="character" w:customStyle="1" w:styleId="Bold">
    <w:name w:val="Bold"/>
    <w:uiPriority w:val="1"/>
    <w:rsid w:val="0065571D"/>
    <w:rPr>
      <w:b/>
    </w:rPr>
  </w:style>
  <w:style w:type="character" w:customStyle="1" w:styleId="BoldItalic">
    <w:name w:val="BoldItalic"/>
    <w:uiPriority w:val="1"/>
    <w:rsid w:val="0065571D"/>
    <w:rPr>
      <w:b/>
      <w:i/>
      <w:u w:val="none"/>
    </w:rPr>
  </w:style>
  <w:style w:type="character" w:customStyle="1" w:styleId="BoldItalicUnderline">
    <w:name w:val="BoldItalicUnderline"/>
    <w:uiPriority w:val="1"/>
    <w:rsid w:val="0065571D"/>
    <w:rPr>
      <w:b/>
      <w:i/>
      <w:u w:val="single"/>
    </w:rPr>
  </w:style>
  <w:style w:type="character" w:customStyle="1" w:styleId="BoldUnderline">
    <w:name w:val="BoldUnderline"/>
    <w:uiPriority w:val="1"/>
    <w:rsid w:val="0065571D"/>
    <w:rPr>
      <w:b/>
      <w:u w:val="single"/>
    </w:rPr>
  </w:style>
  <w:style w:type="paragraph" w:customStyle="1" w:styleId="CoverNormalLeft">
    <w:name w:val="CoverNormalLeft"/>
    <w:basedOn w:val="CoverNormal"/>
    <w:qFormat/>
    <w:rsid w:val="00A75A20"/>
    <w:pPr>
      <w:ind w:left="0"/>
    </w:pPr>
    <w:rPr>
      <w:snapToGrid/>
      <w:lang w:eastAsia="en-GB"/>
    </w:rPr>
  </w:style>
  <w:style w:type="paragraph" w:customStyle="1" w:styleId="EPFooter2Landscape">
    <w:name w:val="EPFooter2Landscape"/>
    <w:qFormat/>
    <w:rsid w:val="00A75A20"/>
    <w:pPr>
      <w:tabs>
        <w:tab w:val="center" w:pos="4536"/>
        <w:tab w:val="center" w:pos="9923"/>
        <w:tab w:val="right" w:pos="15026"/>
      </w:tabs>
    </w:pPr>
    <w:rPr>
      <w:rFonts w:ascii="Arial" w:hAnsi="Arial" w:cs="Arial"/>
      <w:b/>
      <w:sz w:val="48"/>
      <w:szCs w:val="22"/>
    </w:rPr>
  </w:style>
  <w:style w:type="character" w:customStyle="1" w:styleId="EPFooter2Motto">
    <w:name w:val="EPFooter2Motto"/>
    <w:uiPriority w:val="1"/>
    <w:qFormat/>
    <w:rsid w:val="002707F5"/>
    <w:rPr>
      <w:rFonts w:ascii="Arial" w:hAnsi="Arial"/>
      <w:b/>
      <w:i/>
      <w:color w:val="C0C0C0"/>
      <w:sz w:val="22"/>
    </w:rPr>
  </w:style>
  <w:style w:type="paragraph" w:customStyle="1" w:styleId="EPFooterLandscape">
    <w:name w:val="EPFooterLandscape"/>
    <w:qFormat/>
    <w:rsid w:val="00A75A20"/>
    <w:pPr>
      <w:tabs>
        <w:tab w:val="center" w:pos="6804"/>
        <w:tab w:val="right" w:pos="15026"/>
      </w:tabs>
    </w:pPr>
    <w:rPr>
      <w:sz w:val="22"/>
    </w:rPr>
  </w:style>
  <w:style w:type="character" w:customStyle="1" w:styleId="Italic">
    <w:name w:val="Italic"/>
    <w:uiPriority w:val="1"/>
    <w:rsid w:val="0065571D"/>
    <w:rPr>
      <w:i/>
    </w:rPr>
  </w:style>
  <w:style w:type="character" w:customStyle="1" w:styleId="ItalicUnderline">
    <w:name w:val="ItalicUnderline"/>
    <w:uiPriority w:val="1"/>
    <w:rsid w:val="0065571D"/>
    <w:rPr>
      <w:i/>
      <w:u w:val="single"/>
    </w:rPr>
  </w:style>
  <w:style w:type="paragraph" w:customStyle="1" w:styleId="LegendSign">
    <w:name w:val="LegendSign"/>
    <w:basedOn w:val="Normal"/>
    <w:qFormat/>
    <w:rsid w:val="00A75A20"/>
    <w:pPr>
      <w:tabs>
        <w:tab w:val="right" w:pos="454"/>
        <w:tab w:val="left" w:pos="737"/>
      </w:tabs>
      <w:ind w:left="737" w:hanging="737"/>
    </w:pPr>
    <w:rPr>
      <w:snapToGrid/>
      <w:sz w:val="18"/>
      <w:lang w:eastAsia="en-GB"/>
    </w:rPr>
  </w:style>
  <w:style w:type="paragraph" w:customStyle="1" w:styleId="LegendStandard">
    <w:name w:val="LegendStandard"/>
    <w:basedOn w:val="LegendSign"/>
    <w:qFormat/>
    <w:rsid w:val="00A75A20"/>
    <w:pPr>
      <w:ind w:left="0" w:firstLine="0"/>
    </w:pPr>
  </w:style>
  <w:style w:type="paragraph" w:customStyle="1" w:styleId="LegendTitle">
    <w:name w:val="LegendTitle"/>
    <w:basedOn w:val="Normal"/>
    <w:qFormat/>
    <w:rsid w:val="00A75A20"/>
    <w:pPr>
      <w:spacing w:before="240" w:after="240"/>
    </w:pPr>
    <w:rPr>
      <w:b/>
      <w:i/>
      <w:snapToGrid/>
      <w:lang w:eastAsia="en-GB"/>
    </w:rPr>
  </w:style>
  <w:style w:type="character" w:customStyle="1" w:styleId="HideTermComment">
    <w:name w:val="HideTermComment"/>
    <w:uiPriority w:val="1"/>
    <w:qFormat/>
    <w:rsid w:val="00A75A20"/>
    <w:rPr>
      <w:rFonts w:ascii="Arial" w:hAnsi="Arial"/>
      <w:vanish/>
      <w:color w:val="0066CC"/>
      <w:sz w:val="18"/>
    </w:rPr>
  </w:style>
  <w:style w:type="character" w:customStyle="1" w:styleId="HideTerminTermComment">
    <w:name w:val="HideTerminTermComment"/>
    <w:basedOn w:val="HideTermComment"/>
    <w:uiPriority w:val="1"/>
    <w:qFormat/>
    <w:rsid w:val="00A75A20"/>
    <w:rPr>
      <w:rFonts w:ascii="Arial" w:hAnsi="Arial"/>
      <w:vanish/>
      <w:color w:val="538135" w:themeColor="accent6" w:themeShade="BF"/>
      <w:sz w:val="18"/>
    </w:rPr>
  </w:style>
  <w:style w:type="paragraph" w:customStyle="1" w:styleId="Normal12a">
    <w:name w:val="Normal12a"/>
    <w:basedOn w:val="Normal"/>
    <w:rsid w:val="00031EA2"/>
    <w:pPr>
      <w:spacing w:after="240"/>
    </w:pPr>
    <w:rPr>
      <w:snapToGrid/>
      <w:lang w:eastAsia="en-GB"/>
    </w:rPr>
  </w:style>
  <w:style w:type="paragraph" w:customStyle="1" w:styleId="Normal12b">
    <w:name w:val="Normal12b"/>
    <w:basedOn w:val="Normal"/>
    <w:qFormat/>
    <w:rsid w:val="00A75A20"/>
    <w:pPr>
      <w:spacing w:before="240"/>
    </w:pPr>
    <w:rPr>
      <w:snapToGrid/>
      <w:lang w:eastAsia="en-GB"/>
    </w:rPr>
  </w:style>
  <w:style w:type="paragraph" w:customStyle="1" w:styleId="NormalBoldUnderline24b">
    <w:name w:val="NormalBoldUnderline24b"/>
    <w:basedOn w:val="Normal"/>
    <w:qFormat/>
    <w:rsid w:val="001038F2"/>
    <w:pPr>
      <w:spacing w:before="480"/>
    </w:pPr>
    <w:rPr>
      <w:b/>
      <w:snapToGrid/>
      <w:u w:val="single"/>
      <w:lang w:eastAsia="en-GB"/>
    </w:rPr>
  </w:style>
  <w:style w:type="paragraph" w:customStyle="1" w:styleId="NormalBoldUnderline24b12a">
    <w:name w:val="NormalBoldUnderline24b12a"/>
    <w:basedOn w:val="NormalBoldUnderline24b"/>
    <w:qFormat/>
    <w:rsid w:val="00A75A20"/>
    <w:pPr>
      <w:spacing w:after="240"/>
    </w:pPr>
  </w:style>
  <w:style w:type="paragraph" w:customStyle="1" w:styleId="Normal12aBullet1">
    <w:name w:val="Normal12aBullet1"/>
    <w:basedOn w:val="Normal"/>
    <w:qFormat/>
    <w:rsid w:val="00A75A20"/>
    <w:pPr>
      <w:widowControl/>
      <w:numPr>
        <w:numId w:val="1"/>
      </w:numPr>
    </w:pPr>
    <w:rPr>
      <w:snapToGrid/>
      <w:lang w:eastAsia="en-GB"/>
    </w:rPr>
  </w:style>
  <w:style w:type="paragraph" w:customStyle="1" w:styleId="Normal12aBullet2">
    <w:name w:val="Normal12aBullet2"/>
    <w:basedOn w:val="Normal"/>
    <w:qFormat/>
    <w:rsid w:val="00A75A20"/>
    <w:pPr>
      <w:numPr>
        <w:numId w:val="2"/>
      </w:numPr>
    </w:pPr>
    <w:rPr>
      <w:snapToGrid/>
      <w:lang w:eastAsia="en-GB"/>
    </w:rPr>
  </w:style>
  <w:style w:type="paragraph" w:customStyle="1" w:styleId="NormalHanging12a1">
    <w:name w:val="NormalHanging12a1"/>
    <w:basedOn w:val="Normal"/>
    <w:qFormat/>
    <w:rsid w:val="00C668A5"/>
    <w:pPr>
      <w:spacing w:after="240"/>
      <w:ind w:left="992" w:hanging="425"/>
    </w:pPr>
    <w:rPr>
      <w:snapToGrid/>
      <w:lang w:eastAsia="en-GB"/>
    </w:rPr>
  </w:style>
  <w:style w:type="paragraph" w:customStyle="1" w:styleId="NormalHanging12a2">
    <w:name w:val="NormalHanging12a2"/>
    <w:basedOn w:val="NormalHanging12a1"/>
    <w:qFormat/>
    <w:rsid w:val="00A75A20"/>
    <w:pPr>
      <w:ind w:left="1417"/>
    </w:pPr>
  </w:style>
  <w:style w:type="paragraph" w:customStyle="1" w:styleId="NormalHanging12a3">
    <w:name w:val="NormalHanging12a3"/>
    <w:basedOn w:val="NormalHanging12a2"/>
    <w:qFormat/>
    <w:rsid w:val="00A75A20"/>
    <w:pPr>
      <w:ind w:left="1843"/>
    </w:pPr>
  </w:style>
  <w:style w:type="paragraph" w:customStyle="1" w:styleId="NormalHanging12a4">
    <w:name w:val="NormalHanging12a4"/>
    <w:basedOn w:val="NormalHanging12a3"/>
    <w:qFormat/>
    <w:rsid w:val="00A75A20"/>
    <w:pPr>
      <w:ind w:left="2268"/>
    </w:pPr>
  </w:style>
  <w:style w:type="paragraph" w:customStyle="1" w:styleId="NormalHanging12a5">
    <w:name w:val="NormalHanging12a5"/>
    <w:basedOn w:val="NormalHanging12a4"/>
    <w:qFormat/>
    <w:rsid w:val="00A75A20"/>
    <w:pPr>
      <w:ind w:left="2693"/>
    </w:pPr>
  </w:style>
  <w:style w:type="paragraph" w:customStyle="1" w:styleId="NormalHanging12a6">
    <w:name w:val="NormalHanging12a6"/>
    <w:basedOn w:val="NormalHanging12a5"/>
    <w:qFormat/>
    <w:rsid w:val="00A75A20"/>
    <w:pPr>
      <w:ind w:left="3118"/>
    </w:pPr>
  </w:style>
  <w:style w:type="paragraph" w:customStyle="1" w:styleId="NormalHanging12a7">
    <w:name w:val="NormalHanging12a7"/>
    <w:basedOn w:val="NormalHanging12a6"/>
    <w:qFormat/>
    <w:rsid w:val="00A75A20"/>
    <w:pPr>
      <w:ind w:left="3544"/>
    </w:pPr>
  </w:style>
  <w:style w:type="paragraph" w:customStyle="1" w:styleId="NormalHangingCenter">
    <w:name w:val="NormalHangingCenter"/>
    <w:basedOn w:val="Normal"/>
    <w:qFormat/>
    <w:rsid w:val="00BC0B6B"/>
    <w:pPr>
      <w:spacing w:after="240"/>
      <w:ind w:left="567" w:hanging="567"/>
      <w:jc w:val="center"/>
    </w:pPr>
    <w:rPr>
      <w:snapToGrid/>
      <w:lang w:eastAsia="en-GB"/>
    </w:rPr>
  </w:style>
  <w:style w:type="paragraph" w:customStyle="1" w:styleId="NormalHangingJustified">
    <w:name w:val="NormalHangingJustified"/>
    <w:basedOn w:val="Normal"/>
    <w:qFormat/>
    <w:rsid w:val="00BC0B6B"/>
    <w:pPr>
      <w:spacing w:after="240"/>
      <w:ind w:left="714" w:hanging="357"/>
      <w:jc w:val="both"/>
    </w:pPr>
    <w:rPr>
      <w:snapToGrid/>
      <w:lang w:eastAsia="en-GB"/>
    </w:rPr>
  </w:style>
  <w:style w:type="paragraph" w:customStyle="1" w:styleId="NormalUnderline24b12a">
    <w:name w:val="NormalUnderline24b12a"/>
    <w:basedOn w:val="EPComma"/>
    <w:qFormat/>
    <w:rsid w:val="00A75A20"/>
    <w:rPr>
      <w:snapToGrid/>
      <w:u w:val="single"/>
      <w:lang w:eastAsia="en-GB"/>
    </w:rPr>
  </w:style>
  <w:style w:type="paragraph" w:customStyle="1" w:styleId="Normal2">
    <w:name w:val="Normal2"/>
    <w:next w:val="Normal"/>
    <w:qFormat/>
    <w:rsid w:val="00A75A20"/>
    <w:pPr>
      <w:spacing w:line="120" w:lineRule="auto"/>
    </w:pPr>
    <w:rPr>
      <w:color w:val="000000"/>
      <w:sz w:val="4"/>
      <w:szCs w:val="24"/>
    </w:rPr>
  </w:style>
  <w:style w:type="character" w:customStyle="1" w:styleId="NormalBI">
    <w:name w:val="NormalBI"/>
    <w:basedOn w:val="DefaultParagraphFont"/>
    <w:uiPriority w:val="1"/>
    <w:qFormat/>
    <w:rsid w:val="00A75A20"/>
    <w:rPr>
      <w:rFonts w:ascii="Times New Roman" w:hAnsi="Times New Roman"/>
      <w:b/>
      <w:i/>
      <w:sz w:val="24"/>
    </w:rPr>
  </w:style>
  <w:style w:type="paragraph" w:customStyle="1" w:styleId="NormalBoldItalic6a">
    <w:name w:val="NormalBoldItalic6a"/>
    <w:basedOn w:val="Normal6a"/>
    <w:qFormat/>
    <w:rsid w:val="00A75A20"/>
    <w:rPr>
      <w:b/>
      <w:i/>
    </w:rPr>
  </w:style>
  <w:style w:type="paragraph" w:customStyle="1" w:styleId="NormalBoldItalicCenter6a">
    <w:name w:val="NormalBoldItalicCenter6a"/>
    <w:basedOn w:val="Normal6a"/>
    <w:qFormat/>
    <w:rsid w:val="00A75A20"/>
    <w:pPr>
      <w:jc w:val="center"/>
    </w:pPr>
    <w:rPr>
      <w:b/>
      <w:i/>
    </w:rPr>
  </w:style>
  <w:style w:type="paragraph" w:customStyle="1" w:styleId="NormalItalic6a">
    <w:name w:val="NormalItalic6a"/>
    <w:basedOn w:val="Normal6a"/>
    <w:qFormat/>
    <w:rsid w:val="00A75A20"/>
    <w:rPr>
      <w:i/>
    </w:rPr>
  </w:style>
  <w:style w:type="paragraph" w:customStyle="1" w:styleId="PageHeadingNotTOC">
    <w:name w:val="PageHeadingNotTOC"/>
    <w:basedOn w:val="PageHeading"/>
    <w:rsid w:val="00A75A20"/>
    <w:rPr>
      <w:rFonts w:cs="Times New Roman"/>
      <w:snapToGrid/>
      <w:lang w:eastAsia="en-GB"/>
    </w:rPr>
  </w:style>
  <w:style w:type="character" w:customStyle="1" w:styleId="Sub">
    <w:name w:val="Sub"/>
    <w:uiPriority w:val="1"/>
    <w:qFormat/>
    <w:rsid w:val="0065571D"/>
    <w:rPr>
      <w:vertAlign w:val="subscript"/>
    </w:rPr>
  </w:style>
  <w:style w:type="character" w:customStyle="1" w:styleId="SubBold">
    <w:name w:val="SubBold"/>
    <w:uiPriority w:val="1"/>
    <w:qFormat/>
    <w:rsid w:val="0065571D"/>
    <w:rPr>
      <w:b/>
      <w:vertAlign w:val="subscript"/>
    </w:rPr>
  </w:style>
  <w:style w:type="character" w:customStyle="1" w:styleId="SubBoldItalic">
    <w:name w:val="SubBoldItalic"/>
    <w:uiPriority w:val="1"/>
    <w:rsid w:val="0065571D"/>
    <w:rPr>
      <w:b/>
      <w:i/>
      <w:vertAlign w:val="subscript"/>
    </w:rPr>
  </w:style>
  <w:style w:type="character" w:customStyle="1" w:styleId="SubItalic">
    <w:name w:val="SubItalic"/>
    <w:uiPriority w:val="1"/>
    <w:qFormat/>
    <w:rsid w:val="0065571D"/>
    <w:rPr>
      <w:b/>
      <w:i/>
      <w:vertAlign w:val="subscript"/>
    </w:rPr>
  </w:style>
  <w:style w:type="character" w:customStyle="1" w:styleId="Sup">
    <w:name w:val="Sup"/>
    <w:uiPriority w:val="1"/>
    <w:rsid w:val="0065571D"/>
    <w:rPr>
      <w:vertAlign w:val="superscript"/>
    </w:rPr>
  </w:style>
  <w:style w:type="character" w:customStyle="1" w:styleId="SupBoldItalic">
    <w:name w:val="SupBoldItalic"/>
    <w:uiPriority w:val="1"/>
    <w:qFormat/>
    <w:rsid w:val="0065571D"/>
    <w:rPr>
      <w:b/>
      <w:i/>
      <w:vertAlign w:val="superscript"/>
    </w:rPr>
  </w:style>
  <w:style w:type="character" w:customStyle="1" w:styleId="Underline">
    <w:name w:val="Underline"/>
    <w:uiPriority w:val="1"/>
    <w:rsid w:val="0065571D"/>
    <w:rPr>
      <w:u w:val="single"/>
    </w:rPr>
  </w:style>
  <w:style w:type="paragraph" w:customStyle="1" w:styleId="NormalBoldCenter">
    <w:name w:val="NormalBoldCenter"/>
    <w:basedOn w:val="Normal"/>
    <w:rsid w:val="00880359"/>
    <w:pPr>
      <w:jc w:val="center"/>
    </w:pPr>
    <w:rPr>
      <w:b/>
      <w:snapToGrid/>
      <w:lang w:eastAsia="en-GB"/>
    </w:rPr>
  </w:style>
  <w:style w:type="paragraph" w:customStyle="1" w:styleId="ProcedureTable">
    <w:name w:val="ProcedureTable"/>
    <w:basedOn w:val="Normal"/>
    <w:rsid w:val="008572D4"/>
    <w:rPr>
      <w:snapToGrid/>
      <w:sz w:val="20"/>
      <w:lang w:eastAsia="en-GB"/>
    </w:rPr>
  </w:style>
  <w:style w:type="paragraph" w:customStyle="1" w:styleId="ProcedureTableBold">
    <w:name w:val="ProcedureTableBold"/>
    <w:basedOn w:val="Normal"/>
    <w:rsid w:val="008572D4"/>
    <w:rPr>
      <w:b/>
      <w:snapToGrid/>
      <w:sz w:val="20"/>
      <w:lang w:eastAsia="en-GB"/>
    </w:rPr>
  </w:style>
  <w:style w:type="paragraph" w:customStyle="1" w:styleId="NormalCenter">
    <w:name w:val="NormalCenter"/>
    <w:basedOn w:val="Normal"/>
    <w:rsid w:val="00314D1A"/>
    <w:pPr>
      <w:jc w:val="center"/>
    </w:pPr>
    <w:rPr>
      <w:snapToGrid/>
      <w:lang w:eastAsia="en-GB"/>
    </w:rPr>
  </w:style>
  <w:style w:type="character" w:customStyle="1" w:styleId="SubBoldItalicUnderline">
    <w:name w:val="SubBoldItalicUnderline"/>
    <w:uiPriority w:val="1"/>
    <w:rsid w:val="0065571D"/>
    <w:rPr>
      <w:b/>
      <w:i/>
      <w:u w:val="single"/>
      <w:vertAlign w:val="subscript"/>
    </w:rPr>
  </w:style>
  <w:style w:type="character" w:customStyle="1" w:styleId="SubBoldUnderline">
    <w:name w:val="SubBoldUnderline"/>
    <w:uiPriority w:val="1"/>
    <w:rsid w:val="0065571D"/>
    <w:rPr>
      <w:b/>
      <w:u w:val="single"/>
      <w:vertAlign w:val="subscript"/>
    </w:rPr>
  </w:style>
  <w:style w:type="character" w:customStyle="1" w:styleId="SubItalicUnderline">
    <w:name w:val="SubItalicUnderline"/>
    <w:uiPriority w:val="1"/>
    <w:rsid w:val="0065571D"/>
    <w:rPr>
      <w:i/>
      <w:u w:val="single"/>
      <w:vertAlign w:val="subscript"/>
    </w:rPr>
  </w:style>
  <w:style w:type="character" w:customStyle="1" w:styleId="SubUnderline">
    <w:name w:val="SubUnderline"/>
    <w:uiPriority w:val="1"/>
    <w:rsid w:val="0065571D"/>
    <w:rPr>
      <w:u w:val="single"/>
      <w:vertAlign w:val="subscript"/>
    </w:rPr>
  </w:style>
  <w:style w:type="character" w:customStyle="1" w:styleId="SupBold">
    <w:name w:val="SupBold"/>
    <w:uiPriority w:val="1"/>
    <w:rsid w:val="0065571D"/>
    <w:rPr>
      <w:b/>
      <w:vertAlign w:val="superscript"/>
    </w:rPr>
  </w:style>
  <w:style w:type="character" w:customStyle="1" w:styleId="SupBoldItalicUnderline">
    <w:name w:val="SupBoldItalicUnderline"/>
    <w:uiPriority w:val="1"/>
    <w:rsid w:val="0065571D"/>
    <w:rPr>
      <w:b/>
      <w:i/>
      <w:u w:val="single"/>
      <w:vertAlign w:val="superscript"/>
    </w:rPr>
  </w:style>
  <w:style w:type="character" w:customStyle="1" w:styleId="SupBoldUnderline">
    <w:name w:val="SupBoldUnderline"/>
    <w:uiPriority w:val="1"/>
    <w:rsid w:val="0065571D"/>
    <w:rPr>
      <w:b/>
      <w:u w:val="single"/>
      <w:vertAlign w:val="superscript"/>
    </w:rPr>
  </w:style>
  <w:style w:type="character" w:customStyle="1" w:styleId="SupItalic">
    <w:name w:val="SupItalic"/>
    <w:uiPriority w:val="1"/>
    <w:rsid w:val="0065571D"/>
    <w:rPr>
      <w:i/>
      <w:vertAlign w:val="superscript"/>
    </w:rPr>
  </w:style>
  <w:style w:type="character" w:customStyle="1" w:styleId="SupItalicUnderline">
    <w:name w:val="SupItalicUnderline"/>
    <w:uiPriority w:val="1"/>
    <w:rsid w:val="0065571D"/>
    <w:rPr>
      <w:i/>
      <w:u w:val="single"/>
      <w:vertAlign w:val="superscript"/>
    </w:rPr>
  </w:style>
  <w:style w:type="character" w:customStyle="1" w:styleId="SupUnderline">
    <w:name w:val="SupUnderline"/>
    <w:uiPriority w:val="1"/>
    <w:rsid w:val="0065571D"/>
    <w:rPr>
      <w:u w:val="single"/>
      <w:vertAlign w:val="superscript"/>
    </w:rPr>
  </w:style>
  <w:style w:type="paragraph" w:customStyle="1" w:styleId="Normal24a">
    <w:name w:val="Normal24a"/>
    <w:basedOn w:val="Normal"/>
    <w:rsid w:val="00B140D0"/>
    <w:pPr>
      <w:spacing w:after="480"/>
    </w:pPr>
    <w:rPr>
      <w:snapToGrid/>
      <w:lang w:eastAsia="en-GB"/>
    </w:rPr>
  </w:style>
  <w:style w:type="paragraph" w:customStyle="1" w:styleId="Normal12a24b">
    <w:name w:val="Normal12a24b"/>
    <w:basedOn w:val="Normal"/>
    <w:rsid w:val="00D46F6C"/>
    <w:pPr>
      <w:spacing w:before="360" w:after="240"/>
    </w:pPr>
  </w:style>
  <w:style w:type="paragraph" w:customStyle="1" w:styleId="NormalTab">
    <w:name w:val="NormalTab"/>
    <w:basedOn w:val="Normal"/>
    <w:rsid w:val="00CC6F1E"/>
    <w:pPr>
      <w:tabs>
        <w:tab w:val="center" w:pos="284"/>
        <w:tab w:val="left" w:pos="425"/>
      </w:tabs>
    </w:pPr>
    <w:rPr>
      <w:snapToGrid/>
      <w:lang w:eastAsia="en-GB"/>
    </w:rPr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10" Type="http://schemas.openxmlformats.org/officeDocument/2006/relationships/footer" Target="footer2.xml" /><Relationship Id="rId11" Type="http://schemas.openxmlformats.org/officeDocument/2006/relationships/footer" Target="footer3.xml" /><Relationship Id="rId12" Type="http://schemas.openxmlformats.org/officeDocument/2006/relationships/hyperlink" Target="https://www.europarl.europa.eu/data-protect/index.do" TargetMode="Externa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image" Target="media/image1.png" /><Relationship Id="rId6" Type="http://schemas.openxmlformats.org/officeDocument/2006/relationships/hyperlink" Target="https://eur-lex.europa.eu/legal-content/HR/ALL/?uri=CELEX:52021DC0102" TargetMode="External" /><Relationship Id="rId7" Type="http://schemas.openxmlformats.org/officeDocument/2006/relationships/hyperlink" Target="https://eur-lex.europa.eu/legal-content/HR/ALL/?uri=CELEX:52020DC0152" TargetMode="External" /><Relationship Id="rId8" Type="http://schemas.openxmlformats.org/officeDocument/2006/relationships/hyperlink" Target="https://eur-lex.europa.eu/legal-content/HR/ALL/?uri=CELEX:52025DC0097" TargetMode="External" /><Relationship Id="rId9" Type="http://schemas.openxmlformats.org/officeDocument/2006/relationships/footer" Target="footer1.xml" /></Relationships>
</file>

<file path=word/_rels/footnotes.xml.rels><?xml version="1.0" encoding="utf-8" standalone="yes"?><Relationships xmlns="http://schemas.openxmlformats.org/package/2006/relationships"><Relationship Id="rId1" Type="http://schemas.openxmlformats.org/officeDocument/2006/relationships/hyperlink" Target="http://data.europa.eu/eli/dir/1979/7/oj" TargetMode="External" /><Relationship Id="rId10" Type="http://schemas.openxmlformats.org/officeDocument/2006/relationships/hyperlink" Target="http://data.europa.eu/eli/dir/2024/1385/oj" TargetMode="External" /><Relationship Id="rId11" Type="http://schemas.openxmlformats.org/officeDocument/2006/relationships/hyperlink" Target="http://data.europa.eu/eli/dir/2024/1500/oj" TargetMode="External" /><Relationship Id="rId12" Type="http://schemas.openxmlformats.org/officeDocument/2006/relationships/hyperlink" Target="http://data.europa.eu/eli/dir/2024/1712/oj" TargetMode="External" /><Relationship Id="rId13" Type="http://schemas.openxmlformats.org/officeDocument/2006/relationships/hyperlink" Target="http://data.europa.eu/eli/C/2023/1224/oj" TargetMode="External" /><Relationship Id="rId14" Type="http://schemas.openxmlformats.org/officeDocument/2006/relationships/hyperlink" Target="http://data.europa.eu/eli/C/2025/1279/oj" TargetMode="External" /><Relationship Id="rId15" Type="http://schemas.openxmlformats.org/officeDocument/2006/relationships/hyperlink" Target="https://eige.europa.eu/gender-based-violence" TargetMode="External" /><Relationship Id="rId2" Type="http://schemas.openxmlformats.org/officeDocument/2006/relationships/hyperlink" Target="http://data.europa.eu/eli/dir/1986/613/oj" TargetMode="External" /><Relationship Id="rId3" Type="http://schemas.openxmlformats.org/officeDocument/2006/relationships/hyperlink" Target="http://data.europa.eu/eli/dir/1992/85/oj" TargetMode="External" /><Relationship Id="rId4" Type="http://schemas.openxmlformats.org/officeDocument/2006/relationships/hyperlink" Target="http://data.europa.eu/eli/dir/2004/113/oj" TargetMode="External" /><Relationship Id="rId5" Type="http://schemas.openxmlformats.org/officeDocument/2006/relationships/hyperlink" Target="http://data.europa.eu/eli/dir/2006/54/oj" TargetMode="External" /><Relationship Id="rId6" Type="http://schemas.openxmlformats.org/officeDocument/2006/relationships/hyperlink" Target="http://data.europa.eu/eli/dir/2010/41/oj" TargetMode="External" /><Relationship Id="rId7" Type="http://schemas.openxmlformats.org/officeDocument/2006/relationships/hyperlink" Target="http://data.europa.eu/eli/dir/2019/1158/oj" TargetMode="External" /><Relationship Id="rId8" Type="http://schemas.openxmlformats.org/officeDocument/2006/relationships/hyperlink" Target="http://data.europa.eu/eli/dir/2022/2381/oj" TargetMode="External" /><Relationship Id="rId9" Type="http://schemas.openxmlformats.org/officeDocument/2006/relationships/hyperlink" Target="http://data.europa.eu/eli/dir/2023/970/oj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14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PR_INI</dc:title>
  <dc:creator>e-Parliament@europarl.europa.eu</dc:creator>
  <cp:lastModifiedBy>e-Parliament@europarl.europa.eu</cp:lastModifiedBy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HR</vt:lpwstr>
  </property>
  <property fmtid="{D5CDD505-2E9C-101B-9397-08002B2CF9AE}" pid="3" name="&lt;FdR&gt;">
    <vt:lpwstr>1316271</vt:lpwstr>
  </property>
  <property fmtid="{D5CDD505-2E9C-101B-9397-08002B2CF9AE}" pid="4" name="&lt;Model&gt;">
    <vt:lpwstr>PR_INI</vt:lpwstr>
  </property>
  <property fmtid="{D5CDD505-2E9C-101B-9397-08002B2CF9AE}" pid="5" name="&lt;Type&gt;">
    <vt:lpwstr>PR</vt:lpwstr>
  </property>
  <property fmtid="{D5CDD505-2E9C-101B-9397-08002B2CF9AE}" pid="6" name="DMXMLUID">
    <vt:lpwstr>20250403-105301-009842-306100</vt:lpwstr>
  </property>
  <property fmtid="{D5CDD505-2E9C-101B-9397-08002B2CF9AE}" pid="7" name="FooterPath">
    <vt:lpwstr>PR\1316271HR.doc</vt:lpwstr>
  </property>
  <property fmtid="{D5CDD505-2E9C-101B-9397-08002B2CF9AE}" pid="8" name="PE Number">
    <vt:lpwstr>770.090</vt:lpwstr>
  </property>
  <property fmtid="{D5CDD505-2E9C-101B-9397-08002B2CF9AE}" pid="9" name="UID">
    <vt:lpwstr>eu.europa.europarl-DIN1-2025-0000056500_01.06-hr-02.00_text-xml</vt:lpwstr>
  </property>
</Properties>
</file>