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1.0 -->
  <w:body>
    <w:tbl>
      <w:tblPr>
        <w:jc w:val="left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488"/>
      </w:tblGrid>
      <w:tr>
        <w:tblPrEx>
          <w:jc w:val="left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0"/>
          <w:trHeight w:hRule="exact" w:val="1420"/>
          <w:jc w:val="left"/>
        </w:trPr>
        <w:tc>
          <w:tcPr>
            <w:tcW w:w="6804" w:type="dxa"/>
            <w:vAlign w:val="center"/>
          </w:tcPr>
          <w:p>
            <w:pPr>
              <w:pStyle w:val="EPName"/>
            </w:pPr>
            <w:r w:rsidR="00A77B3E">
              <w:t>Parlament Ewropew</w:t>
            </w:r>
          </w:p>
          <w:p>
            <w:pPr>
              <w:pStyle w:val="EPTerm"/>
            </w:pPr>
            <w:r>
              <w:t>2024-2029</w:t>
            </w:r>
          </w:p>
        </w:tc>
        <w:tc>
          <w:tcPr>
            <w:tcW w:w="2488" w:type="dxa"/>
            <w:vAlign w:val="top"/>
          </w:tcPr>
          <w:p>
            <w:pPr>
              <w:pStyle w:val="EPLogo"/>
            </w:pPr>
            <w:r>
              <w:drawing>
                <wp:inline>
                  <wp:extent cx="1162812" cy="647954"/>
                  <wp:docPr id="10000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812" cy="647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FEMM</w:t>
      </w:r>
      <w:r>
        <w:rPr>
          <w:rStyle w:val="HideTWBInt"/>
        </w:rPr>
        <w:t>}</w:t>
      </w:r>
      <w:r>
        <w:t>Kumitat għad-Drittijiet tan-Nisa u l-Ugwaljanza bejn is-Sessi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LineBottom"/>
      </w:pPr>
    </w:p>
    <w:p>
      <w:pPr>
        <w:pStyle w:val="CoverReference"/>
      </w:pPr>
      <w:r>
        <w:rPr>
          <w:rStyle w:val="HideTWBExt"/>
        </w:rPr>
        <w:t>&lt;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t>2024/2125</w:t>
      </w:r>
      <w:r>
        <w:rPr>
          <w:rStyle w:val="HideTWBExt"/>
        </w:rPr>
        <w:t>&lt;/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RefTypeProc</w:t>
      </w:r>
      <w:r>
        <w:rPr>
          <w:rStyle w:val="HideTWBExt"/>
        </w:rPr>
        <w:t>&gt;</w:t>
      </w:r>
      <w:r>
        <w:t>(INI)</w:t>
      </w:r>
      <w:r>
        <w:rPr>
          <w:rStyle w:val="HideTWBExt"/>
        </w:rPr>
        <w:t>&lt;/</w:t>
      </w:r>
      <w:r>
        <w:rPr>
          <w:rStyle w:val="HideTWBExt"/>
        </w:rPr>
        <w:t>RefTypeProc</w:t>
      </w:r>
      <w:r>
        <w:rPr>
          <w:rStyle w:val="HideTWBExt"/>
        </w:rPr>
        <w:t>&gt;</w:t>
      </w:r>
    </w:p>
    <w:p>
      <w:pPr>
        <w:pStyle w:val="CoverDate"/>
      </w:pPr>
      <w:r>
        <w:rPr>
          <w:rStyle w:val="HideTWBExt"/>
        </w:rPr>
        <w:t>&lt;</w:t>
      </w:r>
      <w:r>
        <w:rPr>
          <w:rStyle w:val="HideTWBExt"/>
        </w:rPr>
        <w:t>Date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24/03/2025</w:t>
      </w:r>
      <w:r>
        <w:rPr>
          <w:rStyle w:val="HideTWBInt"/>
        </w:rPr>
        <w:t>}</w:t>
      </w:r>
      <w:r>
        <w:t>24.03.2025</w:t>
      </w:r>
      <w:r>
        <w:rPr>
          <w:rStyle w:val="HideTWBExt"/>
        </w:rPr>
        <w:t>&lt;/</w:t>
      </w:r>
      <w:r>
        <w:rPr>
          <w:rStyle w:val="HideTWBExt"/>
        </w:rPr>
        <w:t>Date</w:t>
      </w:r>
      <w:r>
        <w:rPr>
          <w:rStyle w:val="HideTWBExt"/>
        </w:rPr>
        <w:t>&gt;</w:t>
      </w:r>
    </w:p>
    <w:p>
      <w:pPr>
        <w:pStyle w:val="CoverDocType24a"/>
      </w:pPr>
      <w:r>
        <w:rPr>
          <w:rStyle w:val="HideTWBExt"/>
        </w:rPr>
        <w:t>&lt;</w:t>
      </w:r>
      <w:r>
        <w:rPr>
          <w:rStyle w:val="HideTWBExt"/>
        </w:rPr>
        <w:t>TitreType</w:t>
      </w:r>
      <w:r>
        <w:rPr>
          <w:rStyle w:val="HideTWBExt"/>
        </w:rPr>
        <w:t>&gt;</w:t>
      </w:r>
      <w:r>
        <w:t>ABBOZZ TA’ RAPPORT</w:t>
      </w:r>
      <w:r>
        <w:rPr>
          <w:rStyle w:val="HideTWBExt"/>
        </w:rPr>
        <w:t>&lt;/</w:t>
      </w:r>
      <w:r>
        <w:rPr>
          <w:rStyle w:val="HideTWBExt"/>
        </w:rPr>
        <w:t>TitreType</w:t>
      </w:r>
      <w:r>
        <w:rPr>
          <w:rStyle w:val="HideTWBExt"/>
        </w:rPr>
        <w:t>&gt;</w:t>
      </w:r>
    </w:p>
    <w:p>
      <w:pPr>
        <w:pStyle w:val="CoverNormal"/>
      </w:pPr>
      <w:r>
        <w:rPr>
          <w:rStyle w:val="HideTWBExt"/>
        </w:rPr>
        <w:t>&lt;</w:t>
      </w:r>
      <w:r>
        <w:rPr>
          <w:rStyle w:val="HideTWBExt"/>
        </w:rPr>
        <w:t>Titre</w:t>
      </w:r>
      <w:r>
        <w:rPr>
          <w:rStyle w:val="HideTWBExt"/>
        </w:rPr>
        <w:t>&gt;</w:t>
      </w:r>
      <w:r>
        <w:t>dwar l-Istrateġija dwar l-Ugwaljanza bejn il-Ġeneri 2025</w:t>
      </w:r>
      <w:r>
        <w:rPr>
          <w:rStyle w:val="HideTWBExt"/>
        </w:rPr>
        <w:t>&lt;/</w:t>
      </w:r>
      <w:r>
        <w:rPr>
          <w:rStyle w:val="HideTWBExt"/>
        </w:rPr>
        <w:t>Titre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DocRef</w:t>
      </w:r>
      <w:r>
        <w:rPr>
          <w:rStyle w:val="HideTWBExt"/>
        </w:rPr>
        <w:t>&gt;</w:t>
      </w:r>
      <w:r>
        <w:t>(2024/2125(INI))</w:t>
      </w:r>
      <w:r>
        <w:rPr>
          <w:rStyle w:val="HideTWBExt"/>
        </w:rPr>
        <w:t>&lt;/</w:t>
      </w:r>
      <w:r>
        <w:rPr>
          <w:rStyle w:val="HideTWBExt"/>
        </w:rPr>
        <w:t>DocRef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FEMM</w:t>
      </w:r>
      <w:r>
        <w:rPr>
          <w:rStyle w:val="HideTWBInt"/>
        </w:rPr>
        <w:t>}</w:t>
      </w:r>
      <w:r>
        <w:t>Kumitat għad-Drittijiet tan-Nisa u l-Ugwaljanza bejn is-Sessi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CoverNormal24a"/>
      </w:pPr>
      <w:r>
        <w:t>Rapporteur</w:t>
      </w:r>
      <w:r>
        <w:t xml:space="preserve">: </w:t>
      </w:r>
      <w:r>
        <w:rPr>
          <w:rStyle w:val="HideTWBExt"/>
        </w:rPr>
        <w:t>&lt;</w:t>
      </w:r>
      <w:r>
        <w:rPr>
          <w:rStyle w:val="HideTWBExt"/>
        </w:rPr>
        <w:t>Depute</w:t>
      </w:r>
      <w:r>
        <w:rPr>
          <w:rStyle w:val="HideTWBExt"/>
        </w:rPr>
        <w:t>&gt;</w:t>
      </w:r>
      <w:r>
        <w:t>Marko Vešligaj</w:t>
      </w:r>
      <w:r>
        <w:rPr>
          <w:rStyle w:val="HideTWBExt"/>
        </w:rPr>
        <w:t>&lt;/</w:t>
      </w:r>
      <w:r>
        <w:rPr>
          <w:rStyle w:val="HideTWBExt"/>
        </w:rPr>
        <w:t>Depute</w:t>
      </w:r>
      <w:r>
        <w:rPr>
          <w:rStyle w:val="HideTWBExt"/>
        </w:rPr>
        <w:t>&gt;</w:t>
      </w:r>
    </w:p>
    <w:p>
      <w:r>
        <w:br w:type="page"/>
      </w:r>
      <w:r>
        <w:t>PR_INI</w:t>
      </w:r>
    </w:p>
    <w:p>
      <w:pPr>
        <w:pStyle w:val="TOCHeading"/>
      </w:pPr>
      <w:r>
        <w:t>WERREJ</w:t>
      </w:r>
    </w:p>
    <w:p>
      <w:pPr>
        <w:pStyle w:val="TOCPage"/>
      </w:pPr>
      <w:r>
        <w:t>Paġna</w:t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>TOC \t "PageHeading"</w:instrText>
      </w:r>
      <w:r>
        <w:fldChar w:fldCharType="separate"/>
      </w:r>
      <w:r>
        <w:t>MOZZJONI GĦAL RIŻOLUZZJONI TAL-PARLAMENT EWROPEW</w:t>
      </w:r>
      <w:r>
        <w:tab/>
      </w:r>
      <w:r>
        <w:fldChar w:fldCharType="begin"/>
      </w:r>
      <w:r>
        <w:instrText xml:space="preserve"> PAGEREF _Toc256000003 \h </w:instrText>
      </w:r>
      <w:r>
        <w:fldChar w:fldCharType="separate"/>
      </w:r>
      <w:r>
        <w:t>3</w:t>
      </w:r>
      <w:r>
        <w:fldChar w:fldCharType="end"/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t>NOTA SPJEGATTIVA</w:t>
      </w:r>
      <w:r>
        <w:tab/>
      </w:r>
      <w:r>
        <w:fldChar w:fldCharType="begin"/>
      </w:r>
      <w:r>
        <w:instrText xml:space="preserve"> PAGEREF _Toc256000004 \h </w:instrText>
      </w:r>
      <w:r>
        <w:fldChar w:fldCharType="separate"/>
      </w:r>
      <w:r>
        <w:t>11</w:t>
      </w:r>
      <w:r>
        <w:fldChar w:fldCharType="end"/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t>ANNESS: ENTITAJIET JEW PERSUNI  LI R-RAPPORTEUR IRĊIEVA KONTRIBUT MINGĦANDHOM</w:t>
      </w:r>
      <w:r>
        <w:tab/>
      </w:r>
      <w:r>
        <w:fldChar w:fldCharType="begin"/>
      </w:r>
      <w:r>
        <w:instrText xml:space="preserve"> PAGEREF _Toc256000005 \h </w:instrText>
      </w:r>
      <w:r>
        <w:fldChar w:fldCharType="separate"/>
      </w:r>
      <w:r>
        <w:t>15</w:t>
      </w:r>
      <w:r>
        <w:fldChar w:fldCharType="end"/>
      </w:r>
    </w:p>
    <w:p>
      <w:pPr>
        <w:pStyle w:val="Normal12b"/>
      </w:pPr>
      <w:r>
        <w:fldChar w:fldCharType="end"/>
      </w:r>
    </w:p>
    <w:p>
      <w:pPr>
        <w:pStyle w:val="CoverNormalLeft"/>
      </w:pPr>
    </w:p>
    <w:p>
      <w:pPr>
        <w:pStyle w:val="PageHeading"/>
      </w:pPr>
      <w:r>
        <w:br w:type="page"/>
      </w:r>
      <w:bookmarkStart w:id="0" w:name="_Toc256000003"/>
      <w:r>
        <w:t>MOZZJONI GĦAL RIŻOLUZZJONI TAL-PARLAMENT EWROPEW</w:t>
      </w:r>
      <w:bookmarkEnd w:id="0"/>
    </w:p>
    <w:p>
      <w:pPr>
        <w:pStyle w:val="NormalBold"/>
      </w:pPr>
      <w:r>
        <w:t>dwar l-Istrateġija dwar l-Ugwaljanza bejn il-Ġeneri 2025</w:t>
      </w:r>
    </w:p>
    <w:p>
      <w:pPr>
        <w:pStyle w:val="NormalBold"/>
      </w:pPr>
      <w:r>
        <w:t>(2024/2125(INI))</w:t>
      </w:r>
    </w:p>
    <w:p>
      <w:pPr>
        <w:pStyle w:val="EPComma"/>
      </w:pPr>
      <w:r>
        <w:rPr>
          <w:rStyle w:val="Italic"/>
        </w:rPr>
        <w:t>Il-Parlament Ewropew</w:t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l-Artikoli 2 u 3 tat-Trattat dwar l-Unjoni Ewropea,</w:t>
      </w:r>
    </w:p>
    <w:p>
      <w:pPr>
        <w:pStyle w:val="NormalHanging12a"/>
      </w:pPr>
      <w:r>
        <w:t>–</w:t>
      </w:r>
      <w:r>
        <w:tab/>
      </w:r>
      <w:r>
        <w:t>wara li kkunsidra l-Artikoli 8, 10, 19, 79, 83, 153 u 157 tat-Trattat dwar il-Funzjonament tal-Unjoni Ewropea (TFUE),</w:t>
      </w:r>
    </w:p>
    <w:p>
      <w:pPr>
        <w:pStyle w:val="NormalHanging12a"/>
      </w:pPr>
      <w:r>
        <w:t>–</w:t>
      </w:r>
      <w:r>
        <w:tab/>
      </w:r>
      <w:r>
        <w:t>wara li kkunsidra l-Artikoli 21 u 23 tal-Karta tad-Drittijiet Fundamentali tal-Unjoni Ewropea,</w:t>
      </w:r>
    </w:p>
    <w:p>
      <w:pPr>
        <w:pStyle w:val="NormalHanging12a"/>
      </w:pPr>
      <w:r>
        <w:t>–</w:t>
      </w:r>
      <w:r>
        <w:tab/>
      </w:r>
      <w:r>
        <w:t>wara li kkunsidra l-Pilastru Ewropew tad-Drittijiet Soċjali, li l-Parlament, il-Kunsill u l-Kummissjoni pproklamaw u ffirmaw fis-17 ta’ Novembru 2017, u l-komunikazzjoni tal-Kummissjoni tal-4 ta’ Marzu 2021 bit-titolu “Il-Pjan ta’ Azzjoni tal-Pilastru Ewropew tad-Drittijiet Soċjali” (</w:t>
      </w:r>
      <w:hyperlink r:id="rId6" w:history="1">
        <w:r>
          <w:rPr>
            <w:rStyle w:val="Hyperlink"/>
          </w:rPr>
          <w:t>COM(2021)0102</w:t>
        </w:r>
      </w:hyperlink>
      <w:r>
        <w:rPr>
          <w:rStyle w:val="DefaultParagraphFont"/>
          <w:b w:val="0"/>
          <w:i w:val="0"/>
          <w:u w:val="none"/>
        </w:rPr>
        <w:t>),</w:t>
      </w:r>
    </w:p>
    <w:p>
      <w:pPr>
        <w:pStyle w:val="NormalHanging12a"/>
      </w:pPr>
      <w:r>
        <w:t>–</w:t>
      </w:r>
      <w:r>
        <w:tab/>
      </w:r>
      <w:r>
        <w:t>wara li kkunsidra l-Konvenzjoni tan-NU dwar l-Eliminazzjoni ta’ Kull Forma ta’ Diskriminazzjoni kontra n-Nisa tat-18 ta’ Diċembru 1979,</w:t>
      </w:r>
    </w:p>
    <w:p>
      <w:pPr>
        <w:pStyle w:val="NormalHanging12a"/>
      </w:pPr>
      <w:r>
        <w:t>–</w:t>
      </w:r>
      <w:r>
        <w:tab/>
      </w:r>
      <w:r>
        <w:t>wara li kkunsidra d-Dikjarazzjoni u l-Pjattaforma ta’ Azzjoni ta’ Beijing tan-NU tal-15 ta’ Settembru 1995 u l-eżiti tal-konferenzi ta’ reviżjoni tagħha,</w:t>
      </w:r>
    </w:p>
    <w:p>
      <w:pPr>
        <w:pStyle w:val="NormalHanging12a"/>
      </w:pPr>
      <w:r>
        <w:t>–</w:t>
      </w:r>
      <w:r>
        <w:tab/>
      </w:r>
      <w:r>
        <w:t>wara li kkunsidra l-Aġenda 2030 tan-NU għall-Iżvilupp Sostenibbli tal-21 ta’ Ottubru 2015 u l-Għanijiet ta’ Żvilupp Sostenibbli (SDGs) stabbiliti fiha, b’mod partikolari l-SDG 5, “Jinkisbu l-ugwaljanza bejn il-ġeneri u l-emanċipazzjoni tan-nisa u l-bniet kollha”, u l-objettivi u l-indikaturi relatati magħha,</w:t>
      </w:r>
    </w:p>
    <w:p>
      <w:pPr>
        <w:pStyle w:val="NormalHanging12a"/>
      </w:pPr>
      <w:r>
        <w:t>–</w:t>
      </w:r>
      <w:r>
        <w:tab/>
      </w:r>
      <w:r>
        <w:t>wara li kkunsidra l-Konvenzjoni dwar ir-Remunerazzjoni Indaqs tal-Organizzazzjoni Internazzjonali tax-Xogħol tad-29 ta’ Ġunju 1951, u l-Konvenzjoni dwar il-Vjolenza u l-Fastidju tal-Organizzazzjoni Internazzjonali tax-Xogħol tal-21 ta’ Ġunju 2019,</w:t>
      </w:r>
    </w:p>
    <w:p>
      <w:pPr>
        <w:pStyle w:val="NormalHanging12a"/>
      </w:pPr>
      <w:r>
        <w:t>–</w:t>
      </w:r>
      <w:r>
        <w:tab/>
      </w:r>
      <w:r>
        <w:t xml:space="preserve">wara li kkunsidra l-Konvenzjoni tal- </w:t>
      </w:r>
      <w:r>
        <w:t>Kunsill tal-Ewropa</w:t>
      </w:r>
      <w:r>
        <w:t xml:space="preserve"> dwar il-Prevenzjoni u l-Ġlieda Kontra l-Vjolenza fuq in-Nisa u l-Vjolenza Domestika (il-Konvenzjoni ta’ Istanbul) tal-11 ta’ Mejju 2011,</w:t>
      </w:r>
    </w:p>
    <w:p>
      <w:pPr>
        <w:pStyle w:val="NormalHanging12a"/>
      </w:pPr>
      <w:r>
        <w:t>–</w:t>
      </w:r>
      <w:r>
        <w:tab/>
      </w:r>
      <w:r>
        <w:t>wara li kkunsidra d-direttivi tal-KEE u tal-UE adottati mill-1975 ’il quddiem dwar aspetti varji tat-trattament ugwali għan-nisa u l-irġiel (id-Direttiva 79/7/KEE</w:t>
      </w:r>
      <w:r>
        <w:rPr>
          <w:rStyle w:val="FootnoteReference"/>
        </w:rPr>
        <w:footnoteReference w:id="2"/>
      </w:r>
      <w:r>
        <w:t>, id-Direttiva 86/613/KEE</w:t>
      </w:r>
      <w:r>
        <w:rPr>
          <w:rStyle w:val="FootnoteReference"/>
        </w:rPr>
        <w:footnoteReference w:id="3"/>
      </w:r>
      <w:r>
        <w:t>, id-Direttiva 92/85/KEE</w:t>
      </w:r>
      <w:r>
        <w:rPr>
          <w:rStyle w:val="FootnoteReference"/>
        </w:rPr>
        <w:footnoteReference w:id="4"/>
      </w:r>
      <w:r>
        <w:t>, id-Direttiva 2004/113/KE</w:t>
      </w:r>
      <w:r>
        <w:rPr>
          <w:rStyle w:val="FootnoteReference"/>
        </w:rPr>
        <w:footnoteReference w:id="5"/>
      </w:r>
      <w:r>
        <w:t>, id-Direttiva 2006/54/KE</w:t>
      </w:r>
      <w:r>
        <w:rPr>
          <w:rStyle w:val="FootnoteReference"/>
        </w:rPr>
        <w:footnoteReference w:id="6"/>
      </w:r>
      <w:r>
        <w:t>, id-Direttiva 2010/41/UE</w:t>
      </w:r>
      <w:r>
        <w:rPr>
          <w:rStyle w:val="FootnoteReference"/>
        </w:rPr>
        <w:footnoteReference w:id="7"/>
      </w:r>
      <w:r>
        <w:t>),</w:t>
      </w:r>
    </w:p>
    <w:p>
      <w:pPr>
        <w:pStyle w:val="NormalHanging12a"/>
      </w:pPr>
      <w:r>
        <w:t>–</w:t>
      </w:r>
      <w:r>
        <w:tab/>
      </w:r>
      <w:r>
        <w:t xml:space="preserve">wara li kkunsidra d-Direttiva (UE) 2019/1158 tal- </w:t>
      </w:r>
      <w:r>
        <w:t>Parlament Ewropew</w:t>
      </w:r>
      <w:r>
        <w:t xml:space="preserve"> u tal-Kunsill tal-20 ta’ Ġunju 2019 dwar il-bilanċ bejn ix-xogħol u l-ħajja privata għall-ġenituri u għall-persuni li jindukraw u li tħassar id-Direttiva tal-Kunsill 2010/18/UE</w:t>
      </w:r>
      <w:r>
        <w:rPr>
          <w:rStyle w:val="FootnoteReference"/>
        </w:rPr>
        <w:footnoteReference w:id="8"/>
      </w:r>
      <w:r>
        <w:t>,</w:t>
      </w:r>
    </w:p>
    <w:p>
      <w:pPr>
        <w:pStyle w:val="NormalHanging12a"/>
      </w:pPr>
      <w:r>
        <w:t>–</w:t>
      </w:r>
      <w:r>
        <w:tab/>
      </w:r>
      <w:r>
        <w:t xml:space="preserve">wara li kkunsidra d-Direttiva (UE) 2022/2381 tal- </w:t>
      </w:r>
      <w:r>
        <w:t>Parlament Ewropew</w:t>
      </w:r>
      <w:r>
        <w:t xml:space="preserve"> u tal-Kunsill tat-23 ta’ Novembru 2022 dwar it-titjib tal-bilanċ bejn il-ġeneri fost diretturi ta’ kumpaniji elenkati u miżuri relatati</w:t>
      </w:r>
      <w:r>
        <w:rPr>
          <w:rStyle w:val="FootnoteReference"/>
        </w:rPr>
        <w:footnoteReference w:id="9"/>
      </w:r>
      <w:r>
        <w:t>,</w:t>
      </w:r>
    </w:p>
    <w:p>
      <w:pPr>
        <w:pStyle w:val="NormalHanging12a"/>
      </w:pPr>
      <w:r>
        <w:t>–</w:t>
      </w:r>
      <w:r>
        <w:tab/>
      </w:r>
      <w:r>
        <w:t xml:space="preserve">wara li kkunsidra d-Direttiva (UE) 2023/970 tal- </w:t>
      </w:r>
      <w:r>
        <w:t>Parlament Ewropew</w:t>
      </w:r>
      <w:r>
        <w:t xml:space="preserve"> u tal-Kunsill tal-10 ta’ Mejju 2023 li ssaħħaħ l-applikazzjoni tal-prinċipju ta’ paga ugwali għal xogħol ugwali jew xogħol ta’ valur ugwali bejn l-irġiel u n-nisa permezz ta’ trasparenza fil-pagi u mekkaniżmi ta’ infurzar</w:t>
      </w:r>
      <w:r>
        <w:rPr>
          <w:rStyle w:val="FootnoteReference"/>
        </w:rPr>
        <w:footnoteReference w:id="10"/>
      </w:r>
      <w:r>
        <w:t>,</w:t>
      </w:r>
    </w:p>
    <w:p>
      <w:pPr>
        <w:pStyle w:val="NormalHanging12a"/>
      </w:pPr>
      <w:r>
        <w:t>–</w:t>
      </w:r>
      <w:r>
        <w:tab/>
      </w:r>
      <w:r>
        <w:t xml:space="preserve">wara li kkunsidra d-Direttiva (UE) 2024/1385 tal- </w:t>
      </w:r>
      <w:r>
        <w:t>Parlament Ewropew</w:t>
      </w:r>
      <w:r>
        <w:t xml:space="preserve"> u tal-Kunsill tal-14 ta’ Mejju 2024 dwar il-ġlieda kontra l-vjolenza fuq in-nisa u l-vjolenza domestika</w:t>
      </w:r>
      <w:r>
        <w:rPr>
          <w:rStyle w:val="FootnoteReference"/>
        </w:rPr>
        <w:footnoteReference w:id="11"/>
      </w:r>
      <w:r>
        <w:t>,</w:t>
      </w:r>
    </w:p>
    <w:p>
      <w:pPr>
        <w:pStyle w:val="NormalHanging12a"/>
      </w:pPr>
      <w:r>
        <w:t>–</w:t>
      </w:r>
      <w:r>
        <w:tab/>
      </w:r>
      <w:r>
        <w:t xml:space="preserve">wara li kkunsidra d-Direttiva (UE) 2024/1500 tal- </w:t>
      </w:r>
      <w:r>
        <w:t>Parlament Ewropew</w:t>
      </w:r>
      <w:r>
        <w:t xml:space="preserve"> u tal-Kunsill tal-14 ta’ Mejju 2024 dwar standards għall-korpi tal-ugwaljanza fil-qasam tat-trattament ugwali u l-opportunitajiet indaqs bejn in-nisa u l-irġiel fi kwistjonijiet ta’ impjieg u xogħol, u li temenda d-Direttivi 2006/54/KE u 2010/41/UE</w:t>
      </w:r>
      <w:r>
        <w:rPr>
          <w:rStyle w:val="FootnoteReference"/>
        </w:rPr>
        <w:footnoteReference w:id="12"/>
      </w:r>
      <w:r>
        <w:t>,</w:t>
      </w:r>
    </w:p>
    <w:p>
      <w:pPr>
        <w:pStyle w:val="NormalHanging12a"/>
      </w:pPr>
      <w:r>
        <w:t>–</w:t>
      </w:r>
      <w:r>
        <w:tab/>
      </w:r>
      <w:r>
        <w:t xml:space="preserve">wara li kkunsidra d-Direttiva (UE) 2024/1712 tal- </w:t>
      </w:r>
      <w:r>
        <w:t>Parlament Ewropew</w:t>
      </w:r>
      <w:r>
        <w:t xml:space="preserve"> u tal-Kunsill tat-13 ta’ Ġunju 2024 li temenda d-Direttiva 2011/36/UE dwar il-prevenzjoni u l-ġlieda kontra t-traffikar tal-bnedmin u l-protezzjoni tal-vittmi tiegħu</w:t>
      </w:r>
      <w:r>
        <w:rPr>
          <w:rStyle w:val="FootnoteReference"/>
        </w:rPr>
        <w:footnoteReference w:id="13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l-komunikazzjoni tal-Kummissjoni tal-5 ta’ Marzu 2020 bit-titolu “Unjoni ta’ Ugwaljanza: Strateġija ta’ Ugwaljanza bejn is-Sessi għall-2020-2025 (</w:t>
      </w:r>
      <w:hyperlink r:id="rId7" w:history="1">
        <w:r>
          <w:rPr>
            <w:rStyle w:val="Hyperlink"/>
          </w:rPr>
          <w:t>COM(2020)0152</w:t>
        </w:r>
      </w:hyperlink>
      <w:r>
        <w:rPr>
          <w:rStyle w:val="DefaultParagraphFont"/>
          <w:b w:val="0"/>
          <w:i w:val="0"/>
          <w:u w:val="none"/>
        </w:rPr>
        <w:t>),</w:t>
      </w:r>
    </w:p>
    <w:p>
      <w:pPr>
        <w:pStyle w:val="NormalHanging12a"/>
      </w:pPr>
      <w:r>
        <w:t>–</w:t>
      </w:r>
      <w:r>
        <w:tab/>
      </w:r>
      <w:r>
        <w:t>wara li kkunsidra l-komunikazzjoni konġunta tal-Kummissjoni u r-Rappreżentant Għoli tal-Unjoni għall-Affarijiet Barranin u l-Politika ta’ Sigurtà tal-25 ta’ Novembru 2020 bit-titolu “Pjan ta’ Azzjoni tal-UE dwar il-Ġeneru (GAP) III – aġenda ambizzjuża għall-ugwaljanza bejn il-ġeneri u l-għoti tas-setgħa lin-nisa fl-azzjoni esterna tal-UE” (JOIN(2020)0017) u d-dokument ta’ ħidma konġunt tal-persunal li jakkumpanjaha bit-titolu “Objettivi u indikaturi biex tiġi inkwadrata l-implimentazzjoni tal-Pjan ta’ Azzjoni dwar il-Ġeneru III (2021-25)” (SWD(2020)0284),</w:t>
      </w:r>
    </w:p>
    <w:p>
      <w:pPr>
        <w:pStyle w:val="NormalHanging12a"/>
      </w:pPr>
      <w:r>
        <w:t>–</w:t>
      </w:r>
      <w:r>
        <w:tab/>
      </w:r>
      <w:r>
        <w:t>wara li kkunsidra l-komunikazzjoni tal-Kummissjoni tas-7 ta’ Marzu 2025 bit-titolu “Pjan Direzzjonali għad-Drittijiet tan-Nisa” (</w:t>
      </w:r>
      <w:hyperlink r:id="rId8" w:history="1">
        <w:r>
          <w:rPr>
            <w:rStyle w:val="Hyperlink"/>
          </w:rPr>
          <w:t>COM(2020)0097</w:t>
        </w:r>
      </w:hyperlink>
      <w:r>
        <w:rPr>
          <w:rStyle w:val="DefaultParagraphFont"/>
          <w:b w:val="0"/>
          <w:i w:val="0"/>
          <w:u w:val="none"/>
        </w:rPr>
        <w:t>),</w:t>
      </w:r>
    </w:p>
    <w:p>
      <w:pPr>
        <w:pStyle w:val="NormalHanging12a"/>
      </w:pPr>
      <w:r>
        <w:t>–</w:t>
      </w:r>
      <w:r>
        <w:tab/>
      </w:r>
      <w:r>
        <w:t>wara li kkunsidra r-riżoluzzjoni tiegħu tat-13 ta’ Frar 2019 dwar ir-rigressjoni attwali tad-drittijiet tan-nisa u tal-ugwaljanza bejn is-sessi fl-UE</w:t>
      </w:r>
      <w:r>
        <w:rPr>
          <w:rStyle w:val="FootnoteReference"/>
        </w:rPr>
        <w:footnoteReference w:id="14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r-riżoluzzjoni tiegħu tat-28 ta’ Novembru 2019 dwar l-adeżjoni tal-UE għall-Konvenzjoni ta’ Istanbul u l-miżuri l-oħra biex tiġi miġġielda l-vjolenza abbażi tal-ġeneru</w:t>
      </w:r>
      <w:r>
        <w:rPr>
          <w:rStyle w:val="FootnoteReference"/>
        </w:rPr>
        <w:footnoteReference w:id="15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r-riżoluzzjoni tiegħu tat-30 ta’ Jannar 2020 dwar id-differenza fil-pagi bejn il-ġeneri</w:t>
      </w:r>
      <w:r>
        <w:rPr>
          <w:rStyle w:val="FootnoteReference"/>
        </w:rPr>
        <w:footnoteReference w:id="16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r-riżoluzzjoni tiegħu tat-23 ta’ Ottubru 2020 dwar l-Ugwaljanza bejn il-Ġeneri fil-politika estera u ta’ sigurtà komuni tal-UE</w:t>
      </w:r>
      <w:r>
        <w:rPr>
          <w:rStyle w:val="FootnoteReference"/>
        </w:rPr>
        <w:footnoteReference w:id="17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r-riżoluzzjoni tiegħu tal-21 ta’ Jannar 2021 dwar l-Istrateġija tal-UE għall-Ugwaljanza bejn il-Ġeneri</w:t>
      </w:r>
      <w:r>
        <w:rPr>
          <w:rStyle w:val="FootnoteReference"/>
        </w:rPr>
        <w:footnoteReference w:id="18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r-riżoluzzjoni tiegħu tal-21 ta’ Jannar 2021 dwar tnaqqis tad-disparità bejn il-ġeneri fil-qasam diġitali: il-parteċipazzjoni tan-nisa fl-ekonomija diġitali</w:t>
      </w:r>
      <w:r>
        <w:rPr>
          <w:rStyle w:val="FootnoteReference"/>
        </w:rPr>
        <w:footnoteReference w:id="19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r-riżoluzzjoni tiegħu tal-11 ta’ Frar 2021 dwar l-isfidi għad-drittijiet tan-nisa fl-Ewropa fil-futur: aktar minn 25 sena wara d-Dikjarazzjoni u l-Pjattaforma ta’ Azzjoni ta’ Beijing</w:t>
      </w:r>
      <w:r>
        <w:rPr>
          <w:rStyle w:val="FootnoteReference"/>
        </w:rPr>
        <w:footnoteReference w:id="20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r-riżoluzzjoni tiegħu tal-10 ta’ Ġunju 2021 dwar it-tħeġġiġ tal-ugwaljanza bejn il-ġeneri fl-edukazzjoni u l-karrieri fl-oqsma tax-xjenza, tat-teknoloġija, tal-inġinerija u tal-matematika (STEM)</w:t>
      </w:r>
      <w:r>
        <w:rPr>
          <w:rStyle w:val="FootnoteReference"/>
        </w:rPr>
        <w:footnoteReference w:id="21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r-riżoluzzjoni tiegħu tal-24 ta’ Ġunju 2021 dwar is-sitwazzjoni tas-saħħa sesswali u riproduttiva u d-drittijiet relatati fl-UE, fil-kuntest tas-saħħa tan-nisa</w:t>
      </w:r>
      <w:r>
        <w:rPr>
          <w:rStyle w:val="FootnoteReference"/>
        </w:rPr>
        <w:footnoteReference w:id="22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r-riżoluzzjoni tiegħu tas-16 ta’ Settembru 2021 li tinkludi rakkomandazzjonijiet lill-Kummissjoni dwar l-identifikazzjoni ta’ vjolenza abbażi tal-ġeneru bħala qasam ġdid ta’ kriminalità elenkat fl-Artikolu 83(1) tat-TFUE</w:t>
      </w:r>
      <w:r>
        <w:rPr>
          <w:rStyle w:val="FootnoteReference"/>
        </w:rPr>
        <w:footnoteReference w:id="23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r-riżoluzzjoni tiegħu tal-14 ta’ Diċembru 2021 b’rakkomandazzjonijiet lill-Kummissjoni dwar il-ġlieda kontra l-vjolenza abbażi tal-ġeneru: il-vjolenza ċibernetika</w:t>
      </w:r>
      <w:r>
        <w:rPr>
          <w:rStyle w:val="FootnoteReference"/>
        </w:rPr>
        <w:footnoteReference w:id="24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r-riżoluzzjoni tiegħu tal-15 ta’ Diċembru 2021 dwar l-ugwaljanza bejn in-nisa u l-irġiel fl-Unjoni Ewropea fl-2018-2020</w:t>
      </w:r>
      <w:r>
        <w:rPr>
          <w:rStyle w:val="FootnoteReference"/>
        </w:rPr>
        <w:footnoteReference w:id="25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r-riżoluzzjoni tiegħu tal-10 ta’ Marzu 2022 dwar il-Pjan ta’ Azzjoni tal-UE dwar il-Ġeneru III</w:t>
      </w:r>
      <w:r>
        <w:rPr>
          <w:rStyle w:val="FootnoteReference"/>
        </w:rPr>
        <w:footnoteReference w:id="26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r-riżoluzzjoni tiegħu tat-3 ta’ Mejju 2022 dwar il-ksib tal-indipendenza ekonomika tan-nisa permezz tal-intraprenditorija u tal-impjieg indipendenti</w:t>
      </w:r>
      <w:r>
        <w:rPr>
          <w:rStyle w:val="FootnoteReference"/>
        </w:rPr>
        <w:footnoteReference w:id="27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r-riżoluzzjoni tiegħu tal-5 ta’ Lulju 2022 lejn azzjoni Ewropea komuni dwar il-kura</w:t>
      </w:r>
      <w:r>
        <w:rPr>
          <w:rStyle w:val="FootnoteReference"/>
        </w:rPr>
        <w:footnoteReference w:id="28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r-riżoluzzjoni tiegħu tal-5 ta’ Lulju 2022 dwar il-faqar fost in-nisa fl-Ewropa</w:t>
      </w:r>
      <w:r>
        <w:rPr>
          <w:rStyle w:val="FootnoteReference"/>
        </w:rPr>
        <w:footnoteReference w:id="29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r-riżoluzzjoni tiegħu tal-1 ta’ Ġunju 2023 dwar il-fastidju sesswali fl-UE u l-evalwazzjoni MeToo</w:t>
      </w:r>
      <w:r>
        <w:rPr>
          <w:rStyle w:val="FootnoteReference"/>
        </w:rPr>
        <w:footnoteReference w:id="30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r-riżoluzzjoni tiegħu tal-11 ta’ April 2024 dwar l-inklużjoni tad-dritt għall-abort fil-Karta tad-Drittijiet Fundamentali tal-UE</w:t>
      </w:r>
      <w:r>
        <w:rPr>
          <w:rStyle w:val="FootnoteReference"/>
        </w:rPr>
        <w:footnoteReference w:id="31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r-rakkomandazzjoni tiegħu tad-19 ta’ Diċembru 2024 lill-Kunsill dwar il-prijoritajiet tal-UE għad-69 sessjoni tal-Kummissjoni tan-NU dwar l-Istatus tan-Nisa</w:t>
      </w:r>
      <w:r>
        <w:rPr>
          <w:rStyle w:val="FootnoteReference"/>
        </w:rPr>
        <w:footnoteReference w:id="32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r-rapport tal-25 ta’ Novembru 2024 tal-Aġenzija tal-UE għad-Drittijiet Fundamentali (FRA), l-Eurostat u l-Istitut Ewropew għall-Ugwaljanza bejn is-Sessi (EIGE) bit-titolu “EU gender-based violence survey: key results” (Stħarriġ tal-UE dwar il-vjolenza abbażi tal-ġeneru:  riżultati ewlenin),</w:t>
      </w:r>
    </w:p>
    <w:p>
      <w:pPr>
        <w:pStyle w:val="NormalHanging12a"/>
      </w:pPr>
      <w:r>
        <w:t>–</w:t>
      </w:r>
      <w:r>
        <w:tab/>
      </w:r>
      <w:r>
        <w:t>wara li kkunsidra l-Indiċi tal-Ugwaljanza bejn il-Ġeneri tal-2024, ippubblikat mill-EIGE fl-10 ta’ Diċembru 2024,</w:t>
      </w:r>
    </w:p>
    <w:p>
      <w:pPr>
        <w:pStyle w:val="NormalHanging12a"/>
      </w:pPr>
      <w:r>
        <w:t>–</w:t>
      </w:r>
      <w:r>
        <w:tab/>
      </w:r>
      <w:r>
        <w:t>wara li kkunsidra l-Artikolu 55 tar-Regoli ta’ Proċedura tiegħu,</w:t>
      </w:r>
    </w:p>
    <w:p>
      <w:pPr>
        <w:pStyle w:val="NormalHanging12a"/>
      </w:pPr>
      <w:r>
        <w:t>–</w:t>
      </w:r>
      <w:r>
        <w:tab/>
      </w:r>
      <w:r>
        <w:t xml:space="preserve">wara li kkunsidra l-opinjoni tal- </w:t>
      </w:r>
      <w:r>
        <w:t>Kumitat għal-Libertajiet Ċivili, il-Ġustizzja u l-Intern</w:t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r-rapport tal-Kumitat għad-Drittijiet tan-Nisa u l-Ugwaljanza bejn is-Sessi (A10-0000/2025),</w:t>
      </w:r>
    </w:p>
    <w:p>
      <w:pPr>
        <w:pStyle w:val="NormalHanging12a"/>
      </w:pPr>
      <w:r>
        <w:t>A.</w:t>
      </w:r>
      <w:r>
        <w:tab/>
      </w:r>
      <w:r>
        <w:t>billi d-dritt għal trattament ugwali huwa dritt fundamentali rikonoxxut fit-Trattati</w:t>
      </w:r>
      <w:r>
        <w:rPr>
          <w:rStyle w:val="FootnoteReference"/>
        </w:rPr>
        <w:footnoteReference w:id="33"/>
      </w:r>
      <w:r>
        <w:t xml:space="preserve"> u fil-Karta tad-Drittijiet Fundamentali, u huwa essenzjali għall-iżvilupp ulterjuri tiegħu;</w:t>
      </w:r>
    </w:p>
    <w:p>
      <w:pPr>
        <w:pStyle w:val="NormalHanging12a"/>
      </w:pPr>
      <w:r>
        <w:t>B.</w:t>
      </w:r>
      <w:r>
        <w:tab/>
      </w:r>
      <w:r>
        <w:t>billi l-ugwaljanza bejn il-ġeneri hija valur ċentrali tal-UE, dritt fundamentali u prinċipju ewlieni tal-Pilastru Ewropew tad-Drittijiet Soċjali, u kundizzjoni essenzjali għall-progress;</w:t>
      </w:r>
    </w:p>
    <w:p>
      <w:pPr>
        <w:pStyle w:val="NormalHanging12a"/>
      </w:pPr>
      <w:r>
        <w:t>C.</w:t>
      </w:r>
      <w:r>
        <w:tab/>
      </w:r>
      <w:r>
        <w:t>billi l-vjolenza abbażi tal-ġeneru għadha fenomenu mifrux globalment, inkluż fl-UE, u għandha konsegwenzi serji għall-vittmi u għas-soċjetà;</w:t>
      </w:r>
    </w:p>
    <w:p>
      <w:pPr>
        <w:pStyle w:val="NormalHanging12a"/>
      </w:pPr>
      <w:r>
        <w:t>D.</w:t>
      </w:r>
      <w:r>
        <w:tab/>
      </w:r>
      <w:r>
        <w:t>billi kulħadd fl-UE għandu d-dritt li jkollu aċċess għall-ogħla standards ta’ saħħa fiżika u mentali;</w:t>
      </w:r>
    </w:p>
    <w:p>
      <w:pPr>
        <w:pStyle w:val="NormalHanging12a"/>
      </w:pPr>
      <w:r>
        <w:t>E.</w:t>
      </w:r>
      <w:r>
        <w:tab/>
      </w:r>
      <w:r>
        <w:t>billi d-disparitajiet fis-suq tax-xogħol u n-nuqqas ta’ kundizzjonijiet tax-xogħol ġusti u ta’ sikurezza għall-ħaddiema nisa għadhom persistenti madwar l-UE, u d-differenza eżistenti fil-pagi bejn il-ġeneri hija, fil-biċċa l-kbira, il-konsegwenza tas-sottovalutazzjoni sistematika tax-xogħol imwettaq f’setturi ddominati min-nisa; billi, għalhekk, il-kwistjoni ta’ “paga ugwali għal xogħol ta’ valur ugwali” jeħtieġ li tiġi indirizzata biex titnaqqas id-differenza fil-pagi bejn il-ġeneri;</w:t>
      </w:r>
    </w:p>
    <w:p>
      <w:pPr>
        <w:pStyle w:val="NormalHanging12a"/>
      </w:pPr>
      <w:r>
        <w:t>F.</w:t>
      </w:r>
      <w:r>
        <w:tab/>
      </w:r>
      <w:r>
        <w:t>billi t-teknoloġiji diġitali emerġenti huma fattur ta’ riskju għall-ugwaljanza bejn il-ġeneri u jistgħu jipperpetwaw u japprofondixxu x-xejriet eżistenti tal-inugwaljanzi bejn il-ġeneri, id-diskriminazzjoni u l-vjolenza fuq in-nisa u l-bniet;</w:t>
      </w:r>
    </w:p>
    <w:p>
      <w:pPr>
        <w:pStyle w:val="NormalHanging12a"/>
      </w:pPr>
      <w:r>
        <w:t>G.</w:t>
      </w:r>
      <w:r>
        <w:tab/>
      </w:r>
      <w:r>
        <w:t>billi madwar l-UE, ir-responsabbiltajiet ta’ indukrar jitwettqu b’mod sproporzjonat min-nisa, u dan jikkontribwixxi għall-inugwaljanzi;</w:t>
      </w:r>
    </w:p>
    <w:p>
      <w:pPr>
        <w:pStyle w:val="NormalHanging12a"/>
      </w:pPr>
      <w:r>
        <w:t>H.</w:t>
      </w:r>
      <w:r>
        <w:tab/>
      </w:r>
      <w:r>
        <w:t>billi r-riċerka turi li n-nisa mhumiex rappreżentati biżżejjed fil-livelli kollha tat-teħid ta’ deċiżjonijiet ekonomiċi u politiċi madwar id-dinja, u li l-kisba tal-parità bejn il-ġeneri fil-ħajja politika hija prospett imbiegħed;</w:t>
      </w:r>
    </w:p>
    <w:p>
      <w:pPr>
        <w:pStyle w:val="NormalHanging12a"/>
      </w:pPr>
      <w:r>
        <w:t>I.</w:t>
      </w:r>
      <w:r>
        <w:tab/>
      </w:r>
      <w:r>
        <w:t>billi ħafna nisa u gruppi vulnerabbli, inklużi persuni b’diżabbiltà, persuni minn sfondi soċjoekonomiċi żvantaġġati, persuni razzjalizzati, persuni minn sfondi etniċi, ta’ minoranza jew ta’ migrazzjoni, persuni akbar fl-età u persuni LGBTIQ+, jiffaċċjaw inugwaljanzi u diskriminazzjoni intersezzjonali fl-UE;</w:t>
      </w:r>
    </w:p>
    <w:p>
      <w:pPr>
        <w:pStyle w:val="NormalHanging12a"/>
      </w:pPr>
      <w:r>
        <w:t>J.</w:t>
      </w:r>
      <w:r>
        <w:tab/>
      </w:r>
      <w:r>
        <w:t>billi l-Pjan Direzzjonali għad-Drittijiet tan-Nisa jafferma mill-ġdid l-impenn qawwi tal-UE li tissalvagwardja u tavvanza l-ugwaljanza bejn il-ġeneri u d-drittijiet tan-nisa, filwaqt li jiddeskrivi l-prinċipji u l-viżjoni fit-tul għall-progress li fuqhom se sserraħ l-Istrateġija dwar l-Ugwaljanza bejn il-Ġeneri għal wara l-2025;</w:t>
      </w:r>
    </w:p>
    <w:p>
      <w:pPr>
        <w:pStyle w:val="NormalHanging12a"/>
      </w:pPr>
      <w:r>
        <w:t>1.</w:t>
      </w:r>
      <w:r>
        <w:tab/>
      </w:r>
      <w:r>
        <w:t>Jistieden lill-Kummissjoni tippreżenta Strateġija dwar l-Ugwaljanza bejn il-Ġeneri 2026-2030 ambizzjuża, b’miżuri leġiżlattivi u mhux leġiżlattivi konkreti u tanġibbli fl-oqsma ewlenin deskritti hawn taħt;</w:t>
      </w:r>
    </w:p>
    <w:p>
      <w:pPr>
        <w:pStyle w:val="Normal12a24b"/>
      </w:pPr>
      <w:r>
        <w:rPr>
          <w:rStyle w:val="BoldItalic"/>
        </w:rPr>
        <w:t>Vjolenza abbażi tal-ġeneru</w:t>
      </w:r>
    </w:p>
    <w:p>
      <w:pPr>
        <w:pStyle w:val="NormalHanging12a"/>
      </w:pPr>
      <w:r>
        <w:t>2.</w:t>
      </w:r>
      <w:r>
        <w:tab/>
      </w:r>
      <w:r>
        <w:t>Jistieden lill-Kummissjoni tidentifika l-vjolenza abbażi tal-ġeneru bħala qasam ġdid ta’ kriminalità elenkat fl-Artikolu 83(1) tat-TFUE biex jiġu miġġielda b’mod effettiv il-forom kollha ta’ vjolenza fuq in-nisa u l-bniet, li tikkostitwixxi ksur tad-drittijiet fundamentali fl-UE fost l-aktar frekwenti;</w:t>
      </w:r>
    </w:p>
    <w:p>
      <w:pPr>
        <w:pStyle w:val="NormalHanging12a"/>
      </w:pPr>
      <w:r>
        <w:t>3.</w:t>
      </w:r>
      <w:r>
        <w:tab/>
      </w:r>
      <w:r>
        <w:t>Iħeġġeġ lill-Kummissjoni tirrikonoxxi l-femminiċidju bħala reat kriminali distint;</w:t>
      </w:r>
    </w:p>
    <w:p>
      <w:pPr>
        <w:pStyle w:val="NormalHanging12a"/>
      </w:pPr>
      <w:r>
        <w:t>4.</w:t>
      </w:r>
      <w:r>
        <w:tab/>
      </w:r>
      <w:r>
        <w:t>Jistieden lill-Kummissjoni timmonitorja u tħeġġeġ traspożizzjoni rapida tad-Direttiva (UE) 2024/1385 dwar il-ġlieda kontra l-vjolenza fuq in-nisa u l-vjolenza domestika, u tippreżenta r-rakkomandazzjoni tagħha dwar il-prevenzjoni ta’ prattiki dannużi fuq in-nisa u l-bniet;</w:t>
      </w:r>
    </w:p>
    <w:p>
      <w:pPr>
        <w:pStyle w:val="NormalHanging12a"/>
      </w:pPr>
      <w:r>
        <w:t>5.</w:t>
      </w:r>
      <w:r>
        <w:tab/>
      </w:r>
      <w:r>
        <w:t>Jistieden lill-Kummissjoni tressaq leġiżlazzjoni tal-UE biex tikkriminalizza l-istupru abbażi tan-nuqqas ta’ kunsens; itenni li l-istupru mhuwiex biss ksur tad-drittijiet fundamentali u tal-awtonomija fiżika tan-nisa, iżda wkoll forma ta’ sfruttament sesswali tan-nisa u l-bniet;</w:t>
      </w:r>
    </w:p>
    <w:p>
      <w:pPr>
        <w:pStyle w:val="Normal12a24b"/>
      </w:pPr>
      <w:r>
        <w:rPr>
          <w:rStyle w:val="BoldItalic"/>
        </w:rPr>
        <w:t xml:space="preserve">Kura tas-saħħa komprensiva reattiva għal kwistjonijiet ta’ ġeneru </w:t>
      </w:r>
    </w:p>
    <w:p>
      <w:pPr>
        <w:pStyle w:val="NormalHanging12a"/>
      </w:pPr>
      <w:r>
        <w:t>6.</w:t>
      </w:r>
      <w:r>
        <w:tab/>
      </w:r>
      <w:r>
        <w:t>Iħeġġeġ lill-Kummissjoni tiżgura aċċess universali għal kura tas-saħħa reattiva għal kwistjonijiet ta’ ġeneru għan-nisa u l-bniet;</w:t>
      </w:r>
    </w:p>
    <w:p>
      <w:pPr>
        <w:pStyle w:val="NormalHanging12a"/>
      </w:pPr>
      <w:r>
        <w:t>7.</w:t>
      </w:r>
      <w:r>
        <w:tab/>
      </w:r>
      <w:r>
        <w:t>Jistieden lill-Kummissjoni tindirizza, fil-livell tal-UE, l-ostakli għall-aċċess għall-kura tas-saħħa għan-nisa fid-diversità kollha tagħhom;</w:t>
      </w:r>
    </w:p>
    <w:p>
      <w:pPr>
        <w:pStyle w:val="NormalHanging12a"/>
      </w:pPr>
      <w:r>
        <w:t>8.</w:t>
      </w:r>
      <w:r>
        <w:tab/>
      </w:r>
      <w:r>
        <w:t>Jistieden lill-Kummissjoni tiżgura aċċess sħiħ u ugwali għas-servizzi tal-kura tas-saħħa sesswali u riproduttiva, inkluż id-dritt għal abort sikur u legali, għan-nisa u l-bniet fid-diversità kollha tagħhom;</w:t>
      </w:r>
    </w:p>
    <w:p>
      <w:pPr>
        <w:pStyle w:val="Normal12a24b"/>
      </w:pPr>
      <w:r>
        <w:rPr>
          <w:rStyle w:val="BoldItalic"/>
        </w:rPr>
        <w:t xml:space="preserve">L-ugwaljanza bejn il-ġeneri u t-tisħiħ tal-pożizzjoni tan-nisa fid-dinja tax-xogħol </w:t>
      </w:r>
    </w:p>
    <w:p>
      <w:pPr>
        <w:pStyle w:val="NormalHanging12a"/>
      </w:pPr>
      <w:r>
        <w:t>9.</w:t>
      </w:r>
      <w:r>
        <w:tab/>
      </w:r>
      <w:r>
        <w:t>Jistieden lill-Kummissjoni timmonitorja u tħeġġeġ traspożizzjoni rapida tad-direttivi dwar pagi minimi adegwati</w:t>
      </w:r>
      <w:r>
        <w:rPr>
          <w:rStyle w:val="FootnoteReference"/>
        </w:rPr>
        <w:footnoteReference w:id="34"/>
      </w:r>
      <w:r>
        <w:t>, trasparenza fil-pagi</w:t>
      </w:r>
      <w:r>
        <w:rPr>
          <w:rStyle w:val="FootnoteReference"/>
        </w:rPr>
        <w:footnoteReference w:id="35"/>
      </w:r>
      <w:r>
        <w:t xml:space="preserve"> u nisa fuq il-bordijiet</w:t>
      </w:r>
      <w:r>
        <w:rPr>
          <w:rStyle w:val="FootnoteReference"/>
        </w:rPr>
        <w:footnoteReference w:id="36"/>
      </w:r>
      <w:r>
        <w:t>;</w:t>
      </w:r>
    </w:p>
    <w:p>
      <w:pPr>
        <w:pStyle w:val="NormalHanging12a"/>
      </w:pPr>
      <w:r>
        <w:t>10.</w:t>
      </w:r>
      <w:r>
        <w:tab/>
      </w:r>
      <w:r>
        <w:t>Iħeġġeġ lill-Kummissjoni tiżviluppa linji gwida li jippermettu definizzjoni u tqabbil fl-UE kollha tal-“valur tax-xogħol”, u tistabbilixxi malajr għodod u kriterji ta’ evalwazzjoni tax-xogħol newtrali għall-ġeneru bil-għan li jiġi evalwat aħjar u remunerat b’mod aktar ġust ix-xogħol imwettaq f’setturi ddominati min-nisa;</w:t>
      </w:r>
    </w:p>
    <w:p>
      <w:pPr>
        <w:pStyle w:val="Normal12a24b"/>
      </w:pPr>
      <w:r>
        <w:rPr>
          <w:rStyle w:val="BoldItalic"/>
        </w:rPr>
        <w:t>Id-drittijiet tan-nisa u l-ugwaljanza bejn il-ġeneri fl-edukazzjoni, it-taħriġ u l-isfera diġitali</w:t>
      </w:r>
    </w:p>
    <w:p>
      <w:pPr>
        <w:pStyle w:val="NormalHanging12a"/>
      </w:pPr>
      <w:r>
        <w:t>11.</w:t>
      </w:r>
      <w:r>
        <w:tab/>
      </w:r>
      <w:r>
        <w:t>Iħeġġeġ lill-Kummissjoni tiżgura aċċess inklużiv fir-rigward tal-ġeneru għal-livelli kollha tal-edukazzjoni u tiżviluppa standards ta’ kwalità għolja għall-materjal edukattiv li jippromwovi l-ugwaljanza bejn il-ġeneri u jiżmantellaw l-istereotipi marbuta mal-ġeneru, inkluża l-promozzjoni ta’ edukazzjoni sesswali komprensiva u tal-kunsens;</w:t>
      </w:r>
    </w:p>
    <w:p>
      <w:pPr>
        <w:pStyle w:val="NormalHanging12a"/>
      </w:pPr>
      <w:r>
        <w:t>12.</w:t>
      </w:r>
      <w:r>
        <w:tab/>
      </w:r>
      <w:r>
        <w:t>Jistieden lill-Kummissjoni tiżviluppa u tadotta politika ta’ tolleranza żero fl-ambjent diġitali fir-rigward tal-forom kollha ta’ vjolenza abbażi tal-ġeneru, imġiba dannuża u narrattivi li jimminaw u jiskreditaw l-espressjoni online u offline tan-nisa u l-bniet, u tagħti prijorità lill-miżuri ta’ prevenzjoni u lis-salvagwardji fl-oqsma kollha tal-politika diġitali;</w:t>
      </w:r>
    </w:p>
    <w:p>
      <w:pPr>
        <w:pStyle w:val="Normal12a24b"/>
      </w:pPr>
      <w:r>
        <w:rPr>
          <w:rStyle w:val="BoldItalic"/>
        </w:rPr>
        <w:t>Ir-rikonċiljazzjoni tal-ħajja privata u dik professjonali</w:t>
      </w:r>
    </w:p>
    <w:p>
      <w:pPr>
        <w:pStyle w:val="NormalHanging12a"/>
      </w:pPr>
      <w:r>
        <w:t>13.</w:t>
      </w:r>
      <w:r>
        <w:tab/>
      </w:r>
      <w:r>
        <w:t>Jistieden lill-Kummissjoni tiżviluppa l-Istrateġija Ewropea għall-Kura f’Patt Ewropew għall-Kura li jkun komprensiv, mgħammar b’għodod leġiżlattivi u finanzjarji vinkolanti għall-investiment f’servizzi ta’ indukrar tat-tfal u ta’ kura fit-tul aċċessibbli, affordabbli u ta’ kwalità għolja;</w:t>
      </w:r>
    </w:p>
    <w:p>
      <w:pPr>
        <w:pStyle w:val="NormalHanging12a"/>
      </w:pPr>
      <w:r>
        <w:t>14.</w:t>
      </w:r>
      <w:r>
        <w:tab/>
      </w:r>
      <w:r>
        <w:t>Jisħaq fuq il-ħtieġa li jsiru sforzi biex jinkiseb mudell ta’ ugwaljanza fir-rigward tal-pagi u l-għoti ta’ kura fl-UE, u li jiġu riveduti u aġġustati l-objettivi ta’ Barċellona f’dan ir-rigward, kif ukoll li jiġu żviluppati aktar il-miżuri dwar il-liv tal-maternità u tal-paternità bil-għan li jinkiseb bilanċ aktar ugwali bejn il-ġeneri fir-rigward tar-responsabbiltajiet ta’ kura;</w:t>
      </w:r>
    </w:p>
    <w:p>
      <w:pPr>
        <w:pStyle w:val="Normal12a24b"/>
      </w:pPr>
      <w:r>
        <w:rPr>
          <w:rStyle w:val="BoldItalic"/>
        </w:rPr>
        <w:t xml:space="preserve">Rappreżentanza ugwali u parteċipazzjoni politika </w:t>
      </w:r>
    </w:p>
    <w:p>
      <w:pPr>
        <w:pStyle w:val="NormalHanging12a"/>
      </w:pPr>
      <w:r>
        <w:t>15.</w:t>
      </w:r>
      <w:r>
        <w:tab/>
      </w:r>
      <w:r>
        <w:t>Iħeġġeġ lill-Kummissjoni tinforza bil-liġi kwoti tal-ġeneru u listi alternanti għall-elezzjonijiet kollha abbażi tal-parità bejn il-ġeneri, u tiżgura parità istituzzjonali bejn il-ġeneri fil-livelli kollha tat-teħid ta’ deċiżjonijiet;</w:t>
      </w:r>
    </w:p>
    <w:p>
      <w:pPr>
        <w:pStyle w:val="Normal12a24b"/>
      </w:pPr>
      <w:r>
        <w:rPr>
          <w:rStyle w:val="BoldItalic"/>
        </w:rPr>
        <w:t>Politika barranija femminista</w:t>
      </w:r>
    </w:p>
    <w:p>
      <w:pPr>
        <w:pStyle w:val="NormalHanging12a"/>
      </w:pPr>
      <w:r>
        <w:t>16.</w:t>
      </w:r>
      <w:r>
        <w:tab/>
      </w:r>
      <w:r>
        <w:t>Jistieden lill-Kummissjoni tippromwovi politika barranija, tas-sigurtà, tal-kummerċ u tal-iżvilupp li tagħti prijorità lill-ugwaljanza bejn il-ġeneri skont il-prinċipju tat-tliet “R”jiet (rights, representation, resources – drittijiet, rappreżentanza u riżorsi);</w:t>
      </w:r>
    </w:p>
    <w:p>
      <w:pPr>
        <w:pStyle w:val="Normal12a24b"/>
      </w:pPr>
      <w:r>
        <w:rPr>
          <w:rStyle w:val="BoldItalic"/>
        </w:rPr>
        <w:t>Il-ġlieda fil-konfront</w:t>
      </w:r>
      <w:r>
        <w:rPr>
          <w:rStyle w:val="BoldItalic"/>
        </w:rPr>
        <w:t xml:space="preserve"> tal-movimenti kontra l-ġeneru</w:t>
      </w:r>
    </w:p>
    <w:p>
      <w:pPr>
        <w:pStyle w:val="NormalHanging12a"/>
      </w:pPr>
      <w:r>
        <w:t>17.</w:t>
      </w:r>
      <w:r>
        <w:tab/>
      </w:r>
      <w:r>
        <w:t>Iħeġġeġ lill-Kummissjoni tiżviluppa għodda komprensiva biex timmonitorja u tiġġieled ir-rigress demokratiku u r-rigress fid-drittijiet tan-nisa, li huma intrinsikament marbuta, u tiżgura li l-ugwaljanza bejn il-ġeneri tibqa’ prijorità madwar l-UE;</w:t>
      </w:r>
    </w:p>
    <w:p>
      <w:pPr>
        <w:pStyle w:val="Normal12a24b"/>
      </w:pPr>
      <w:r>
        <w:rPr>
          <w:rStyle w:val="BoldItalic"/>
        </w:rPr>
        <w:t>Mezzi trażversali biex</w:t>
      </w:r>
      <w:r>
        <w:rPr>
          <w:rStyle w:val="BoldItalic"/>
        </w:rPr>
        <w:t xml:space="preserve"> </w:t>
      </w:r>
      <w:r>
        <w:rPr>
          <w:rStyle w:val="BoldItalic"/>
        </w:rPr>
        <w:t>tinkiseb l-ugwaljanza bejn il-ġeneri</w:t>
      </w:r>
    </w:p>
    <w:p>
      <w:pPr>
        <w:pStyle w:val="NormalHanging12a"/>
      </w:pPr>
      <w:r>
        <w:t>18.</w:t>
      </w:r>
      <w:r>
        <w:tab/>
      </w:r>
      <w:r>
        <w:t>Itenni li l-isforzi kollha biex jinkiseb progress fl-ugwaljanza bejn il-ġeneri jridu jsiru b’rispett sħiħ tal-prinċipji tal-intersezzjonalità u l-integrazzjoni tal-perspettiva tal-ġeneri;</w:t>
      </w:r>
    </w:p>
    <w:p>
      <w:pPr>
        <w:pStyle w:val="NormalHanging12a"/>
      </w:pPr>
      <w:r>
        <w:t>19.</w:t>
      </w:r>
      <w:r>
        <w:tab/>
      </w:r>
      <w:r>
        <w:t>Jistieden lill-Kummissjoni tiżgura u tkompli tiżviluppa l-applikazzjoni tal-integrazzjoni tal-perspettiva tal-ġeneri fl-istrutturi, il-metodi u l-għodod tagħha, u tiżgura li l-perspettiva tal-ġeneri tiġi integrata fil-proposti kollha tal-Kummissjoni, inklużi l-proċeduri baġitarji kollha;</w:t>
      </w:r>
    </w:p>
    <w:p>
      <w:pPr>
        <w:pStyle w:val="NormalHanging12a"/>
      </w:pPr>
      <w:r>
        <w:t>20.</w:t>
      </w:r>
      <w:r>
        <w:tab/>
      </w:r>
      <w:r>
        <w:t>Iħeġġeġ lill-Kummissjoni tuża u tkompli tiżviluppa l-intersezzjonalità bħala prinċipju trażversali fl-Istrateġija l-ġdida dwar l-Ugwaljanza bejn il-Ġeneri;</w:t>
      </w:r>
    </w:p>
    <w:p>
      <w:pPr>
        <w:pStyle w:val="NormalCenter12a"/>
      </w:pPr>
      <w:r>
        <w:t>°</w:t>
      </w:r>
    </w:p>
    <w:p>
      <w:pPr>
        <w:pStyle w:val="NormalCenter12a"/>
      </w:pPr>
      <w:r>
        <w:t>°</w:t>
      </w:r>
      <w:r>
        <w:tab/>
      </w:r>
      <w:r>
        <w:t>°</w:t>
      </w:r>
    </w:p>
    <w:p>
      <w:pPr>
        <w:pStyle w:val="NormalHanging12a"/>
      </w:pPr>
      <w:r>
        <w:t>21.</w:t>
      </w:r>
      <w:r>
        <w:tab/>
      </w:r>
      <w:r>
        <w:t>Jagħti istruzzjonijiet lill-President tiegħu biex tgħaddi din ir-riżoluzzjoni lill-Kunsill u lill-Kummissjoni.</w:t>
      </w:r>
    </w:p>
    <w:p>
      <w:pPr>
        <w:pStyle w:val="NormalHanging12a"/>
        <w:sectPr>
          <w:footerReference w:type="even" r:id="rId9"/>
          <w:footerReference w:type="default" r:id="rId10"/>
          <w:footerReference w:type="first" r:id="rId11"/>
          <w:footnotePr>
            <w:numRestart w:val="eachSect"/>
          </w:footnotePr>
          <w:pgSz w:w="11906" w:h="16838"/>
          <w:pgMar w:top="1134" w:right="1417" w:bottom="1417" w:left="1417" w:header="1134" w:footer="567" w:gutter="0"/>
          <w:cols w:num="1" w:space="708"/>
          <w:titlePg/>
          <w:docGrid w:linePitch="360"/>
        </w:sectPr>
      </w:pPr>
    </w:p>
    <w:p>
      <w:pPr>
        <w:pStyle w:val="PageHeading"/>
      </w:pPr>
      <w:bookmarkStart w:id="1" w:name="_Toc256000004"/>
      <w:r>
        <w:t>NOTA SPJEGATTIVA</w:t>
      </w:r>
      <w:bookmarkEnd w:id="1"/>
    </w:p>
    <w:p>
      <w:pPr>
        <w:pStyle w:val="Normal12a"/>
      </w:pPr>
      <w:r>
        <w:t>L-ugwaljanza bejn il-ġeneri hija wieħed mill-</w:t>
      </w:r>
      <w:r>
        <w:rPr>
          <w:rStyle w:val="Bold"/>
        </w:rPr>
        <w:t>valuri ċentrali</w:t>
      </w:r>
      <w:r>
        <w:t xml:space="preserve"> tal-Unjoni Ewropea u, flimkien mad-drittijiet tan-nisa, hija parti indispensabbli u indiviżibbli tad-drittijiet tal-bniedem. Dawn jippreżentaw bażi u skop tal-istat tad-dritt fil-livelli nazzjonali, Ewropej u internazzjonali, kif ukoll l-aktar indikaturi adegwati u rilevanti tas-saħħa u r-reżiljenza tad-demokraziji tagħna.</w:t>
      </w:r>
    </w:p>
    <w:p>
      <w:pPr>
        <w:pStyle w:val="Normal12a"/>
      </w:pPr>
      <w:r>
        <w:t xml:space="preserve">Fil-kuntest ġeopolitiku attwali u l-proċessi globali, issa huwa aktar importanti minn qatt qabel li titressaq </w:t>
      </w:r>
      <w:r>
        <w:rPr>
          <w:rStyle w:val="Bold"/>
        </w:rPr>
        <w:t>aġenda ambizzjuża għad-drittijiet tan-nisa u l-ugwaljanza bejn il-ġeneri</w:t>
      </w:r>
      <w:r>
        <w:t xml:space="preserve"> u għalhekk dan ir-rapport wasal f’mument kruċjali għall-Unjoni Ewropea. L-Istrateġija Ewropea l-ġdida dwar l-Ugwaljanza bejn il-Ġeneri għal wara l-2025 trid tirrispetta l-istandards stabbiliti fis-snin preċedenti u timxi ’l quddiem bi sforz komprensiv lejn il-kisba tal-</w:t>
      </w:r>
      <w:r>
        <w:rPr>
          <w:rStyle w:val="Bold"/>
        </w:rPr>
        <w:t xml:space="preserve">ugwaljanza bejn il-ġeneri fil-livelli kollha u fl-oqsma kollha, għall-persuni kollha mingħajr diskriminazzjoni. </w:t>
      </w:r>
      <w:r>
        <w:t>Barra minn hekk, l-Istrateġija l-ġdida trid tieħu</w:t>
      </w:r>
      <w:r>
        <w:rPr>
          <w:rStyle w:val="Bold"/>
        </w:rPr>
        <w:t xml:space="preserve"> azzjoni deċiżiva dwar l-implimentazzjoni </w:t>
      </w:r>
      <w:r>
        <w:t>tal-leġiżlazzjoni adottata qabel.</w:t>
      </w:r>
      <w:r>
        <w:rPr>
          <w:rStyle w:val="Bold"/>
        </w:rPr>
        <w:t xml:space="preserve"> </w:t>
      </w:r>
    </w:p>
    <w:p>
      <w:pPr>
        <w:pStyle w:val="Normal12a"/>
      </w:pPr>
      <w:r>
        <w:t xml:space="preserve">L-Istrateġija l-ġdida se tiġi fi żmien meta l-movimenti kontra l-ġeneru u kontra d-demokrazija qed jiżdiedu u bħala tali, it-test, li se jitressaq mill-Kummissjoni, irid </w:t>
      </w:r>
      <w:r>
        <w:rPr>
          <w:rStyle w:val="Bold"/>
        </w:rPr>
        <w:t xml:space="preserve">jirrifletti dedikazzjoni istituzzjonali ċara u impenji konkreti għall-protezzjoni u l-iżvilupp ulterjuri tal-qafas għall-ugwaljanza bejn il-ġeneri u b’hekk tiġi ssalvagwardjata d-demokrazija tagħna. </w:t>
      </w:r>
      <w:r>
        <w:t xml:space="preserve">Ma hemm l-ebda demokrazija mingħajr parteċipazzjoni u involviment ugwali u b’saħħithom tan-nisa u l-bniet u dawk li jistinkaw biex jiżmantellaw il-qafas istituzzjonali tagħna huma dawk li jattakkaw id-drittijiet tan-nisa. Dawn l-aġendi huma interkonnessi u, bħala tali, jeħtieġu </w:t>
      </w:r>
      <w:r>
        <w:rPr>
          <w:rStyle w:val="Bold"/>
        </w:rPr>
        <w:t>rispons ibbażat fuq l-Ewropa.</w:t>
      </w:r>
      <w:r>
        <w:t xml:space="preserve"> Tali rispons irid isir fl-oqsma kollha ta’ politika, fil-livelli kollha b’</w:t>
      </w:r>
      <w:r>
        <w:rPr>
          <w:rStyle w:val="Bold"/>
        </w:rPr>
        <w:t>integrazzjoni ċara tal-perspettiva tal-ġeneri</w:t>
      </w:r>
      <w:r>
        <w:t xml:space="preserve"> fil-ħidma tagħna.</w:t>
      </w:r>
    </w:p>
    <w:p>
      <w:pPr>
        <w:pStyle w:val="Normal12a"/>
      </w:pPr>
      <w:r>
        <w:t>Id-dinja tal-lum inbidlet serjament miż-żminijiet li fihom ġiet adottata l-aħħar Strateġija dwar l-Ugwaljanza bejn il-Ġeneri</w:t>
      </w:r>
      <w:r>
        <w:rPr>
          <w:rStyle w:val="FootnoteReference"/>
        </w:rPr>
        <w:footnoteReference w:id="37"/>
      </w:r>
      <w:r>
        <w:t xml:space="preserve">u oqsma ġodda jridu jiġu indirizzati b’mod adegwat: mill-vjolenza u l-fastidju fuq in-nisa u l-bniet fl-isfera diġitali u fid-dinja tax-xogħol għall-ħtieġa ta’ politika barranija femminista għall-bini tal-paċi u l-protezzjoni tas-saħħa sesswali u riproduttiva u d-drittijiet relatati, inkluż l-aċċess għal abort sikur u legali, bħala drittijiet fundamentali tal-bniedem. Jeħtiġilna ninkludu wkoll </w:t>
      </w:r>
      <w:r>
        <w:rPr>
          <w:rStyle w:val="Bold"/>
        </w:rPr>
        <w:t>approċċ intersezzjonali</w:t>
      </w:r>
      <w:r>
        <w:t xml:space="preserve"> fil-politiki tagħna peress li aħna konxji sew li ċerti gruppi, eż. in-nisa migranti, il-persuni LGBTIQ, in-nisa Rom u n-nisa b’diżabbiltà, qed jiffaċċjaw diversi forom intersezzjonali ta’ diskriminazzjoni fl-UE. Sta għalina li nindirizzawhom kollha b’mod adegwat u malajr.</w:t>
      </w:r>
    </w:p>
    <w:p>
      <w:pPr>
        <w:pStyle w:val="Normal12a"/>
      </w:pPr>
      <w:r>
        <w:t>Il-</w:t>
      </w:r>
      <w:r>
        <w:rPr>
          <w:rStyle w:val="Bold"/>
        </w:rPr>
        <w:t>Pjan Direzzjonali għad-Drittijiet tan-Nisa</w:t>
      </w:r>
      <w:r>
        <w:rPr>
          <w:rStyle w:val="FootnoteReference"/>
        </w:rPr>
        <w:footnoteReference w:id="38"/>
      </w:r>
      <w:r>
        <w:t xml:space="preserve"> ppreżentat reċentement huwa pass fid-direzzjoni t-tajba li jirrikonoxxi ħafna kwistjonijiet li qed niffaċċjaw illum meta nitkellmu dwar id-drittijiet tan-nisa iżda jrid jittieħed pass 'il quddiem fi ħdan l-Istrateġija l-ġdida dwar l-Ugwaljanza bejn il-Ġeneri b’</w:t>
      </w:r>
      <w:r>
        <w:rPr>
          <w:rStyle w:val="Bold"/>
        </w:rPr>
        <w:t xml:space="preserve">miżuri konkreti, leġiżlattivi u mhux leġiżlattivi </w:t>
      </w:r>
      <w:r>
        <w:t>mmirati lejn il-ħolqien ta’ soċjetà verament ugwali bejn il-ġeneri.</w:t>
      </w:r>
    </w:p>
    <w:p>
      <w:pPr>
        <w:pStyle w:val="Normal12a"/>
      </w:pPr>
      <w:r>
        <w:rPr>
          <w:rStyle w:val="Bold"/>
        </w:rPr>
        <w:t xml:space="preserve">Il-vjolenza abbażi tal-ġeneru </w:t>
      </w:r>
      <w:r>
        <w:t xml:space="preserve"> hija, skont id-definizzjoni tal-Istitut Ewropew għall-Ugwaljanza bejn is-Sessi, kwalunkwe tip ta’ vjolenza abbażi tal-ġeneru ta’ xi ħadd, kemm jekk fiżika, emozzjonali, finanzjarja jew riproduttiva, u għad li kulħadd jista’ jkun vittma ta’ vjolenza abbażi tal-ġeneru, il-vittmi huma predominantement nisa</w:t>
      </w:r>
      <w:r>
        <w:rPr>
          <w:rStyle w:val="FootnoteReference"/>
        </w:rPr>
        <w:footnoteReference w:id="39"/>
      </w:r>
      <w:r>
        <w:t>. L-aħħar Fokus Tematiku tal-Indiċi tal-Ugwaljanza bejn il-Ġeneri</w:t>
      </w:r>
      <w:r>
        <w:rPr>
          <w:rStyle w:val="FootnoteReference"/>
        </w:rPr>
        <w:footnoteReference w:id="40"/>
      </w:r>
      <w:r>
        <w:t xml:space="preserve"> ttratta speċifikament il-vjolenza abbażi tal-ġeneru u d-data turi li 31 % tan-nisa fl-UE esperjenzaw vjolenza fiżika u/jew sesswali mill-età ta’ 15-il sena. Dan juri li, għalkemm sar progress leġiżlattiv u mhux leġiżlattiv fl-UE</w:t>
      </w:r>
      <w:r>
        <w:rPr>
          <w:rStyle w:val="FootnoteReference"/>
        </w:rPr>
        <w:footnoteReference w:id="41"/>
      </w:r>
      <w:r>
        <w:t>, il-</w:t>
      </w:r>
      <w:r>
        <w:rPr>
          <w:rStyle w:val="Bold"/>
        </w:rPr>
        <w:t>vjolenza abbażi tal-ġeneru</w:t>
      </w:r>
      <w:r>
        <w:t xml:space="preserve"> tibqa’ waħda mill-isfidi ewlenin li tostakola soċjetà verament ugwali bejn il-ġeneri, għadha prevalenti ħafna madwar l-Unjoni u jeħtieġ li tiġi indirizzata aktar fil-livell Ewropew u </w:t>
      </w:r>
      <w:r>
        <w:rPr>
          <w:rStyle w:val="Bold"/>
        </w:rPr>
        <w:t>definita b’mod ċar bħala reat kriminali tal-UE</w:t>
      </w:r>
      <w:r>
        <w:t>. Id-data reċenti turi li l-implimentazzjoni tal-leġiżlazzjoni eżistenti, eż. id-</w:t>
      </w:r>
      <w:r>
        <w:rPr>
          <w:rStyle w:val="Bold"/>
        </w:rPr>
        <w:t xml:space="preserve">Direttiva dwar il-ġlieda kontra l-vjolenza fuq in-nisa u l-vjolenza domestika </w:t>
      </w:r>
      <w:r>
        <w:t xml:space="preserve">hija kwistjoni urġenti u trid tiġi mmonitorjata u ggwidata tajjeb. Hemm ukoll il-ħtieġa li jiġi riformulat u żviluppat aktar ċerti aspetti tal-ħidma leġiżlattiva preċedenti, bħad-definizzjonijiet abbażi tal-kunsens, </w:t>
      </w:r>
      <w:r>
        <w:rPr>
          <w:rStyle w:val="Bold"/>
        </w:rPr>
        <w:t>iż-żieda tal-istupru mal-lista ta’ reati kriminali tal-UE, kif ukoll ir-rikonoxximent tal-femminiċidju bħala reat distint mill-omiċidju</w:t>
      </w:r>
      <w:r>
        <w:t>, iżda li jiġu enfasizzati wkoll xi wħud mill-kategoriji anqas magħrufa ta’ vjolenza abbażi tal-ġeneru, eż. il-vjolenza ostetrika u ċ-ċaħda tal-kura tal-abort. Irridu wkoll naraw progress fir-Rakkomandazzjonijiet dwar Prattiki Dannużi.</w:t>
      </w:r>
    </w:p>
    <w:p>
      <w:pPr>
        <w:pStyle w:val="Normal12a"/>
      </w:pPr>
      <w:r>
        <w:t>Kulħadd fl-Unjoni Ewropea għandu d-dritt ta’ aċċess għall-</w:t>
      </w:r>
      <w:r>
        <w:rPr>
          <w:rStyle w:val="Bold"/>
        </w:rPr>
        <w:t xml:space="preserve">ogħla standards ta’ saħħa fiżika u mentali u </w:t>
      </w:r>
      <w:r>
        <w:t xml:space="preserve">jrid jiġi żgurat </w:t>
      </w:r>
      <w:r>
        <w:rPr>
          <w:rStyle w:val="Bold"/>
        </w:rPr>
        <w:t>livell għoli ta’ protezzjoni tas-saħħa tal-bniedem</w:t>
      </w:r>
      <w:r>
        <w:t xml:space="preserve"> fid-definizzjoni u l-implimentazzjoni tal-politiki u l-attivitajiet kollha tal-Unjoni</w:t>
      </w:r>
      <w:r>
        <w:rPr>
          <w:rStyle w:val="FootnoteReference"/>
        </w:rPr>
        <w:footnoteReference w:id="42"/>
      </w:r>
      <w:r>
        <w:t>. Id-dritt ta’ aċċess għall-kura tas-saħħa huwa minqux fil-Prinċipju 16 tal-Pilastru Ewropew tad-Drittijiet Soċjali u fil-Pjan ta’ Azzjoni nħeġġu lill-Istati Membri jindirizzaw l-inugwaljanzi fis-saħħa. L-Indiċi tal-Ugwaljanza bejn il-Ġeneri juri progress bil-mod fl-ugwaljanza bejn il-ġeneri fis-saħħa, filwaqt li s-sehem tan-nisa u l-irġiel li jqisu saħħithom bħala tajba ħafna jew tajba ċkien f’żewġ terzi tal-Istati Membri u li ħafna kundizzjonijiet sensittivi għas-sess u l-ġeneru ma għandhomx biżżejjed riċerka, finanzjament u riżorsi, inkluża l-prijoritizzazzjoni</w:t>
      </w:r>
      <w:r>
        <w:rPr>
          <w:rStyle w:val="FootnoteReference"/>
        </w:rPr>
        <w:footnoteReference w:id="43"/>
      </w:r>
      <w:r>
        <w:t>.</w:t>
      </w:r>
    </w:p>
    <w:p>
      <w:pPr>
        <w:pStyle w:val="Normal12a"/>
      </w:pPr>
      <w:r>
        <w:rPr>
          <w:rStyle w:val="Bold"/>
        </w:rPr>
        <w:t>Is-saħħa sesswali u riproduttiva u d-drittijiet relatati</w:t>
      </w:r>
      <w:r>
        <w:t xml:space="preserve"> huma waħda mill-kwistjonijiet ewlenin fid-diskussjoni dwar id-drittijiet tal-bniedem u huma inseparabbli mill-kisba tad-dritt fundamentali għas-saħħa, kif ukoll il-kisba tal-ugwaljanza bejn il-ġeneri u l-eliminazzjoni tal-vjolenza abbażi tal-ġeneru. L-awtonomija fiżika ta’ persuna u d-dritt li tiddeċiedi dwar il-ġisem u l-ħajja tagħha huma l-prekundizzjoni assoluta biex tintlaħaq l-ugwaljanza bejn il-ġeneri. Il-ksur tas-saħħa sesswali u riproduttiva u d-drittijiet relatati jikkostitwixxi ksur tad-drittijiet tal-bniedem. L-isfidi kollha marbutin mas-saħħa sesswali u riproduttiva u d-drittijiet relatati ffaċċjati fl-Istati Membri jikkostitwixxu sfidi Ewropej komuni u din hija kwistjoni tad-drittijiet tal-bniedem kif ukoll kwistjoni tas-saħħa, li trid tiġi indirizzata permezz ta’ approċċ unifikat. L-Organizzazzjoni Dinjija tas-Saħħa (WHO) tirrikonoxxi l-ħtieġa ta’ aċċess universali għas-saħħa sesswali u riproduttiva bħala komponent tad-dritt għas-saħħa. Għandna l-għan li jkollna Strateġija dwar l-Ugwaljanza bejn il-Ġeneri li tiżgura aċċess universali għal edukazzjoni komprensiva, adatta għall-età u bbażata fuq l-evidenza dwar is-sesswalità u r-relazzjonijiet, firxa ta’ metodi u prodotti moderni ta’ kontraċezzjoni ta’ kwalità għolja, aċċessibbli u affordabbli, konsulenza dwar l-ippjanar tal-familja, trattamenti tal-fertilità u informazzjoni dwar il-kontraċezzjoni, kif ukoll kura tal-abort mingħajr ħlas, sikura u legali.</w:t>
      </w:r>
    </w:p>
    <w:p>
      <w:pPr>
        <w:pStyle w:val="Normal12a"/>
      </w:pPr>
      <w:r>
        <w:t>Is-sitwazzjoni fis-</w:t>
      </w:r>
      <w:r>
        <w:rPr>
          <w:rStyle w:val="Bold"/>
        </w:rPr>
        <w:t>suq tax-xogħol</w:t>
      </w:r>
      <w:r>
        <w:t xml:space="preserve"> Ewropew tesiġi approċċ urġenti u komprensiv sabiex jingħelbu l-inugwaljanzi eżistenti. Waħda minn kull tliet nisa fl-UE ma għandhiex impjieg bi ħlas u l-maġġoranza l-kbira tal-impjiegi part-time fl-Unjoni huma okkupati min-nisa. Ix-xogħol tan-nisa tradizzjonalment jiġi sottovalutat u s-segregazzjoni tal-ġeneri għadha sinifikanti, tant li n-nisa huma rrappreżentati żżejjed f’setturi anqas profittabbli</w:t>
      </w:r>
      <w:r>
        <w:rPr>
          <w:rStyle w:val="Bold"/>
        </w:rPr>
        <w:t>. It-tisħiħ tal-pożizzjoni tan-nisa fid-dinja tax-xogħol</w:t>
      </w:r>
      <w:r>
        <w:t xml:space="preserve"> huwa pass kruċjali meta nitkellmu dwar l-iżvilupp soċjali u ekonomiku u huwa prekundizzjoni ta’ ekonomija kompetittiva b’saħħitha. Għalhekk, traspożizzjoni rapida tad-</w:t>
      </w:r>
      <w:r>
        <w:rPr>
          <w:rStyle w:val="Bold"/>
        </w:rPr>
        <w:t>Direttiva dwar it-Trasparenza fil-Pagi</w:t>
      </w:r>
      <w:r>
        <w:t xml:space="preserve"> hija essenzjali b’enfasi fuq l-analiżi ta’ modi kif jitwessa’ l-kamp ta’ applikazzjoni tagħha. Barra minn hekk, kemm id- </w:t>
      </w:r>
      <w:r>
        <w:rPr>
          <w:rStyle w:val="Bold"/>
        </w:rPr>
        <w:t xml:space="preserve">Direttiva dwar Pagi Minimi Adegwati </w:t>
      </w:r>
      <w:r>
        <w:t>kif ukoll dik dwar in-</w:t>
      </w:r>
      <w:r>
        <w:rPr>
          <w:rStyle w:val="Bold"/>
        </w:rPr>
        <w:t>Nisa fuq il-Bordijiet</w:t>
      </w:r>
      <w:r>
        <w:t xml:space="preserve"> iridu jiġu implimentati. Dan ir-rapport jirrikonoxxi li r-raġuni ewlenija għad-differenza bejn il-pagi tal-irġiel u n-nisa hija l-paga sistematikament aktar baxxa fis-setturi ddominati min-nisa (il-kura, il-kura tas-saħħa, l-edukazzjoni u l-bejgħ bl-imnut) meta mqabbla mal-pagi fis-setturi ddominati mill-irġiel, u dan iwassal ukoll biex dawn is-setturi ma jkunux attraenti għall-irġiel u jsaħħaħ in-normi u l-istereotipi dannużi. Hemm ħtieġa urġenti li jiġu żviluppati linji gwida li jippermettu d-definizzjoni u t-tqabbil tal-“</w:t>
      </w:r>
      <w:r>
        <w:rPr>
          <w:rStyle w:val="Italic"/>
        </w:rPr>
        <w:t>valur tax-xogħol</w:t>
      </w:r>
      <w:r>
        <w:t>” u li jiġu stabbiliti għodod u kriterji ta’ evalwazzjoni tax-xogħol newtrali għall-ġeneru bil-għan li jiġi evalwat aħjar u remunerat aktar ix-xogħol f’setturi ddominati min-nisa. Trid tiġi indirizzata l-kwistjoni tas-sikurezza fuq il-post tax-xogħol, kemm fl-ispazji tax-xogħol kif ukoll fil-kuntest tax-xogħol mill-bogħod.</w:t>
      </w:r>
    </w:p>
    <w:p>
      <w:pPr>
        <w:pStyle w:val="Normal12a"/>
      </w:pPr>
      <w:r>
        <w:rPr>
          <w:rStyle w:val="Bold"/>
        </w:rPr>
        <w:t>L-edukazzjoni u t-taħriġ huma essenzjali għall-ugwaljanza bejn il-ġeneri</w:t>
      </w:r>
      <w:r>
        <w:t xml:space="preserve"> u għall-kapaċità ta’ kulħadd li jadatta għall-bidliet fis-suq tax-xogħol u l-edukazzjoni terzjarja hija vitali għal opportunitajiet ta’ impjieg ta’ kwalità. Fl-Unjoni Ewropea llum, is-segregazzjoni orizzontali u vertikali bejn il-ġeneri fl-edukazzjoni għadha persistenti u hija ta’ detriment għall-ugwaljanza bejn il-ġeneri. Bħala tali, l-għoti ta’ aċċess sħiħ u mingħajr xkiel għall-edukazzjoni u t-taħriġ u l-appoġġ għall-parteċipazzjoni tan-nisa fl-edukazzjoni STEM u fl-oqsma u l-karrieri l-oħra kollha huma kruċjali. Huwa stmat li hemm 8 miljun speċjalista tal-ICT fl-UE iżda 17 % biss minnhom huma nisa. Globalment, 22 % biss tal-professjonisti tal-IA huma nisa. L-importanza ta’ dawn is-suġġetti u l-impjiegi relatati qed tikber u jeħtiġilna niżguraw li n-nisa ma jintesewx u li jkunu sikuri fl-isfera diġitali, inkluż meta tiġi indirizzata l-kwistjoni tal-algoritmi u għodod attwali oħra. Konxji li l-istruttura attwali tas-sjieda privata u l-atturi ewlenin tal-pjattaformi online l-kbar ħolqu dinja online li tagħmel ħsara lid-drittijiet tan-nisa u lill-ugwaljanza bejn il-ġeneri, jeħtiġilna nkunu nistgħu nindirizzaw dan u nipproteġu lin-nisa u lill-bniet kollha madwar l-UE. Barra minn hekk, l-irġiel jeħtiġilhom jitħeġġu jidħlu f’setturi ddominati min-nisa, permezz ta’ kundizzjonijiet tax-xogħol aħjar u paga ġusta. L-Istrateġija l-ġdida dwar l-Ugwaljanza bejn il-Ġeneri trid tiżviluppa qafas, li se joħloq spazji sikuri għall-bniet u s-subien biex jitgħallmu, jeduka lill-ġenituri u lill-għalliema dwar l-istereotipi marbuta mal-ġeneru u jistabbilixxi mudelli eżemplari pożittivi tan-nisa u tal-irġiel femministi.</w:t>
      </w:r>
    </w:p>
    <w:p>
      <w:pPr>
        <w:pStyle w:val="Normal12a"/>
      </w:pPr>
      <w:r>
        <w:t>Ir-</w:t>
      </w:r>
      <w:r>
        <w:rPr>
          <w:rStyle w:val="Bold"/>
        </w:rPr>
        <w:t>responsabbiltajiet ta’ kura</w:t>
      </w:r>
      <w:r>
        <w:t xml:space="preserve"> għat-tfal u għal persuni dipendenti oħra huma restrizzjoni sinifikanti fil-parteċipazzjoni tan-nisa fis-suq tax-xogħol. Ir-responsabbiltajiet ta’ kura mhux imħallsa jżommu lil madwar 7,7 miljun mara fl-UE milli jipparteċipaw fis-suq tax-xogħol, meta mqabbla ma’ 450 000 raġel biss. Fil-livell tal-unitajiet domestiċi, diviżjoni mhux uniformi tax-xogħol ta’ kura mhux imħallas bejn in-nisa u l-irġiel tillimita l-parteċipazzjoni ugwali tan-nisa fil-forza tax-xogħol u l-avvanz tagħhom fil-karriera. Din is-sitwazzjoni hija ta’ ħsara għall-kisba ta’ qafas verament ġust </w:t>
      </w:r>
      <w:r>
        <w:rPr>
          <w:rStyle w:val="Bold"/>
        </w:rPr>
        <w:t xml:space="preserve">għall-bilanċ </w:t>
      </w:r>
      <w:r>
        <w:rPr>
          <w:rStyle w:val="Bold"/>
        </w:rPr>
        <w:t>bejn ix-xogħol u l-ħajja</w:t>
      </w:r>
      <w:r>
        <w:rPr>
          <w:rStyle w:val="Bold"/>
        </w:rPr>
        <w:t xml:space="preserve"> privata</w:t>
      </w:r>
      <w:r>
        <w:t xml:space="preserve"> u l-Istrateġija l-ġdida trid tindirizza dawn il-kwistjonijiet. L-għan tagħna huwa li naħdmu biex jintlaħaq mudell ta’ ugwaljanza fir-rigward tal-pagi u l-għoti ta’ kura fis-soċjetà. Għalhekk, jeħtiġilna nimmonitorjaw mill-qrib, nivvalutaw u, jekk ikun meħtieġ, niżviluppaw aktar id-</w:t>
      </w:r>
      <w:r>
        <w:rPr>
          <w:rStyle w:val="Bold"/>
        </w:rPr>
        <w:t>Direttiva dwar il-B</w:t>
      </w:r>
      <w:r>
        <w:rPr>
          <w:rStyle w:val="Bold"/>
        </w:rPr>
        <w:t xml:space="preserve">ilanċ bejn ix-Xogħol u l-Ħajja Privata </w:t>
      </w:r>
      <w:r>
        <w:t xml:space="preserve">iżda hemm ukoll il-ħtieġa li jiġi ppreżentat </w:t>
      </w:r>
      <w:r>
        <w:rPr>
          <w:rStyle w:val="Bold"/>
        </w:rPr>
        <w:t>Patt Ewropew għall-Kura</w:t>
      </w:r>
      <w:r>
        <w:t>, abbażi tal-Istrateġija Ewropea għall-Kura, b’leġiżlazzjoni vinkolanti u finanzjament mil-livell tal-UE. In-nisa ilhom jerfgħu l-piż tal-kura f’kategoriji differenti u jeħtieġ li noħolqu kundizzjonijiet ekwi fuq livell Ewropew.</w:t>
      </w:r>
    </w:p>
    <w:p>
      <w:pPr>
        <w:pStyle w:val="Normal12a"/>
      </w:pPr>
      <w:r>
        <w:t>Gruppi li fihom diversità jieħdu deċiżjonijiet aħjar, aktar inklużivi u aktar sostenibbli. Id-deċiżjonijiet li jqisu l-fehma ta’ kulħadd huma l-uniċi adatti biex iwittu t-triq għal futur li jkun aħjar għal kulħadd u n-</w:t>
      </w:r>
      <w:r>
        <w:rPr>
          <w:rStyle w:val="Bold"/>
        </w:rPr>
        <w:t xml:space="preserve">nisa f’pożizzjonijiet ta’ teħid ta’ deċiżjonijiet </w:t>
      </w:r>
      <w:r>
        <w:t>huma mudelli eżemplari ewlenin u jgħinu fit-tiswir tal-qafas għal futur ugwali. Jeħtieġ li nindirizzaw il-lakuni fit-teħid ta’ deċiżjonijiet fil-livell kemm politiku kif ukoll ekonomiku, filwaqt li nindirizzaw ukoll l-inugwaljanzi istituzzjonali li jżommu lin-nisa milli jilħqu l-potenzjal sħiħ tagħhom.</w:t>
      </w:r>
    </w:p>
    <w:p>
      <w:pPr>
        <w:pStyle w:val="Normal12a"/>
      </w:pPr>
      <w:r>
        <w:t xml:space="preserve">Fi żminijiet ta’ kunflitti u inċertezza globali li qed jiżdiedu, </w:t>
      </w:r>
      <w:r>
        <w:rPr>
          <w:rStyle w:val="Bold"/>
        </w:rPr>
        <w:t>il-politika barranija, tad-difiża u tas-sigurtà tal-UE trid tkun waħda femminista</w:t>
      </w:r>
      <w:r>
        <w:t xml:space="preserve"> bil-kisba tad-drittijiet tan-nisa u l-ugwaljanza bejn il-ġeneri bħala wieħed mill-prinċipji orizzontali u l-għanijiet ewlenin. Fil-politiki esterni tagħna, jeħtiġilna nkunu kapaċi nirriflettu missjoni għall-bini tal-paċi u wieħed mill-prerekwiżiti għal dan huwa l-parteċipazzjoni ugwali tal-mexxejja u l-partijiet ikkonċernati nisa. L-aġenda tal-promozzjoni u l-protezzjoni tad-drittijiet tan-nisa, kif ukoll l-appoġġ għall-attivisti, l-edukaturi u l-mexxejja nisa f’żoni ta’ kunflitt iridu jkunu prijorità fl-istrateġiji kollha tal-UE ta’ rispons għall-konflitti kif ukoll fi kwalunkwe għodda u mekkaniżmu ta’ rispons għall-kriżijiet. Il-prinċipju tat-tliet “R”jiet (rights, representation, resources – drittijiet, rappreżentanza u riżorsi) irid jiġi applikat għall-azzjonijiet esterni kollha tal-UE.</w:t>
      </w:r>
    </w:p>
    <w:p>
      <w:pPr>
        <w:pStyle w:val="Normal12a"/>
        <w:sectPr>
          <w:footnotePr>
            <w:numRestart w:val="eachSect"/>
          </w:footnotePr>
          <w:type w:val="nextPage"/>
          <w:pgSz w:w="11906" w:h="16838"/>
          <w:pgMar w:top="1134" w:right="1417" w:bottom="1417" w:left="1417" w:header="1134" w:footer="567" w:gutter="0"/>
          <w:cols w:num="1" w:space="708"/>
          <w:titlePg w:val="0"/>
          <w:docGrid w:linePitch="360"/>
        </w:sectPr>
      </w:pPr>
    </w:p>
    <w:p>
      <w:pPr>
        <w:pStyle w:val="PageHeading"/>
      </w:pPr>
      <w:bookmarkStart w:id="2" w:name="_Toc256000005"/>
      <w:r>
        <w:t xml:space="preserve">ANNESS: ENTITAJIET JEW PERSUNI </w:t>
        <w:br/>
        <w:t>LI R-RAPPORTEUR IRĊIEVA KONTRIBUT MINGĦANDHOM</w:t>
      </w:r>
      <w:bookmarkEnd w:id="2"/>
    </w:p>
    <w:p>
      <w:pPr>
        <w:pStyle w:val="Normal12a"/>
      </w:pPr>
      <w:r>
        <w:rPr>
          <w:rStyle w:val="HideTWBExt"/>
        </w:rPr>
        <w:t>&lt;</w:t>
      </w:r>
      <w:r>
        <w:rPr>
          <w:rStyle w:val="HideTWBExt"/>
        </w:rPr>
        <w:t>FootprintIntro</w:t>
      </w:r>
      <w:r>
        <w:rPr>
          <w:rStyle w:val="HideTWBExt"/>
        </w:rPr>
        <w:t>&gt;</w:t>
      </w:r>
      <w:r>
        <w:t>F’konformità mal-Artikolu 8 tal-Anness I tar-Regoli ta’ Proċedura, ir-rapporteur jiddikjara li rċieva kontribut mill-entitajiet jew il-persuni li ġejjin fit-tħejjija tal-abbozz ta’ rapport:</w:t>
      </w:r>
      <w:r>
        <w:rPr>
          <w:rStyle w:val="HideTWBExt"/>
        </w:rPr>
        <w:t>&lt;/</w:t>
      </w:r>
      <w:r>
        <w:rPr>
          <w:rStyle w:val="HideTWBExt"/>
        </w:rPr>
        <w:t>FootprintIntro</w:t>
      </w:r>
      <w:r>
        <w:rPr>
          <w:rStyle w:val="HideTWBExt"/>
        </w:rPr>
        <w:t>&gt;</w:t>
      </w:r>
    </w:p>
    <w:tbl>
      <w:tblPr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60"/>
      </w:tblGrid>
      <w:tr>
        <w:tblPrEx>
          <w:jc w:val="center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pPr>
              <w:pStyle w:val="NormalCenter"/>
            </w:pPr>
            <w:r>
              <w:rPr>
                <w:rStyle w:val="Bold"/>
              </w:rPr>
              <w:t>Entità u/jew persuna</w:t>
            </w:r>
          </w:p>
        </w:tc>
      </w:tr>
      <w:tr>
        <w:tblPrEx>
          <w:jc w:val="cente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r>
              <w:t>European Parliamentary Forum for Sexual &amp; Reproductive Rights</w:t>
            </w:r>
          </w:p>
        </w:tc>
      </w:tr>
      <w:tr>
        <w:tblPrEx>
          <w:jc w:val="cente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r>
              <w:t>The International Planned Parenthood Federation (IPPF) European Network</w:t>
            </w:r>
          </w:p>
        </w:tc>
      </w:tr>
      <w:tr>
        <w:tblPrEx>
          <w:jc w:val="cente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r>
              <w:t>Center for Reproductive Rights</w:t>
            </w:r>
          </w:p>
        </w:tc>
      </w:tr>
      <w:tr>
        <w:tblPrEx>
          <w:jc w:val="cente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r>
              <w:t>European Women’s Lobby</w:t>
            </w:r>
          </w:p>
        </w:tc>
      </w:tr>
      <w:tr>
        <w:tblPrEx>
          <w:jc w:val="cente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r>
              <w:t>Foundation for European Progressive Studies (FEPS)</w:t>
            </w:r>
          </w:p>
        </w:tc>
      </w:tr>
      <w:tr>
        <w:tblPrEx>
          <w:jc w:val="cente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r>
              <w:t>European Institute for Gender Equality</w:t>
            </w:r>
          </w:p>
        </w:tc>
      </w:tr>
      <w:tr>
        <w:tblPrEx>
          <w:jc w:val="cente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r>
              <w:t>B.a.B.e. Budi aktivna. Budi emancipiran.</w:t>
            </w:r>
          </w:p>
        </w:tc>
      </w:tr>
      <w:tr>
        <w:tblPrEx>
          <w:jc w:val="cente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r>
              <w:t>Fertility Europe</w:t>
            </w:r>
          </w:p>
        </w:tc>
      </w:tr>
      <w:tr>
        <w:tblPrEx>
          <w:jc w:val="cente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r>
              <w:t>Center for Women Victims of War (ROSA)</w:t>
            </w:r>
          </w:p>
        </w:tc>
      </w:tr>
      <w:tr>
        <w:tblPrEx>
          <w:jc w:val="cente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r>
              <w:t>The Directorate-General for Justice and Consumers (DG JUST) of the European Commission</w:t>
            </w:r>
          </w:p>
        </w:tc>
      </w:tr>
      <w:tr>
        <w:tblPrEx>
          <w:jc w:val="cente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r>
              <w:t>European Trade Union Confederation (ETUC)</w:t>
            </w:r>
          </w:p>
        </w:tc>
      </w:tr>
      <w:tr>
        <w:tblPrEx>
          <w:jc w:val="cente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r>
              <w:t>European Public Service Union (EPSU)</w:t>
            </w:r>
          </w:p>
        </w:tc>
      </w:tr>
    </w:tbl>
    <w:p/>
    <w:p>
      <w:pPr>
        <w:pStyle w:val="Normal12a"/>
      </w:pPr>
      <w:r>
        <w:t>Il-lista ta’ hawn fuq hija mfassla taħt ir-responsabbiltà esklużiva tar-rapporteur.</w:t>
      </w:r>
    </w:p>
    <w:p>
      <w:pPr>
        <w:pStyle w:val="Normal12a"/>
      </w:pPr>
      <w:r>
        <w:t>Meta persuni fiżiċi jkunu identifikati fil-lista b’isimhom, bil-funzjoni tagħhom jew bit-tnejn, ir-rapporteur jiddikjara li ppreżenta lill-persuni fiżiċi kkonċernati l-Avviż tal-Parlament Ewropew Nru 484 dwar il-Protezzjoni tad-Data (</w:t>
      </w:r>
      <w:hyperlink r:id="rId12" w:history="1">
        <w:r>
          <w:rPr>
            <w:rStyle w:val="Hyperlink"/>
          </w:rPr>
          <w:t>https://www.europarl.europa.eu/data-protect/index.do</w:t>
        </w:r>
      </w:hyperlink>
      <w:r>
        <w:rPr>
          <w:rStyle w:val="DefaultParagraphFont"/>
          <w:b w:val="0"/>
          <w:i w:val="0"/>
          <w:u w:val="none"/>
        </w:rPr>
        <w:t>), li jistabbilixxi l-kundizzjonijiet applikabbli għall-ipproċessar tad-data personali tagħhom u d-drittijiet marbuta ma’ dak l-ipproċessar.</w:t>
      </w:r>
    </w:p>
    <w:p>
      <w:pPr>
        <w:pStyle w:val="Normal12a"/>
      </w:pPr>
    </w:p>
    <w:sectPr>
      <w:footnotePr>
        <w:numRestart w:val="eachSect"/>
      </w:footnotePr>
      <w:type w:val="nextPage"/>
      <w:pgSz w:w="11906" w:h="16838"/>
      <w:pgMar w:top="1134" w:right="1417" w:bottom="1417" w:left="1417" w:header="1134" w:footer="567" w:gutter="0"/>
      <w:cols w:num="1" w:space="708"/>
      <w:titlePg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770.090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14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15</w:t>
    </w:r>
    <w:r>
      <w:fldChar w:fldCharType="end"/>
    </w:r>
    <w:r>
      <w:tab/>
    </w: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PR\1316271MT.docx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</w:p>
  <w:p>
    <w:pPr>
      <w:pStyle w:val="EPFooter2"/>
    </w:pPr>
    <w:r>
      <w:t>MT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PR\1316271MT.docx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15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15</w:t>
    </w:r>
    <w:r>
      <w:fldChar w:fldCharType="end"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770.090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ab/>
    </w:r>
    <w:r>
      <w:tab/>
    </w:r>
    <w:r>
      <w:t>MT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PR\1316271MT.docx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770.090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>MT</w:t>
    </w:r>
    <w:r>
      <w:tab/>
    </w:r>
    <w:r>
      <w:rPr>
        <w:rStyle w:val="EPFooter2Motto"/>
      </w:rPr>
      <w:t>Magħquda fid-diversità</w:t>
    </w:r>
    <w:r>
      <w:tab/>
    </w:r>
    <w:r>
      <w:t>MT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>
          <w:rPr>
            <w:color w:val="0000FF"/>
            <w:u w:val="single" w:color="0000FF"/>
          </w:rPr>
          <w:t>Id-Direttiva tal-Kunsill 79/7/KEE tad-19 ta’ Diċembru 1978 dwar l-implimentazzjoni progressiva tal-prinċipju tat-trattament ugwali tal-irġiel u n-nisa fi kwistjonijiet ta’ sigurtà soċjali, ĠU L 6, 10.1.1979, p. 24, ELI: http://data.europa.eu/eli/dir/1979/7/oj.</w:t>
        </w:r>
      </w:hyperlink>
    </w:p>
  </w:footnote>
  <w:footnote w:id="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2" w:history="1">
        <w:r>
          <w:rPr>
            <w:color w:val="0000FF"/>
            <w:u w:val="single" w:color="0000FF"/>
          </w:rPr>
          <w:t>Id-Direttiva tal-Kunsill 86/613/KEE tal-11 ta’ Diċembru 1986 dwar l-applikazzjoni tal-prinċipju ta’ trattament ugwali bejn l-irġiel u n-nisa involuti f’attività, inkluża l-agrikoltura, b’kapaċità li fiha jaħdmu għal rashom, u dwar il-protezzjoni ta’ nisa li jaħdmu għal rashom waqt it-tqala u waqt li qegħdin irabbu t-tfal, ĠU L 359, 19.12.1986, p. 56, ELI: http://data.europa.eu/eli/dir/1986/613/oj.</w:t>
        </w:r>
      </w:hyperlink>
    </w:p>
  </w:footnote>
  <w:footnote w:id="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3" w:history="1">
        <w:r>
          <w:rPr>
            <w:color w:val="0000FF"/>
            <w:u w:val="single" w:color="0000FF"/>
          </w:rPr>
          <w:t>Id-Direttiva tal-Kunsill 92/85/KEE tad-19 ta’ Ottubru 1992 dwar l-introduzzjoni ta’ miżuri biex jinkoraġġixxu t-titjib fis-saħħa u s-sikurezza fuq il-post tax-xogħol għall-ħaddiema nisa tqal u ħaddiema li welldu reċentement, jew li qed ireddgħu, ĠU L 348, 28.11.1992, p. 1, ELI: http://data.europa.eu/eli/dir/1992/85/oj.</w:t>
        </w:r>
      </w:hyperlink>
    </w:p>
  </w:footnote>
  <w:footnote w:id="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4" w:history="1">
        <w:r>
          <w:rPr>
            <w:color w:val="0000FF"/>
            <w:u w:val="single" w:color="0000FF"/>
          </w:rPr>
          <w:t>Id-Direttiva tal-Kunsill 2004/113/KE tat-13 ta’ Diċembru 2004 li timplimenta l-prinċipju ta’ trattament ugwali bejn l-irġiel u n-nisa fl-aċċess għal u l-provvista ta’ merkanzija u servizzi, ĠU L 373, 21.12.2004, p. 37, ELI: http://data.europa.eu/eli/dir/2004/113/oj.</w:t>
        </w:r>
      </w:hyperlink>
    </w:p>
  </w:footnote>
  <w:footnote w:id="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5" w:history="1">
        <w:r>
          <w:rPr>
            <w:color w:val="0000FF"/>
            <w:u w:val="single" w:color="0000FF"/>
          </w:rPr>
          <w:t>Id-Direttiva 2006/54/KE tal-Parlament Ewropew u tal-Kunsill tal-5 ta’ Lulju 2006 dwar l-implimentazzjoni tal-prinċipju ta’ opportunitajiet indaqs u ta’ trattament ugwali tal-irġiel u n-nisa fi kwistjonijiet ta’ impjiegi u xogħol, ĠU L 204, 26.7.2006, p. 23, ELI: http://data.europa.eu/eli/dir/2006/54/oj.</w:t>
        </w:r>
      </w:hyperlink>
    </w:p>
  </w:footnote>
  <w:footnote w:id="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6" w:history="1">
        <w:r>
          <w:rPr>
            <w:color w:val="0000FF"/>
            <w:u w:val="single" w:color="0000FF"/>
          </w:rPr>
          <w:t>Id-Direttiva 2010/41/UE tal-Parlament Ewropew u tal-Kunsill tas-7 ta’ Lulju 2010 dwar l-applikazzjoni tal-prinċipju ta’ trattament ugwali bejn l-irġiel u n-nisa li jeżerċitaw attività li fiha jaħdmu għal rashom, ĠU L 180, 15.7.2010, p. 1, ELI: http://data.europa.eu/eli/dir/2010/41/oj.</w:t>
        </w:r>
      </w:hyperlink>
    </w:p>
  </w:footnote>
  <w:footnote w:id="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7" w:history="1">
        <w:r>
          <w:rPr>
            <w:color w:val="0000FF"/>
            <w:u w:val="single" w:color="0000FF"/>
          </w:rPr>
          <w:t>ĠU L 188, 12.7.2019, p. 79, ELI: http://data.europa.eu/eli/dir/2019/1158/oj.</w:t>
        </w:r>
      </w:hyperlink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8" w:history="1">
        <w:r>
          <w:rPr>
            <w:color w:val="0000FF"/>
            <w:u w:val="single" w:color="0000FF"/>
          </w:rPr>
          <w:t>ĠU L 315, 7.12.2022, p. 44, ELI: http://data.europa.eu/eli/dir/2022/2381/oj.</w:t>
        </w:r>
      </w:hyperlink>
    </w:p>
  </w:footnote>
  <w:footnote w:id="1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9" w:history="1">
        <w:r>
          <w:rPr>
            <w:color w:val="0000FF"/>
            <w:u w:val="single" w:color="0000FF"/>
          </w:rPr>
          <w:t>ĠU L 132, 17.5.2023, p. 21, ELI: http://data.europa.eu/eli/dir/2023/970/oj.</w:t>
        </w:r>
      </w:hyperlink>
    </w:p>
  </w:footnote>
  <w:footnote w:id="1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0" w:history="1">
        <w:r>
          <w:rPr>
            <w:color w:val="0000FF"/>
            <w:u w:val="single" w:color="0000FF"/>
          </w:rPr>
          <w:t>ĠU L, 2024/1385, 24.5.2024, ELI: http://data.europa.eu/eli/dir/2024/1385/oj.</w:t>
        </w:r>
      </w:hyperlink>
    </w:p>
  </w:footnote>
  <w:footnote w:id="1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1" w:history="1">
        <w:r>
          <w:rPr>
            <w:color w:val="0000FF"/>
            <w:u w:val="single" w:color="0000FF"/>
          </w:rPr>
          <w:t>ĠU L, 2024/1500, 29.5.2024, ELI: http://data.europa.eu/eli/dir/2024/1500/oj.</w:t>
        </w:r>
      </w:hyperlink>
    </w:p>
  </w:footnote>
  <w:footnote w:id="1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2" w:history="1">
        <w:r>
          <w:rPr>
            <w:color w:val="0000FF"/>
            <w:u w:val="single" w:color="0000FF"/>
          </w:rPr>
          <w:t>ĠU L, 2024/1712, 24.6.2024, ELI: http://data.europa.eu/eli/dir/2024/1712/oj.</w:t>
        </w:r>
      </w:hyperlink>
    </w:p>
  </w:footnote>
  <w:footnote w:id="1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ĠU C 449, 23.12.2020, p. 102.</w:t>
      </w:r>
    </w:p>
  </w:footnote>
  <w:footnote w:id="1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ĠU C 232, 16.6.2021, p. 48.</w:t>
      </w:r>
    </w:p>
  </w:footnote>
  <w:footnote w:id="1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ĠU C 331, 17.8.2021, p. 5.</w:t>
      </w:r>
    </w:p>
  </w:footnote>
  <w:footnote w:id="1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ĠU C 404, 6.10.2021, p. 202.</w:t>
      </w:r>
    </w:p>
  </w:footnote>
  <w:footnote w:id="1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ĠU C 456, 10.11.2021, p. 208.</w:t>
      </w:r>
    </w:p>
  </w:footnote>
  <w:footnote w:id="1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ĠU C 456, 10.11.2021, p. 232.</w:t>
      </w:r>
    </w:p>
  </w:footnote>
  <w:footnote w:id="2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ĠU C 465, 17.11.2021, p. 160.</w:t>
      </w:r>
    </w:p>
  </w:footnote>
  <w:footnote w:id="2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ĠU C 67, 8.2.2022, p. 137.</w:t>
      </w:r>
    </w:p>
  </w:footnote>
  <w:footnote w:id="2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ĠU C 81, 18.2.2022, p. 43.</w:t>
      </w:r>
    </w:p>
  </w:footnote>
  <w:footnote w:id="2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ĠU C 117, 11.3.2022, p. 88.</w:t>
      </w:r>
    </w:p>
  </w:footnote>
  <w:footnote w:id="2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ĠU C 251, 30.6.2022, p. 2.</w:t>
      </w:r>
    </w:p>
  </w:footnote>
  <w:footnote w:id="2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ĠU C 251, 30.6.2022, p. 23.</w:t>
      </w:r>
    </w:p>
  </w:footnote>
  <w:footnote w:id="2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ĠU C 347, 9.9.2022, p. 150.</w:t>
      </w:r>
    </w:p>
  </w:footnote>
  <w:footnote w:id="2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ĠU C 465, 6.12.2022, p. 54.</w:t>
      </w:r>
    </w:p>
  </w:footnote>
  <w:footnote w:id="2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ĠU C 47, 7.2.2023, p. 30.</w:t>
      </w:r>
    </w:p>
  </w:footnote>
  <w:footnote w:id="2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ĠU C 47, 7.2.2023, p. 2.</w:t>
      </w:r>
    </w:p>
  </w:footnote>
  <w:footnote w:id="3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3" w:history="1">
        <w:r>
          <w:rPr>
            <w:color w:val="0000FF"/>
            <w:u w:val="single" w:color="0000FF"/>
          </w:rPr>
          <w:t>ĠU C, C/2023/1224, 21.12.2023, ELI: http://data.europa.eu/eli/C/2023/1224/oj.</w:t>
        </w:r>
      </w:hyperlink>
    </w:p>
  </w:footnote>
  <w:footnote w:id="3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4" w:history="1">
        <w:r>
          <w:rPr>
            <w:color w:val="0000FF"/>
            <w:u w:val="single" w:color="0000FF"/>
          </w:rPr>
          <w:t>ĠU C, C/2025/1279, 13.3.2025, ELI: http://data.europa.eu/eli/C/2025/1279/oj.</w:t>
        </w:r>
      </w:hyperlink>
    </w:p>
  </w:footnote>
  <w:footnote w:id="3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Testi adottati, P10_TA(2024)0075.</w:t>
      </w:r>
    </w:p>
  </w:footnote>
  <w:footnote w:id="3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L-Artikolu 2 u l-Artikolu 3(3) tat-TUE, l-Artikoli 8, 10, 19 u 157 tat-TFUE u l-Artikoli 21 u 23 tal-Karta tad-Drittijiet Fundamentali tal-UE.</w:t>
      </w:r>
    </w:p>
  </w:footnote>
  <w:footnote w:id="3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Id-Direttiva (UE) 2022/2041 tal-Parlament Ewropew u tal-Kunsill tad-19 ta’ Ottubru 2022 dwar pagi minimi adegwati fl-Unjoni Ewropea (ĠU L 275, 25.10.2022, p. 33, ELI: http://data.europa.eu/eli/dir/2022/2041/oj).</w:t>
      </w:r>
    </w:p>
  </w:footnote>
  <w:footnote w:id="3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Id-Direttiva (UE) 2023/970.</w:t>
      </w:r>
    </w:p>
  </w:footnote>
  <w:footnote w:id="3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Id-Direttiva (UE) 2022/2381.</w:t>
      </w:r>
    </w:p>
  </w:footnote>
  <w:footnote w:id="3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ĠU C 364, 28.10.2020, p. 77-86.</w:t>
      </w:r>
    </w:p>
  </w:footnote>
  <w:footnote w:id="3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Il-lomunikazzjoni tal-Kummissjoni “Pjan Direzzjonali għad-Drittijiet tan-Nisa” (COM(2025) 97 final).</w:t>
      </w:r>
    </w:p>
  </w:footnote>
  <w:footnote w:id="3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5" w:history="1">
        <w:r>
          <w:rPr>
            <w:color w:val="0000FF"/>
            <w:u w:val="single" w:color="0000FF"/>
          </w:rPr>
          <w:t>https://eige.europa.eu/gender-based-violence</w:t>
        </w:r>
      </w:hyperlink>
    </w:p>
  </w:footnote>
  <w:footnote w:id="4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Gender Equality Index 2024: Tackling violence against women, tackling gender inequalities (Indiċi tal-Ugwaljanza bejn il-Ġeneri 2024: l-indirizzar tal-vjolenza fuq in-nisa, l-indirizzar tal-inugwaljanzi bejn il-ġeneri), ippubblikat fl-2025.</w:t>
      </w:r>
    </w:p>
  </w:footnote>
  <w:footnote w:id="4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Bħall-adozzjoni tad-Direttiva dwar il-ġlieda kontra l-vjolenza fuq in-nisa u l-vjolenza domestika u l-adeżjoni tal-UE għall-Konvenzjoni tal-Kunsill tal-Ewropa dwar il-Prevenzjoni u l-Ġlieda Kontra l-Vjolenza fuq in-Nisa u l-Vjolenza Domestika (“il-Konvenzjoni ta’ Istanbul”).</w:t>
      </w:r>
    </w:p>
  </w:footnote>
  <w:footnote w:id="4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ĠU C 326, 26.10.2012, p. 391-407.</w:t>
      </w:r>
    </w:p>
  </w:footnote>
  <w:footnote w:id="4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EIGE (2025), Impact driver: marking milestones and opportunities for gender equality in the EU (Fattur ewlieni tal-impatt: l-immarkar tal-istadji importanti u l-opportunitajiet għall-ugwaljanza bejn il-ġeneri fl-UE), l-Uffiċċju tal-Pubblikazzjonijiet tal-Unjoni Ewropea, il-Lussemburgu (għad irid jiġi ppubblikat).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54581"/>
    <w:multiLevelType w:val="hybridMultilevel"/>
    <w:tmpl w:val="F16C6036"/>
    <w:lvl w:ilvl="0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6C09CF"/>
    <w:multiLevelType w:val="hybridMultilevel"/>
    <w:tmpl w:val="0DAA9F68"/>
    <w:lvl w:ilvl="0">
      <w:start w:val="1"/>
      <w:numFmt w:val="bullet"/>
      <w:pStyle w:val="Normal12a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grammar="clean"/>
  <w:stylePaneFormatFilter w:val="3F01"/>
  <w:defaultTabStop w:val="720"/>
  <w:evenAndOddHeaders/>
  <w:noPunctuationKerning/>
  <w:characterSpacingControl w:val="doNotCompress"/>
  <w:footnotePr>
    <w:numRestart w:val="eachSect"/>
    <w:footnote w:id="0"/>
    <w:footnote w:id="1"/>
  </w:foot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pPr>
      <w:widowControl w:val="0"/>
    </w:pPr>
    <w:rPr>
      <w:snapToGrid w:val="0"/>
      <w:sz w:val="24"/>
      <w:lang w:eastAsia="en-US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Comma">
    <w:name w:val="EPComma"/>
    <w:basedOn w:val="Normal"/>
    <w:rsid w:val="006A5366"/>
    <w:pPr>
      <w:spacing w:before="480" w:after="240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TOCRight">
    <w:name w:val="TOC Right"/>
    <w:basedOn w:val="Normal"/>
    <w:rsid w:val="00E839D9"/>
    <w:pPr>
      <w:spacing w:after="240"/>
      <w:jc w:val="right"/>
    </w:pPr>
  </w:style>
  <w:style w:type="paragraph" w:customStyle="1" w:styleId="CoverDateRefPart">
    <w:name w:val="CoverDateRefPart"/>
    <w:basedOn w:val="Normal"/>
    <w:rsid w:val="00C5424C"/>
    <w:pPr>
      <w:spacing w:after="1200"/>
    </w:pPr>
  </w:style>
  <w:style w:type="paragraph" w:customStyle="1" w:styleId="EPName">
    <w:name w:val="EPName"/>
    <w:basedOn w:val="Normal"/>
    <w:rsid w:val="00D16E15"/>
    <w:pPr>
      <w:spacing w:before="80" w:after="80"/>
    </w:pPr>
    <w:rPr>
      <w:rFonts w:ascii="Arial Narrow" w:hAnsi="Arial Narrow" w:cs="Arial"/>
      <w:b/>
      <w:snapToGrid/>
      <w:sz w:val="32"/>
      <w:szCs w:val="22"/>
      <w:lang w:eastAsia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NormalBold">
    <w:name w:val="NormalBold"/>
    <w:basedOn w:val="Normal"/>
    <w:rsid w:val="006A5366"/>
    <w:rPr>
      <w:b/>
    </w:rPr>
  </w:style>
  <w:style w:type="paragraph" w:customStyle="1" w:styleId="CoverReference">
    <w:name w:val="CoverReference"/>
    <w:basedOn w:val="Normal"/>
    <w:rsid w:val="00791131"/>
    <w:pPr>
      <w:spacing w:before="1080"/>
      <w:jc w:val="right"/>
    </w:pPr>
    <w:rPr>
      <w:rFonts w:ascii="Arial" w:hAnsi="Arial" w:cs="Arial"/>
      <w:b/>
    </w:rPr>
  </w:style>
  <w:style w:type="paragraph" w:customStyle="1" w:styleId="CoverNormal24a">
    <w:name w:val="CoverNormal24a"/>
    <w:basedOn w:val="Normal"/>
    <w:rsid w:val="00D20BEB"/>
    <w:pPr>
      <w:spacing w:after="480"/>
      <w:ind w:left="1417"/>
    </w:pPr>
  </w:style>
  <w:style w:type="paragraph" w:styleId="TOC1">
    <w:name w:val="toc 1"/>
    <w:basedOn w:val="Normal"/>
    <w:next w:val="Normal"/>
    <w:autoRedefine/>
    <w:uiPriority w:val="39"/>
    <w:rsid w:val="00E57F92"/>
    <w:pPr>
      <w:spacing w:after="240"/>
    </w:pPr>
  </w:style>
  <w:style w:type="paragraph" w:customStyle="1" w:styleId="TOCPage">
    <w:name w:val="TOC Page"/>
    <w:basedOn w:val="Normal"/>
    <w:next w:val="TOC1"/>
    <w:rsid w:val="004302F8"/>
    <w:pPr>
      <w:keepNext/>
      <w:spacing w:after="24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F03FCA"/>
    <w:pPr>
      <w:spacing w:after="480"/>
      <w:ind w:left="1418"/>
    </w:pPr>
    <w:rPr>
      <w:rFonts w:ascii="Arial" w:hAnsi="Arial"/>
      <w:b/>
      <w:sz w:val="48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customStyle="1" w:styleId="NormalHanging12a">
    <w:name w:val="NormalHanging12a"/>
    <w:basedOn w:val="Normal"/>
    <w:rsid w:val="00572801"/>
    <w:pPr>
      <w:widowControl/>
      <w:spacing w:after="240"/>
      <w:ind w:left="567" w:hanging="567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customStyle="1" w:styleId="PageHeading">
    <w:name w:val="PageHeading"/>
    <w:basedOn w:val="Normal"/>
    <w:rsid w:val="00F03FCA"/>
    <w:pPr>
      <w:keepNext/>
      <w:spacing w:after="480"/>
      <w:jc w:val="center"/>
    </w:pPr>
    <w:rPr>
      <w:rFonts w:ascii="Arial" w:hAnsi="Arial" w:cs="Arial"/>
      <w:b/>
    </w:r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TOCSubHeading">
    <w:name w:val="TOC SubHeading"/>
    <w:basedOn w:val="Normal"/>
    <w:rsid w:val="00F03FCA"/>
    <w:pPr>
      <w:spacing w:before="480" w:after="240"/>
    </w:pPr>
    <w:rPr>
      <w:b/>
    </w:rPr>
  </w:style>
  <w:style w:type="paragraph" w:customStyle="1" w:styleId="TOCTabLeader">
    <w:name w:val="TOC TabLeader"/>
    <w:basedOn w:val="Normal"/>
    <w:rsid w:val="00E839D9"/>
    <w:pPr>
      <w:tabs>
        <w:tab w:val="left" w:leader="dot" w:pos="5954"/>
      </w:tabs>
      <w:spacing w:after="240"/>
    </w:pPr>
  </w:style>
  <w:style w:type="paragraph" w:customStyle="1" w:styleId="CoverNormalHanging">
    <w:name w:val="CoverNormalHanging"/>
    <w:basedOn w:val="Normal"/>
    <w:rsid w:val="00BF1100"/>
    <w:pPr>
      <w:ind w:left="3686" w:hanging="2268"/>
    </w:pPr>
  </w:style>
  <w:style w:type="paragraph" w:styleId="TOCHeading">
    <w:name w:val="TOC Heading"/>
    <w:basedOn w:val="Normal"/>
    <w:next w:val="TOCPage"/>
    <w:rsid w:val="007F2104"/>
    <w:pPr>
      <w:keepNext/>
      <w:spacing w:before="240" w:after="240"/>
      <w:jc w:val="center"/>
    </w:pPr>
    <w:rPr>
      <w:rFonts w:ascii="Arial" w:hAnsi="Arial"/>
      <w:b/>
      <w:snapToGrid/>
      <w:lang w:eastAsia="en-GB"/>
    </w:rPr>
  </w:style>
  <w:style w:type="table" w:styleId="TableGrid">
    <w:name w:val="Table Grid"/>
    <w:basedOn w:val="TableNormal"/>
    <w:rsid w:val="00F73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F03FCA"/>
    <w:pPr>
      <w:jc w:val="center"/>
    </w:pPr>
    <w:rPr>
      <w:rFonts w:ascii="Arial" w:hAnsi="Arial" w:cs="Arial"/>
      <w:i/>
      <w:snapToGrid/>
      <w:sz w:val="22"/>
      <w:szCs w:val="22"/>
      <w:lang w:eastAsia="en-GB"/>
    </w:rPr>
  </w:style>
  <w:style w:type="paragraph" w:customStyle="1" w:styleId="LineTop">
    <w:name w:val="LineTop"/>
    <w:basedOn w:val="Normal"/>
    <w:next w:val="Normal"/>
    <w:rsid w:val="00F732B6"/>
    <w:pPr>
      <w:pBdr>
        <w:top w:val="single" w:sz="4" w:space="1" w:color="auto"/>
      </w:pBdr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LineBottom">
    <w:name w:val="LineBottom"/>
    <w:basedOn w:val="Normal"/>
    <w:next w:val="Normal"/>
    <w:rsid w:val="00791131"/>
    <w:pPr>
      <w:pBdr>
        <w:bottom w:val="single" w:sz="4" w:space="1" w:color="auto"/>
      </w:pBdr>
      <w:spacing w:after="240"/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EPTerm">
    <w:name w:val="EPTerm"/>
    <w:basedOn w:val="Normal"/>
    <w:next w:val="Normal"/>
    <w:rsid w:val="00D16E15"/>
    <w:pPr>
      <w:spacing w:after="80"/>
    </w:pPr>
    <w:rPr>
      <w:rFonts w:ascii="Arial" w:hAnsi="Arial" w:cs="Arial"/>
      <w:snapToGrid/>
      <w:sz w:val="20"/>
      <w:szCs w:val="22"/>
      <w:lang w:eastAsia="en-GB"/>
    </w:rPr>
  </w:style>
  <w:style w:type="paragraph" w:customStyle="1" w:styleId="EPLogo">
    <w:name w:val="EPLogo"/>
    <w:basedOn w:val="Normal"/>
    <w:qFormat/>
    <w:rsid w:val="00D16E15"/>
    <w:pPr>
      <w:jc w:val="right"/>
    </w:pPr>
    <w:rPr>
      <w:snapToGrid/>
      <w:lang w:eastAsia="en-GB"/>
    </w:rPr>
  </w:style>
  <w:style w:type="paragraph" w:customStyle="1" w:styleId="CoverRefPart">
    <w:name w:val="CoverRefPart"/>
    <w:basedOn w:val="Normal"/>
    <w:rsid w:val="00577455"/>
    <w:pPr>
      <w:jc w:val="right"/>
    </w:pPr>
    <w:rPr>
      <w:rFonts w:ascii="Arial" w:hAnsi="Arial"/>
    </w:rPr>
  </w:style>
  <w:style w:type="paragraph" w:customStyle="1" w:styleId="Subheading">
    <w:name w:val="Subheading"/>
    <w:basedOn w:val="Normal"/>
    <w:rsid w:val="0065571D"/>
    <w:pPr>
      <w:spacing w:before="480" w:after="240"/>
    </w:pPr>
    <w:rPr>
      <w:b/>
      <w:bCs/>
      <w:i/>
      <w:iCs/>
    </w:rPr>
  </w:style>
  <w:style w:type="paragraph" w:customStyle="1" w:styleId="EPFooter">
    <w:name w:val="EPFooter"/>
    <w:basedOn w:val="Normal"/>
    <w:rsid w:val="007C663F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Header">
    <w:name w:val="header"/>
    <w:basedOn w:val="Normal"/>
    <w:link w:val="HeaderChar"/>
    <w:semiHidden/>
    <w:rsid w:val="007C66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791131"/>
    <w:rPr>
      <w:snapToGrid w:val="0"/>
      <w:sz w:val="24"/>
      <w:lang w:eastAsia="en-US"/>
    </w:rPr>
  </w:style>
  <w:style w:type="character" w:styleId="PageNumber">
    <w:name w:val="page number"/>
    <w:basedOn w:val="DefaultParagraphFont"/>
    <w:semiHidden/>
    <w:rsid w:val="00131752"/>
  </w:style>
  <w:style w:type="paragraph" w:customStyle="1" w:styleId="AmColumnHeading">
    <w:name w:val="AmColumnHeading"/>
    <w:basedOn w:val="Normal"/>
    <w:rsid w:val="00B47478"/>
    <w:pPr>
      <w:spacing w:after="240"/>
      <w:jc w:val="center"/>
    </w:pPr>
    <w:rPr>
      <w:i/>
      <w:snapToGrid/>
      <w:lang w:eastAsia="en-GB"/>
    </w:rPr>
  </w:style>
  <w:style w:type="paragraph" w:customStyle="1" w:styleId="AmCrossRef">
    <w:name w:val="AmCrossRef"/>
    <w:basedOn w:val="Normal"/>
    <w:rsid w:val="00B47478"/>
    <w:pPr>
      <w:spacing w:before="240" w:after="240"/>
      <w:jc w:val="center"/>
    </w:pPr>
    <w:rPr>
      <w:i/>
      <w:snapToGrid/>
      <w:lang w:eastAsia="en-GB"/>
    </w:rPr>
  </w:style>
  <w:style w:type="paragraph" w:customStyle="1" w:styleId="AmJustText">
    <w:name w:val="AmJustText"/>
    <w:basedOn w:val="Normal"/>
    <w:rsid w:val="00B47478"/>
    <w:pPr>
      <w:spacing w:after="240"/>
    </w:pPr>
    <w:rPr>
      <w:i/>
      <w:snapToGrid/>
      <w:lang w:eastAsia="en-GB"/>
    </w:rPr>
  </w:style>
  <w:style w:type="paragraph" w:customStyle="1" w:styleId="AmJustTitle">
    <w:name w:val="AmJustTitle"/>
    <w:basedOn w:val="Normal"/>
    <w:next w:val="AmJustText"/>
    <w:rsid w:val="00B47478"/>
    <w:pPr>
      <w:keepNext/>
      <w:spacing w:before="240" w:after="240"/>
      <w:jc w:val="center"/>
    </w:pPr>
    <w:rPr>
      <w:i/>
      <w:snapToGrid/>
      <w:lang w:eastAsia="en-GB"/>
    </w:rPr>
  </w:style>
  <w:style w:type="paragraph" w:customStyle="1" w:styleId="AmNumberTabs">
    <w:name w:val="AmNumberTabs"/>
    <w:basedOn w:val="Normal"/>
    <w:rsid w:val="00B4747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napToGrid/>
      <w:lang w:eastAsia="en-GB"/>
    </w:rPr>
  </w:style>
  <w:style w:type="paragraph" w:customStyle="1" w:styleId="AmOrLang">
    <w:name w:val="AmOrLang"/>
    <w:basedOn w:val="Normal"/>
    <w:rsid w:val="00B47478"/>
    <w:pPr>
      <w:spacing w:before="240" w:after="240"/>
      <w:jc w:val="right"/>
    </w:pPr>
    <w:rPr>
      <w:snapToGrid/>
      <w:lang w:eastAsia="en-GB"/>
    </w:rPr>
  </w:style>
  <w:style w:type="paragraph" w:customStyle="1" w:styleId="AnnexWPDate">
    <w:name w:val="AnnexWPDate"/>
    <w:basedOn w:val="Normal"/>
    <w:rsid w:val="00B47478"/>
    <w:pPr>
      <w:spacing w:before="240" w:after="480"/>
      <w:jc w:val="right"/>
    </w:pPr>
    <w:rPr>
      <w:snapToGrid/>
      <w:lang w:eastAsia="en-GB"/>
    </w:rPr>
  </w:style>
  <w:style w:type="paragraph" w:customStyle="1" w:styleId="AnnexWPDocType">
    <w:name w:val="AnnexWPDocType"/>
    <w:basedOn w:val="Normal"/>
    <w:rsid w:val="00B47478"/>
    <w:pPr>
      <w:spacing w:after="240"/>
      <w:jc w:val="center"/>
    </w:pPr>
    <w:rPr>
      <w:b/>
      <w:snapToGrid/>
      <w:lang w:eastAsia="en-GB"/>
    </w:rPr>
  </w:style>
  <w:style w:type="paragraph" w:customStyle="1" w:styleId="AnnexWPLogo">
    <w:name w:val="AnnexWPLogo"/>
    <w:basedOn w:val="Normal"/>
    <w:rsid w:val="00B47478"/>
    <w:pPr>
      <w:spacing w:before="120" w:after="120"/>
    </w:pPr>
    <w:rPr>
      <w:snapToGrid/>
      <w:lang w:eastAsia="en-GB"/>
    </w:rPr>
  </w:style>
  <w:style w:type="paragraph" w:customStyle="1" w:styleId="AnnexWPSmall">
    <w:name w:val="AnnexWPSmall"/>
    <w:basedOn w:val="Normal"/>
    <w:rsid w:val="00B47478"/>
    <w:rPr>
      <w:smallCaps/>
      <w:snapToGrid/>
      <w:sz w:val="20"/>
      <w:lang w:eastAsia="en-GB"/>
    </w:rPr>
  </w:style>
  <w:style w:type="paragraph" w:customStyle="1" w:styleId="AnnexWPTabs">
    <w:name w:val="AnnexWPTabs"/>
    <w:basedOn w:val="Normal"/>
    <w:rsid w:val="00B47478"/>
    <w:pPr>
      <w:tabs>
        <w:tab w:val="right" w:pos="3686"/>
        <w:tab w:val="left" w:pos="3827"/>
      </w:tabs>
    </w:pPr>
    <w:rPr>
      <w:b/>
      <w:snapToGrid/>
      <w:lang w:eastAsia="en-GB"/>
    </w:rPr>
  </w:style>
  <w:style w:type="paragraph" w:customStyle="1" w:styleId="AnnexWPTitle">
    <w:name w:val="AnnexWPTitle"/>
    <w:basedOn w:val="Normal"/>
    <w:rsid w:val="00B47478"/>
    <w:pPr>
      <w:spacing w:before="480"/>
    </w:pPr>
    <w:rPr>
      <w:b/>
      <w:snapToGrid/>
      <w:lang w:eastAsia="en-GB"/>
    </w:rPr>
  </w:style>
  <w:style w:type="paragraph" w:customStyle="1" w:styleId="AmHeadingConsam">
    <w:name w:val="AmHeadingConsam"/>
    <w:basedOn w:val="Normal"/>
    <w:next w:val="Normal"/>
    <w:rsid w:val="00B47478"/>
    <w:pPr>
      <w:spacing w:before="720" w:after="240"/>
      <w:jc w:val="center"/>
    </w:pPr>
    <w:rPr>
      <w:snapToGrid/>
      <w:lang w:eastAsia="en-GB"/>
    </w:rPr>
  </w:style>
  <w:style w:type="paragraph" w:customStyle="1" w:styleId="CoverNormal12a">
    <w:name w:val="CoverNormal12a"/>
    <w:basedOn w:val="Normal"/>
    <w:rsid w:val="00B47478"/>
    <w:pPr>
      <w:spacing w:after="240"/>
      <w:ind w:left="1418"/>
    </w:pPr>
    <w:rPr>
      <w:snapToGrid/>
      <w:lang w:eastAsia="en-GB"/>
    </w:rPr>
  </w:style>
  <w:style w:type="paragraph" w:customStyle="1" w:styleId="Confidential">
    <w:name w:val="Confidential"/>
    <w:basedOn w:val="Normal"/>
    <w:rsid w:val="00B47478"/>
    <w:pPr>
      <w:spacing w:before="120" w:after="120"/>
      <w:jc w:val="center"/>
    </w:pPr>
    <w:rPr>
      <w:rFonts w:ascii="Arial" w:hAnsi="Arial"/>
      <w:caps/>
      <w:snapToGrid/>
      <w:lang w:eastAsia="en-GB"/>
    </w:rPr>
  </w:style>
  <w:style w:type="paragraph" w:customStyle="1" w:styleId="CoverReferenceIMM">
    <w:name w:val="CoverReferenceIMM"/>
    <w:basedOn w:val="Normal"/>
    <w:rsid w:val="00B47478"/>
    <w:pPr>
      <w:spacing w:before="360"/>
      <w:jc w:val="right"/>
    </w:pPr>
    <w:rPr>
      <w:rFonts w:ascii="Arial" w:hAnsi="Arial"/>
      <w:b/>
      <w:snapToGrid/>
      <w:lang w:eastAsia="en-GB"/>
    </w:rPr>
  </w:style>
  <w:style w:type="paragraph" w:customStyle="1" w:styleId="CoverDate">
    <w:name w:val="CoverDate"/>
    <w:basedOn w:val="Normal"/>
    <w:rsid w:val="00B47478"/>
    <w:pPr>
      <w:spacing w:before="240" w:after="1200"/>
    </w:pPr>
    <w:rPr>
      <w:snapToGrid/>
      <w:lang w:eastAsia="en-GB"/>
    </w:rPr>
  </w:style>
  <w:style w:type="paragraph" w:customStyle="1" w:styleId="CoverDocType">
    <w:name w:val="CoverDocType"/>
    <w:basedOn w:val="Normal"/>
    <w:rsid w:val="00B47478"/>
    <w:pPr>
      <w:ind w:left="1418"/>
    </w:pPr>
    <w:rPr>
      <w:rFonts w:ascii="Arial" w:hAnsi="Arial"/>
      <w:b/>
      <w:snapToGrid/>
      <w:sz w:val="48"/>
      <w:lang w:eastAsia="en-GB"/>
    </w:rPr>
  </w:style>
  <w:style w:type="character" w:styleId="FootnoteReference">
    <w:name w:val="footnote reference"/>
    <w:rsid w:val="00B47478"/>
    <w:rPr>
      <w:vertAlign w:val="superscript"/>
    </w:rPr>
  </w:style>
  <w:style w:type="paragraph" w:customStyle="1" w:styleId="NormalBold12a">
    <w:name w:val="NormalBold12a"/>
    <w:basedOn w:val="Normal"/>
    <w:rsid w:val="00B47478"/>
    <w:pPr>
      <w:spacing w:after="240"/>
    </w:pPr>
    <w:rPr>
      <w:b/>
      <w:snapToGrid/>
      <w:lang w:eastAsia="en-GB"/>
    </w:rPr>
  </w:style>
  <w:style w:type="paragraph" w:customStyle="1" w:styleId="NormalCenter12a">
    <w:name w:val="NormalCenter12a"/>
    <w:basedOn w:val="Normal"/>
    <w:rsid w:val="00B47478"/>
    <w:pPr>
      <w:spacing w:after="240"/>
      <w:jc w:val="center"/>
    </w:pPr>
    <w:rPr>
      <w:snapToGrid/>
      <w:lang w:eastAsia="en-GB"/>
    </w:rPr>
  </w:style>
  <w:style w:type="paragraph" w:customStyle="1" w:styleId="Normal6a">
    <w:name w:val="Normal6a"/>
    <w:basedOn w:val="Normal"/>
    <w:rsid w:val="00B47478"/>
    <w:pPr>
      <w:spacing w:after="120"/>
    </w:pPr>
    <w:rPr>
      <w:snapToGrid/>
      <w:lang w:eastAsia="en-GB"/>
    </w:rPr>
  </w:style>
  <w:style w:type="paragraph" w:customStyle="1" w:styleId="NormalBold12b">
    <w:name w:val="NormalBold12b"/>
    <w:basedOn w:val="Normal"/>
    <w:rsid w:val="00B47478"/>
    <w:pPr>
      <w:spacing w:before="240"/>
    </w:pPr>
    <w:rPr>
      <w:b/>
      <w:snapToGrid/>
      <w:lang w:eastAsia="en-GB"/>
    </w:rPr>
  </w:style>
  <w:style w:type="paragraph" w:customStyle="1" w:styleId="Arial14CentreBold">
    <w:name w:val="Arial14CentreBold"/>
    <w:basedOn w:val="Normal"/>
    <w:qFormat/>
    <w:rsid w:val="00A75A20"/>
    <w:pPr>
      <w:jc w:val="center"/>
    </w:pPr>
    <w:rPr>
      <w:rFonts w:ascii="Arial" w:hAnsi="Arial" w:cs="Arial"/>
      <w:b/>
      <w:snapToGrid/>
      <w:sz w:val="28"/>
      <w:szCs w:val="28"/>
      <w:lang w:eastAsia="en-GB"/>
    </w:rPr>
  </w:style>
  <w:style w:type="character" w:customStyle="1" w:styleId="Bold">
    <w:name w:val="Bold"/>
    <w:uiPriority w:val="1"/>
    <w:rsid w:val="0065571D"/>
    <w:rPr>
      <w:b/>
    </w:rPr>
  </w:style>
  <w:style w:type="character" w:customStyle="1" w:styleId="BoldItalic">
    <w:name w:val="BoldItalic"/>
    <w:uiPriority w:val="1"/>
    <w:rsid w:val="0065571D"/>
    <w:rPr>
      <w:b/>
      <w:i/>
      <w:u w:val="none"/>
    </w:rPr>
  </w:style>
  <w:style w:type="character" w:customStyle="1" w:styleId="BoldItalicUnderline">
    <w:name w:val="BoldItalicUnderline"/>
    <w:uiPriority w:val="1"/>
    <w:rsid w:val="0065571D"/>
    <w:rPr>
      <w:b/>
      <w:i/>
      <w:u w:val="single"/>
    </w:rPr>
  </w:style>
  <w:style w:type="character" w:customStyle="1" w:styleId="BoldUnderline">
    <w:name w:val="BoldUnderline"/>
    <w:uiPriority w:val="1"/>
    <w:rsid w:val="0065571D"/>
    <w:rPr>
      <w:b/>
      <w:u w:val="single"/>
    </w:rPr>
  </w:style>
  <w:style w:type="paragraph" w:customStyle="1" w:styleId="CoverNormalLeft">
    <w:name w:val="CoverNormalLeft"/>
    <w:basedOn w:val="CoverNormal"/>
    <w:qFormat/>
    <w:rsid w:val="00A75A20"/>
    <w:pPr>
      <w:ind w:left="0"/>
    </w:pPr>
    <w:rPr>
      <w:snapToGrid/>
      <w:lang w:eastAsia="en-GB"/>
    </w:rPr>
  </w:style>
  <w:style w:type="paragraph" w:customStyle="1" w:styleId="EPFooter2Landscape">
    <w:name w:val="EPFooter2Landscape"/>
    <w:qFormat/>
    <w:rsid w:val="00A75A20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character" w:customStyle="1" w:styleId="EPFooter2Motto">
    <w:name w:val="EPFooter2Motto"/>
    <w:uiPriority w:val="1"/>
    <w:qFormat/>
    <w:rsid w:val="002707F5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rsid w:val="00A75A20"/>
    <w:pPr>
      <w:tabs>
        <w:tab w:val="center" w:pos="6804"/>
        <w:tab w:val="right" w:pos="15026"/>
      </w:tabs>
    </w:pPr>
    <w:rPr>
      <w:sz w:val="22"/>
    </w:rPr>
  </w:style>
  <w:style w:type="character" w:customStyle="1" w:styleId="Italic">
    <w:name w:val="Italic"/>
    <w:uiPriority w:val="1"/>
    <w:rsid w:val="0065571D"/>
    <w:rPr>
      <w:i/>
    </w:rPr>
  </w:style>
  <w:style w:type="character" w:customStyle="1" w:styleId="ItalicUnderline">
    <w:name w:val="ItalicUnderline"/>
    <w:uiPriority w:val="1"/>
    <w:rsid w:val="0065571D"/>
    <w:rPr>
      <w:i/>
      <w:u w:val="single"/>
    </w:rPr>
  </w:style>
  <w:style w:type="paragraph" w:customStyle="1" w:styleId="LegendSign">
    <w:name w:val="LegendSign"/>
    <w:basedOn w:val="Normal"/>
    <w:qFormat/>
    <w:rsid w:val="00A75A20"/>
    <w:pPr>
      <w:tabs>
        <w:tab w:val="right" w:pos="454"/>
        <w:tab w:val="left" w:pos="737"/>
      </w:tabs>
      <w:ind w:left="737" w:hanging="737"/>
    </w:pPr>
    <w:rPr>
      <w:snapToGrid/>
      <w:sz w:val="18"/>
      <w:lang w:eastAsia="en-GB"/>
    </w:rPr>
  </w:style>
  <w:style w:type="paragraph" w:customStyle="1" w:styleId="LegendStandard">
    <w:name w:val="LegendStandard"/>
    <w:basedOn w:val="LegendSign"/>
    <w:qFormat/>
    <w:rsid w:val="00A75A20"/>
    <w:pPr>
      <w:ind w:left="0" w:firstLine="0"/>
    </w:pPr>
  </w:style>
  <w:style w:type="paragraph" w:customStyle="1" w:styleId="LegendTitle">
    <w:name w:val="LegendTitle"/>
    <w:basedOn w:val="Normal"/>
    <w:qFormat/>
    <w:rsid w:val="00A75A20"/>
    <w:pPr>
      <w:spacing w:before="240" w:after="240"/>
    </w:pPr>
    <w:rPr>
      <w:b/>
      <w:i/>
      <w:snapToGrid/>
      <w:lang w:eastAsia="en-GB"/>
    </w:rPr>
  </w:style>
  <w:style w:type="character" w:customStyle="1" w:styleId="HideTermComment">
    <w:name w:val="HideTermComment"/>
    <w:uiPriority w:val="1"/>
    <w:qFormat/>
    <w:rsid w:val="00A75A20"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sid w:val="00A75A20"/>
    <w:rPr>
      <w:rFonts w:ascii="Arial" w:hAnsi="Arial"/>
      <w:vanish/>
      <w:color w:val="538135" w:themeColor="accent6" w:themeShade="BF"/>
      <w:sz w:val="18"/>
    </w:rPr>
  </w:style>
  <w:style w:type="paragraph" w:customStyle="1" w:styleId="Normal12a">
    <w:name w:val="Normal12a"/>
    <w:basedOn w:val="Normal"/>
    <w:rsid w:val="00031EA2"/>
    <w:pPr>
      <w:spacing w:after="240"/>
    </w:pPr>
    <w:rPr>
      <w:snapToGrid/>
      <w:lang w:eastAsia="en-GB"/>
    </w:rPr>
  </w:style>
  <w:style w:type="paragraph" w:customStyle="1" w:styleId="Normal12b">
    <w:name w:val="Normal12b"/>
    <w:basedOn w:val="Normal"/>
    <w:qFormat/>
    <w:rsid w:val="00A75A20"/>
    <w:pPr>
      <w:spacing w:before="240"/>
    </w:pPr>
    <w:rPr>
      <w:snapToGrid/>
      <w:lang w:eastAsia="en-GB"/>
    </w:rPr>
  </w:style>
  <w:style w:type="paragraph" w:customStyle="1" w:styleId="NormalBoldUnderline24b">
    <w:name w:val="NormalBoldUnderline24b"/>
    <w:basedOn w:val="Normal"/>
    <w:qFormat/>
    <w:rsid w:val="001038F2"/>
    <w:pPr>
      <w:spacing w:before="480"/>
    </w:pPr>
    <w:rPr>
      <w:b/>
      <w:snapToGrid/>
      <w:u w:val="single"/>
      <w:lang w:eastAsia="en-GB"/>
    </w:rPr>
  </w:style>
  <w:style w:type="paragraph" w:customStyle="1" w:styleId="NormalBoldUnderline24b12a">
    <w:name w:val="NormalBoldUnderline24b12a"/>
    <w:basedOn w:val="NormalBoldUnderline24b"/>
    <w:qFormat/>
    <w:rsid w:val="00A75A20"/>
    <w:pPr>
      <w:spacing w:after="240"/>
    </w:pPr>
  </w:style>
  <w:style w:type="paragraph" w:customStyle="1" w:styleId="Normal12aBullet1">
    <w:name w:val="Normal12aBullet1"/>
    <w:basedOn w:val="Normal"/>
    <w:qFormat/>
    <w:rsid w:val="00A75A20"/>
    <w:pPr>
      <w:widowControl/>
      <w:numPr>
        <w:numId w:val="1"/>
      </w:numPr>
    </w:pPr>
    <w:rPr>
      <w:snapToGrid/>
      <w:lang w:eastAsia="en-GB"/>
    </w:rPr>
  </w:style>
  <w:style w:type="paragraph" w:customStyle="1" w:styleId="Normal12aBullet2">
    <w:name w:val="Normal12aBullet2"/>
    <w:basedOn w:val="Normal"/>
    <w:qFormat/>
    <w:rsid w:val="00A75A20"/>
    <w:pPr>
      <w:numPr>
        <w:numId w:val="2"/>
      </w:numPr>
    </w:pPr>
    <w:rPr>
      <w:snapToGrid/>
      <w:lang w:eastAsia="en-GB"/>
    </w:rPr>
  </w:style>
  <w:style w:type="paragraph" w:customStyle="1" w:styleId="NormalHanging12a1">
    <w:name w:val="NormalHanging12a1"/>
    <w:basedOn w:val="Normal"/>
    <w:qFormat/>
    <w:rsid w:val="00C668A5"/>
    <w:pPr>
      <w:spacing w:after="240"/>
      <w:ind w:left="992" w:hanging="425"/>
    </w:pPr>
    <w:rPr>
      <w:snapToGrid/>
      <w:lang w:eastAsia="en-GB"/>
    </w:rPr>
  </w:style>
  <w:style w:type="paragraph" w:customStyle="1" w:styleId="NormalHanging12a2">
    <w:name w:val="NormalHanging12a2"/>
    <w:basedOn w:val="NormalHanging12a1"/>
    <w:qFormat/>
    <w:rsid w:val="00A75A20"/>
    <w:pPr>
      <w:ind w:left="1417"/>
    </w:pPr>
  </w:style>
  <w:style w:type="paragraph" w:customStyle="1" w:styleId="NormalHanging12a3">
    <w:name w:val="NormalHanging12a3"/>
    <w:basedOn w:val="NormalHanging12a2"/>
    <w:qFormat/>
    <w:rsid w:val="00A75A20"/>
    <w:pPr>
      <w:ind w:left="1843"/>
    </w:pPr>
  </w:style>
  <w:style w:type="paragraph" w:customStyle="1" w:styleId="NormalHanging12a4">
    <w:name w:val="NormalHanging12a4"/>
    <w:basedOn w:val="NormalHanging12a3"/>
    <w:qFormat/>
    <w:rsid w:val="00A75A20"/>
    <w:pPr>
      <w:ind w:left="2268"/>
    </w:pPr>
  </w:style>
  <w:style w:type="paragraph" w:customStyle="1" w:styleId="NormalHanging12a5">
    <w:name w:val="NormalHanging12a5"/>
    <w:basedOn w:val="NormalHanging12a4"/>
    <w:qFormat/>
    <w:rsid w:val="00A75A20"/>
    <w:pPr>
      <w:ind w:left="2693"/>
    </w:pPr>
  </w:style>
  <w:style w:type="paragraph" w:customStyle="1" w:styleId="NormalHanging12a6">
    <w:name w:val="NormalHanging12a6"/>
    <w:basedOn w:val="NormalHanging12a5"/>
    <w:qFormat/>
    <w:rsid w:val="00A75A20"/>
    <w:pPr>
      <w:ind w:left="3118"/>
    </w:pPr>
  </w:style>
  <w:style w:type="paragraph" w:customStyle="1" w:styleId="NormalHanging12a7">
    <w:name w:val="NormalHanging12a7"/>
    <w:basedOn w:val="NormalHanging12a6"/>
    <w:qFormat/>
    <w:rsid w:val="00A75A20"/>
    <w:pPr>
      <w:ind w:left="3544"/>
    </w:pPr>
  </w:style>
  <w:style w:type="paragraph" w:customStyle="1" w:styleId="NormalHangingCenter">
    <w:name w:val="NormalHangingCenter"/>
    <w:basedOn w:val="Normal"/>
    <w:qFormat/>
    <w:rsid w:val="00BC0B6B"/>
    <w:pPr>
      <w:spacing w:after="240"/>
      <w:ind w:left="567" w:hanging="567"/>
      <w:jc w:val="center"/>
    </w:pPr>
    <w:rPr>
      <w:snapToGrid/>
      <w:lang w:eastAsia="en-GB"/>
    </w:rPr>
  </w:style>
  <w:style w:type="paragraph" w:customStyle="1" w:styleId="NormalHangingJustified">
    <w:name w:val="NormalHangingJustified"/>
    <w:basedOn w:val="Normal"/>
    <w:qFormat/>
    <w:rsid w:val="00BC0B6B"/>
    <w:pPr>
      <w:spacing w:after="240"/>
      <w:ind w:left="714" w:hanging="357"/>
      <w:jc w:val="both"/>
    </w:pPr>
    <w:rPr>
      <w:snapToGrid/>
      <w:lang w:eastAsia="en-GB"/>
    </w:rPr>
  </w:style>
  <w:style w:type="paragraph" w:customStyle="1" w:styleId="NormalUnderline24b12a">
    <w:name w:val="NormalUnderline24b12a"/>
    <w:basedOn w:val="EPComma"/>
    <w:qFormat/>
    <w:rsid w:val="00A75A20"/>
    <w:rPr>
      <w:snapToGrid/>
      <w:u w:val="single"/>
      <w:lang w:eastAsia="en-GB"/>
    </w:rPr>
  </w:style>
  <w:style w:type="paragraph" w:customStyle="1" w:styleId="Normal2">
    <w:name w:val="Normal2"/>
    <w:next w:val="Normal"/>
    <w:qFormat/>
    <w:rsid w:val="00A75A20"/>
    <w:pPr>
      <w:spacing w:line="120" w:lineRule="auto"/>
    </w:pPr>
    <w:rPr>
      <w:color w:val="000000"/>
      <w:sz w:val="4"/>
      <w:szCs w:val="24"/>
    </w:rPr>
  </w:style>
  <w:style w:type="character" w:customStyle="1" w:styleId="NormalBI">
    <w:name w:val="NormalBI"/>
    <w:basedOn w:val="DefaultParagraphFont"/>
    <w:uiPriority w:val="1"/>
    <w:qFormat/>
    <w:rsid w:val="00A75A20"/>
    <w:rPr>
      <w:rFonts w:ascii="Times New Roman" w:hAnsi="Times New Roman"/>
      <w:b/>
      <w:i/>
      <w:sz w:val="24"/>
    </w:rPr>
  </w:style>
  <w:style w:type="paragraph" w:customStyle="1" w:styleId="NormalBoldItalic6a">
    <w:name w:val="NormalBoldItalic6a"/>
    <w:basedOn w:val="Normal6a"/>
    <w:qFormat/>
    <w:rsid w:val="00A75A20"/>
    <w:rPr>
      <w:b/>
      <w:i/>
    </w:rPr>
  </w:style>
  <w:style w:type="paragraph" w:customStyle="1" w:styleId="NormalBoldItalicCenter6a">
    <w:name w:val="NormalBoldItalicCenter6a"/>
    <w:basedOn w:val="Normal6a"/>
    <w:qFormat/>
    <w:rsid w:val="00A75A20"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sid w:val="00A75A20"/>
    <w:rPr>
      <w:i/>
    </w:rPr>
  </w:style>
  <w:style w:type="paragraph" w:customStyle="1" w:styleId="PageHeadingNotTOC">
    <w:name w:val="PageHeadingNotTOC"/>
    <w:basedOn w:val="PageHeading"/>
    <w:rsid w:val="00A75A20"/>
    <w:rPr>
      <w:rFonts w:cs="Times New Roman"/>
      <w:snapToGrid/>
      <w:lang w:eastAsia="en-GB"/>
    </w:rPr>
  </w:style>
  <w:style w:type="character" w:customStyle="1" w:styleId="Sub">
    <w:name w:val="Sub"/>
    <w:uiPriority w:val="1"/>
    <w:qFormat/>
    <w:rsid w:val="0065571D"/>
    <w:rPr>
      <w:vertAlign w:val="subscript"/>
    </w:rPr>
  </w:style>
  <w:style w:type="character" w:customStyle="1" w:styleId="SubBold">
    <w:name w:val="SubBold"/>
    <w:uiPriority w:val="1"/>
    <w:qFormat/>
    <w:rsid w:val="0065571D"/>
    <w:rPr>
      <w:b/>
      <w:vertAlign w:val="subscript"/>
    </w:rPr>
  </w:style>
  <w:style w:type="character" w:customStyle="1" w:styleId="SubBoldItalic">
    <w:name w:val="SubBoldItalic"/>
    <w:uiPriority w:val="1"/>
    <w:rsid w:val="0065571D"/>
    <w:rPr>
      <w:b/>
      <w:i/>
      <w:vertAlign w:val="subscript"/>
    </w:rPr>
  </w:style>
  <w:style w:type="character" w:customStyle="1" w:styleId="SubItalic">
    <w:name w:val="SubItalic"/>
    <w:uiPriority w:val="1"/>
    <w:qFormat/>
    <w:rsid w:val="0065571D"/>
    <w:rPr>
      <w:b/>
      <w:i/>
      <w:vertAlign w:val="subscript"/>
    </w:rPr>
  </w:style>
  <w:style w:type="character" w:customStyle="1" w:styleId="Sup">
    <w:name w:val="Sup"/>
    <w:uiPriority w:val="1"/>
    <w:rsid w:val="0065571D"/>
    <w:rPr>
      <w:vertAlign w:val="superscript"/>
    </w:rPr>
  </w:style>
  <w:style w:type="character" w:customStyle="1" w:styleId="SupBoldItalic">
    <w:name w:val="SupBoldItalic"/>
    <w:uiPriority w:val="1"/>
    <w:qFormat/>
    <w:rsid w:val="0065571D"/>
    <w:rPr>
      <w:b/>
      <w:i/>
      <w:vertAlign w:val="superscript"/>
    </w:rPr>
  </w:style>
  <w:style w:type="character" w:customStyle="1" w:styleId="Underline">
    <w:name w:val="Underline"/>
    <w:uiPriority w:val="1"/>
    <w:rsid w:val="0065571D"/>
    <w:rPr>
      <w:u w:val="single"/>
    </w:rPr>
  </w:style>
  <w:style w:type="paragraph" w:customStyle="1" w:styleId="NormalBoldCenter">
    <w:name w:val="NormalBoldCenter"/>
    <w:basedOn w:val="Normal"/>
    <w:rsid w:val="00880359"/>
    <w:pPr>
      <w:jc w:val="center"/>
    </w:pPr>
    <w:rPr>
      <w:b/>
      <w:snapToGrid/>
      <w:lang w:eastAsia="en-GB"/>
    </w:rPr>
  </w:style>
  <w:style w:type="paragraph" w:customStyle="1" w:styleId="ProcedureTable">
    <w:name w:val="ProcedureTable"/>
    <w:basedOn w:val="Normal"/>
    <w:rsid w:val="008572D4"/>
    <w:rPr>
      <w:snapToGrid/>
      <w:sz w:val="20"/>
      <w:lang w:eastAsia="en-GB"/>
    </w:rPr>
  </w:style>
  <w:style w:type="paragraph" w:customStyle="1" w:styleId="ProcedureTableBold">
    <w:name w:val="ProcedureTableBold"/>
    <w:basedOn w:val="Normal"/>
    <w:rsid w:val="008572D4"/>
    <w:rPr>
      <w:b/>
      <w:snapToGrid/>
      <w:sz w:val="20"/>
      <w:lang w:eastAsia="en-GB"/>
    </w:rPr>
  </w:style>
  <w:style w:type="paragraph" w:customStyle="1" w:styleId="NormalCenter">
    <w:name w:val="NormalCenter"/>
    <w:basedOn w:val="Normal"/>
    <w:rsid w:val="00314D1A"/>
    <w:pPr>
      <w:jc w:val="center"/>
    </w:pPr>
    <w:rPr>
      <w:snapToGrid/>
      <w:lang w:eastAsia="en-GB"/>
    </w:rPr>
  </w:style>
  <w:style w:type="character" w:customStyle="1" w:styleId="SubBoldItalicUnderline">
    <w:name w:val="SubBoldItalicUnderline"/>
    <w:uiPriority w:val="1"/>
    <w:rsid w:val="0065571D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sid w:val="0065571D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sid w:val="0065571D"/>
    <w:rPr>
      <w:i/>
      <w:u w:val="single"/>
      <w:vertAlign w:val="subscript"/>
    </w:rPr>
  </w:style>
  <w:style w:type="character" w:customStyle="1" w:styleId="SubUnderline">
    <w:name w:val="SubUnderline"/>
    <w:uiPriority w:val="1"/>
    <w:rsid w:val="0065571D"/>
    <w:rPr>
      <w:u w:val="single"/>
      <w:vertAlign w:val="subscript"/>
    </w:rPr>
  </w:style>
  <w:style w:type="character" w:customStyle="1" w:styleId="SupBold">
    <w:name w:val="SupBold"/>
    <w:uiPriority w:val="1"/>
    <w:rsid w:val="0065571D"/>
    <w:rPr>
      <w:b/>
      <w:vertAlign w:val="superscript"/>
    </w:rPr>
  </w:style>
  <w:style w:type="character" w:customStyle="1" w:styleId="SupBoldItalicUnderline">
    <w:name w:val="SupBoldItalicUnderline"/>
    <w:uiPriority w:val="1"/>
    <w:rsid w:val="0065571D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sid w:val="0065571D"/>
    <w:rPr>
      <w:b/>
      <w:u w:val="single"/>
      <w:vertAlign w:val="superscript"/>
    </w:rPr>
  </w:style>
  <w:style w:type="character" w:customStyle="1" w:styleId="SupItalic">
    <w:name w:val="SupItalic"/>
    <w:uiPriority w:val="1"/>
    <w:rsid w:val="0065571D"/>
    <w:rPr>
      <w:i/>
      <w:vertAlign w:val="superscript"/>
    </w:rPr>
  </w:style>
  <w:style w:type="character" w:customStyle="1" w:styleId="SupItalicUnderline">
    <w:name w:val="SupItalicUnderline"/>
    <w:uiPriority w:val="1"/>
    <w:rsid w:val="0065571D"/>
    <w:rPr>
      <w:i/>
      <w:u w:val="single"/>
      <w:vertAlign w:val="superscript"/>
    </w:rPr>
  </w:style>
  <w:style w:type="character" w:customStyle="1" w:styleId="SupUnderline">
    <w:name w:val="SupUnderline"/>
    <w:uiPriority w:val="1"/>
    <w:rsid w:val="0065571D"/>
    <w:rPr>
      <w:u w:val="single"/>
      <w:vertAlign w:val="superscript"/>
    </w:rPr>
  </w:style>
  <w:style w:type="paragraph" w:customStyle="1" w:styleId="Normal24a">
    <w:name w:val="Normal24a"/>
    <w:basedOn w:val="Normal"/>
    <w:rsid w:val="00B140D0"/>
    <w:pPr>
      <w:spacing w:after="480"/>
    </w:pPr>
    <w:rPr>
      <w:snapToGrid/>
      <w:lang w:eastAsia="en-GB"/>
    </w:rPr>
  </w:style>
  <w:style w:type="paragraph" w:customStyle="1" w:styleId="Normal12a24b">
    <w:name w:val="Normal12a24b"/>
    <w:basedOn w:val="Normal"/>
    <w:rsid w:val="00D46F6C"/>
    <w:pPr>
      <w:spacing w:before="360" w:after="240"/>
    </w:pPr>
  </w:style>
  <w:style w:type="paragraph" w:customStyle="1" w:styleId="NormalTab">
    <w:name w:val="NormalTab"/>
    <w:basedOn w:val="Normal"/>
    <w:rsid w:val="00CC6F1E"/>
    <w:pPr>
      <w:tabs>
        <w:tab w:val="center" w:pos="284"/>
        <w:tab w:val="left" w:pos="425"/>
      </w:tabs>
    </w:pPr>
    <w:rPr>
      <w:snapToGrid/>
      <w:lang w:eastAsia="en-GB"/>
    </w:rPr>
  </w:style>
  <w:style w:type="character" w:styleId="Hyperlink">
    <w:name w:val="Hyperlink"/>
    <w:basedOn w:val="DefaultParagraphFont"/>
    <w:rsid w:val="00EF7B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yperlink" Target="https://www.europarl.europa.eu/data-protect/index.do" TargetMode="Externa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hyperlink" Target="https://eur-lex.europa.eu/legal-content/MT/ALL/?uri=CELEX:52021DC0102" TargetMode="External" /><Relationship Id="rId7" Type="http://schemas.openxmlformats.org/officeDocument/2006/relationships/hyperlink" Target="https://eur-lex.europa.eu/legal-content/MT/ALL/?uri=CELEX:52020DC0152" TargetMode="External" /><Relationship Id="rId8" Type="http://schemas.openxmlformats.org/officeDocument/2006/relationships/hyperlink" Target="https://eur-lex.europa.eu/legal-content/MT/ALL/?uri=CELEX:52025DC0097" TargetMode="Externa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ir/1979/7/oj" TargetMode="External" /><Relationship Id="rId10" Type="http://schemas.openxmlformats.org/officeDocument/2006/relationships/hyperlink" Target="http://data.europa.eu/eli/dir/2024/1385/oj" TargetMode="External" /><Relationship Id="rId11" Type="http://schemas.openxmlformats.org/officeDocument/2006/relationships/hyperlink" Target="http://data.europa.eu/eli/dir/2024/1500/oj" TargetMode="External" /><Relationship Id="rId12" Type="http://schemas.openxmlformats.org/officeDocument/2006/relationships/hyperlink" Target="http://data.europa.eu/eli/dir/2024/1712/oj" TargetMode="External" /><Relationship Id="rId13" Type="http://schemas.openxmlformats.org/officeDocument/2006/relationships/hyperlink" Target="http://data.europa.eu/eli/C/2023/1224/oj" TargetMode="External" /><Relationship Id="rId14" Type="http://schemas.openxmlformats.org/officeDocument/2006/relationships/hyperlink" Target="http://data.europa.eu/eli/C/2025/1279/oj" TargetMode="External" /><Relationship Id="rId15" Type="http://schemas.openxmlformats.org/officeDocument/2006/relationships/hyperlink" Target="https://eige.europa.eu/gender-based-violence" TargetMode="External" /><Relationship Id="rId2" Type="http://schemas.openxmlformats.org/officeDocument/2006/relationships/hyperlink" Target="http://data.europa.eu/eli/dir/1986/613/oj" TargetMode="External" /><Relationship Id="rId3" Type="http://schemas.openxmlformats.org/officeDocument/2006/relationships/hyperlink" Target="http://data.europa.eu/eli/dir/1992/85/oj" TargetMode="External" /><Relationship Id="rId4" Type="http://schemas.openxmlformats.org/officeDocument/2006/relationships/hyperlink" Target="http://data.europa.eu/eli/dir/2004/113/oj" TargetMode="External" /><Relationship Id="rId5" Type="http://schemas.openxmlformats.org/officeDocument/2006/relationships/hyperlink" Target="http://data.europa.eu/eli/dir/2006/54/oj" TargetMode="External" /><Relationship Id="rId6" Type="http://schemas.openxmlformats.org/officeDocument/2006/relationships/hyperlink" Target="http://data.europa.eu/eli/dir/2010/41/oj" TargetMode="External" /><Relationship Id="rId7" Type="http://schemas.openxmlformats.org/officeDocument/2006/relationships/hyperlink" Target="http://data.europa.eu/eli/dir/2019/1158/oj" TargetMode="External" /><Relationship Id="rId8" Type="http://schemas.openxmlformats.org/officeDocument/2006/relationships/hyperlink" Target="http://data.europa.eu/eli/dir/2022/2381/oj" TargetMode="External" /><Relationship Id="rId9" Type="http://schemas.openxmlformats.org/officeDocument/2006/relationships/hyperlink" Target="http://data.europa.eu/eli/dir/2023/970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15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1316271</vt:lpwstr>
  </property>
  <property fmtid="{D5CDD505-2E9C-101B-9397-08002B2CF9AE}" pid="4" name="&lt;Model&gt;">
    <vt:lpwstr>PR_INI</vt:lpwstr>
  </property>
  <property fmtid="{D5CDD505-2E9C-101B-9397-08002B2CF9AE}" pid="5" name="&lt;Type&gt;">
    <vt:lpwstr>PR</vt:lpwstr>
  </property>
  <property fmtid="{D5CDD505-2E9C-101B-9397-08002B2CF9AE}" pid="6" name="DMXMLUID">
    <vt:lpwstr>20250404-113504-011179-728455</vt:lpwstr>
  </property>
  <property fmtid="{D5CDD505-2E9C-101B-9397-08002B2CF9AE}" pid="7" name="FooterPath">
    <vt:lpwstr>PR\1316271MT.doc</vt:lpwstr>
  </property>
  <property fmtid="{D5CDD505-2E9C-101B-9397-08002B2CF9AE}" pid="8" name="PE Number">
    <vt:lpwstr>770.090</vt:lpwstr>
  </property>
  <property fmtid="{D5CDD505-2E9C-101B-9397-08002B2CF9AE}" pid="9" name="UID">
    <vt:lpwstr>eu.europa.europarl-DIN1-2025-0000056500_01.06-mt-01.00_text-xml</vt:lpwstr>
  </property>
</Properties>
</file>