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1.0 -->
  <w:body>
    <w:tbl>
      <w:tblPr>
        <w:jc w:val="left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04"/>
        <w:gridCol w:w="2488"/>
      </w:tblGrid>
      <w:tr>
        <w:tblPrEx>
          <w:jc w:val="left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 w:val="0"/>
          <w:trHeight w:hRule="exact" w:val="1420"/>
          <w:jc w:val="left"/>
        </w:trPr>
        <w:tc>
          <w:tcPr>
            <w:tcW w:w="6804" w:type="dxa"/>
            <w:vAlign w:val="center"/>
          </w:tcPr>
          <w:p>
            <w:pPr>
              <w:pStyle w:val="EPName"/>
            </w:pPr>
            <w:r w:rsidR="00A77B3E">
              <w:t>Parlament Europejski</w:t>
            </w:r>
          </w:p>
          <w:p>
            <w:pPr>
              <w:pStyle w:val="EPTerm"/>
            </w:pPr>
            <w:r>
              <w:t>2024-2029</w:t>
            </w:r>
          </w:p>
        </w:tc>
        <w:tc>
          <w:tcPr>
            <w:tcW w:w="2488" w:type="dxa"/>
            <w:vAlign w:val="top"/>
          </w:tcPr>
          <w:p>
            <w:pPr>
              <w:pStyle w:val="EPLogo"/>
            </w:pPr>
            <w:r>
              <w:drawing>
                <wp:inline>
                  <wp:extent cx="1162812" cy="647954"/>
                  <wp:docPr id="100001" name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001" name=""/>
                          <pic:cNvPicPr>
                            <a:picLocks noChangeAspect="1"/>
                          </pic:cNvPicPr>
                        </pic:nvPicPr>
                        <pic:blipFill>
                          <a:blip xmlns:r="http://schemas.openxmlformats.org/officeDocument/2006/relationships"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2812" cy="6479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>
        <w:pStyle w:val="LineTop"/>
      </w:pPr>
    </w:p>
    <w:p>
      <w:pPr>
        <w:pStyle w:val="EPBody"/>
      </w:pPr>
      <w:r>
        <w:rPr>
          <w:rStyle w:val="HideTWBExt"/>
        </w:rPr>
        <w:t>&lt;</w:t>
      </w:r>
      <w:r>
        <w:rPr>
          <w:rStyle w:val="HideTWBExt"/>
        </w:rPr>
        <w:t>Commission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FEMM</w:t>
      </w:r>
      <w:r>
        <w:rPr>
          <w:rStyle w:val="HideTWBInt"/>
        </w:rPr>
        <w:t>}</w:t>
      </w:r>
      <w:r>
        <w:t>Komisja Praw Kobiet i Równouprawnienia</w:t>
      </w:r>
      <w:r>
        <w:rPr>
          <w:rStyle w:val="HideTWBExt"/>
        </w:rPr>
        <w:t>&lt;/</w:t>
      </w:r>
      <w:r>
        <w:rPr>
          <w:rStyle w:val="HideTWBExt"/>
        </w:rPr>
        <w:t>Commission</w:t>
      </w:r>
      <w:r>
        <w:rPr>
          <w:rStyle w:val="HideTWBExt"/>
        </w:rPr>
        <w:t>&gt;</w:t>
      </w:r>
    </w:p>
    <w:p>
      <w:pPr>
        <w:pStyle w:val="LineBottom"/>
      </w:pPr>
    </w:p>
    <w:p>
      <w:pPr>
        <w:pStyle w:val="CoverReference"/>
      </w:pPr>
      <w:r>
        <w:rPr>
          <w:rStyle w:val="HideTWBExt"/>
        </w:rPr>
        <w:t>&lt;</w:t>
      </w:r>
      <w:r>
        <w:rPr>
          <w:rStyle w:val="HideTWBExt"/>
        </w:rPr>
        <w:t>RefProc</w:t>
      </w:r>
      <w:r>
        <w:rPr>
          <w:rStyle w:val="HideTWBExt"/>
        </w:rPr>
        <w:t>&gt;</w:t>
      </w:r>
      <w:r>
        <w:t>2024/2125</w:t>
      </w:r>
      <w:r>
        <w:rPr>
          <w:rStyle w:val="HideTWBExt"/>
        </w:rPr>
        <w:t>&lt;/</w:t>
      </w:r>
      <w:r>
        <w:rPr>
          <w:rStyle w:val="HideTWBExt"/>
        </w:rPr>
        <w:t>RefProc</w:t>
      </w:r>
      <w:r>
        <w:rPr>
          <w:rStyle w:val="HideTWBExt"/>
        </w:rPr>
        <w:t>&gt;</w:t>
      </w:r>
      <w:r>
        <w:rPr>
          <w:rStyle w:val="HideTWBExt"/>
        </w:rPr>
        <w:t>&lt;</w:t>
      </w:r>
      <w:r>
        <w:rPr>
          <w:rStyle w:val="HideTWBExt"/>
        </w:rPr>
        <w:t>RefTypeProc</w:t>
      </w:r>
      <w:r>
        <w:rPr>
          <w:rStyle w:val="HideTWBExt"/>
        </w:rPr>
        <w:t>&gt;</w:t>
      </w:r>
      <w:r>
        <w:t>(INI)</w:t>
      </w:r>
      <w:r>
        <w:rPr>
          <w:rStyle w:val="HideTWBExt"/>
        </w:rPr>
        <w:t>&lt;/</w:t>
      </w:r>
      <w:r>
        <w:rPr>
          <w:rStyle w:val="HideTWBExt"/>
        </w:rPr>
        <w:t>RefTypeProc</w:t>
      </w:r>
      <w:r>
        <w:rPr>
          <w:rStyle w:val="HideTWBExt"/>
        </w:rPr>
        <w:t>&gt;</w:t>
      </w:r>
    </w:p>
    <w:p>
      <w:pPr>
        <w:pStyle w:val="CoverDate"/>
      </w:pPr>
      <w:r>
        <w:rPr>
          <w:rStyle w:val="HideTWBExt"/>
        </w:rPr>
        <w:t>&lt;</w:t>
      </w:r>
      <w:r>
        <w:rPr>
          <w:rStyle w:val="HideTWBExt"/>
        </w:rPr>
        <w:t>Date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24/03/2025</w:t>
      </w:r>
      <w:r>
        <w:rPr>
          <w:rStyle w:val="HideTWBInt"/>
        </w:rPr>
        <w:t>}</w:t>
      </w:r>
      <w:r>
        <w:t>24.03.2025</w:t>
      </w:r>
      <w:r>
        <w:rPr>
          <w:rStyle w:val="HideTWBExt"/>
        </w:rPr>
        <w:t>&lt;/</w:t>
      </w:r>
      <w:r>
        <w:rPr>
          <w:rStyle w:val="HideTWBExt"/>
        </w:rPr>
        <w:t>Date</w:t>
      </w:r>
      <w:r>
        <w:rPr>
          <w:rStyle w:val="HideTWBExt"/>
        </w:rPr>
        <w:t>&gt;</w:t>
      </w:r>
    </w:p>
    <w:p>
      <w:pPr>
        <w:pStyle w:val="CoverDocType24a"/>
      </w:pPr>
      <w:r>
        <w:rPr>
          <w:rStyle w:val="HideTWBExt"/>
        </w:rPr>
        <w:t>&lt;</w:t>
      </w:r>
      <w:r>
        <w:rPr>
          <w:rStyle w:val="HideTWBExt"/>
        </w:rPr>
        <w:t>TitreType</w:t>
      </w:r>
      <w:r>
        <w:rPr>
          <w:rStyle w:val="HideTWBExt"/>
        </w:rPr>
        <w:t>&gt;</w:t>
      </w:r>
      <w:r>
        <w:t>PROJEKT SPRAWOZDANIA</w:t>
      </w:r>
      <w:r>
        <w:rPr>
          <w:rStyle w:val="HideTWBExt"/>
        </w:rPr>
        <w:t>&lt;/</w:t>
      </w:r>
      <w:r>
        <w:rPr>
          <w:rStyle w:val="HideTWBExt"/>
        </w:rPr>
        <w:t>TitreType</w:t>
      </w:r>
      <w:r>
        <w:rPr>
          <w:rStyle w:val="HideTWBExt"/>
        </w:rPr>
        <w:t>&gt;</w:t>
      </w:r>
    </w:p>
    <w:p>
      <w:pPr>
        <w:pStyle w:val="CoverNormal"/>
      </w:pPr>
      <w:r>
        <w:rPr>
          <w:rStyle w:val="HideTWBExt"/>
        </w:rPr>
        <w:t>&lt;</w:t>
      </w:r>
      <w:r>
        <w:rPr>
          <w:rStyle w:val="HideTWBExt"/>
        </w:rPr>
        <w:t>Titre</w:t>
      </w:r>
      <w:r>
        <w:rPr>
          <w:rStyle w:val="HideTWBExt"/>
        </w:rPr>
        <w:t>&gt;</w:t>
      </w:r>
      <w:r>
        <w:t>w sprawie strategii na rzecz równouprawnienia płci na rok 2025</w:t>
      </w:r>
      <w:r>
        <w:rPr>
          <w:rStyle w:val="HideTWBExt"/>
        </w:rPr>
        <w:t>&lt;/</w:t>
      </w:r>
      <w:r>
        <w:rPr>
          <w:rStyle w:val="HideTWBExt"/>
        </w:rPr>
        <w:t>Titre</w:t>
      </w:r>
      <w:r>
        <w:rPr>
          <w:rStyle w:val="HideTWBExt"/>
        </w:rPr>
        <w:t>&gt;</w:t>
      </w:r>
    </w:p>
    <w:p>
      <w:pPr>
        <w:pStyle w:val="CoverNormal24a"/>
      </w:pPr>
      <w:r>
        <w:rPr>
          <w:rStyle w:val="HideTWBExt"/>
        </w:rPr>
        <w:t>&lt;</w:t>
      </w:r>
      <w:r>
        <w:rPr>
          <w:rStyle w:val="HideTWBExt"/>
        </w:rPr>
        <w:t>DocRef</w:t>
      </w:r>
      <w:r>
        <w:rPr>
          <w:rStyle w:val="HideTWBExt"/>
        </w:rPr>
        <w:t>&gt;</w:t>
      </w:r>
      <w:r>
        <w:t>(2024/2125(INI))</w:t>
      </w:r>
      <w:r>
        <w:rPr>
          <w:rStyle w:val="HideTWBExt"/>
        </w:rPr>
        <w:t>&lt;/</w:t>
      </w:r>
      <w:r>
        <w:rPr>
          <w:rStyle w:val="HideTWBExt"/>
        </w:rPr>
        <w:t>DocRef</w:t>
      </w:r>
      <w:r>
        <w:rPr>
          <w:rStyle w:val="HideTWBExt"/>
        </w:rPr>
        <w:t>&gt;</w:t>
      </w:r>
    </w:p>
    <w:p>
      <w:pPr>
        <w:pStyle w:val="CoverNormal24a"/>
      </w:pPr>
      <w:r>
        <w:rPr>
          <w:rStyle w:val="HideTWBExt"/>
        </w:rPr>
        <w:t>&lt;</w:t>
      </w:r>
      <w:r>
        <w:rPr>
          <w:rStyle w:val="HideTWBExt"/>
        </w:rPr>
        <w:t>Commission</w:t>
      </w:r>
      <w:r>
        <w:rPr>
          <w:rStyle w:val="HideTWBExt"/>
        </w:rPr>
        <w:t>&gt;</w:t>
      </w:r>
      <w:r>
        <w:rPr>
          <w:rStyle w:val="HideTWBInt"/>
        </w:rPr>
        <w:t>{</w:t>
      </w:r>
      <w:r>
        <w:rPr>
          <w:rStyle w:val="HideTWBInt"/>
        </w:rPr>
        <w:t>FEMM</w:t>
      </w:r>
      <w:r>
        <w:rPr>
          <w:rStyle w:val="HideTWBInt"/>
        </w:rPr>
        <w:t>}</w:t>
      </w:r>
      <w:r>
        <w:t>Komisja Praw Kobiet i Równouprawnienia</w:t>
      </w:r>
      <w:r>
        <w:rPr>
          <w:rStyle w:val="HideTWBExt"/>
        </w:rPr>
        <w:t>&lt;/</w:t>
      </w:r>
      <w:r>
        <w:rPr>
          <w:rStyle w:val="HideTWBExt"/>
        </w:rPr>
        <w:t>Commission</w:t>
      </w:r>
      <w:r>
        <w:rPr>
          <w:rStyle w:val="HideTWBExt"/>
        </w:rPr>
        <w:t>&gt;</w:t>
      </w:r>
    </w:p>
    <w:p>
      <w:pPr>
        <w:pStyle w:val="CoverNormal24a"/>
      </w:pPr>
      <w:r>
        <w:t>Sprawozdawca</w:t>
      </w:r>
      <w:r>
        <w:t xml:space="preserve">: </w:t>
      </w:r>
      <w:r>
        <w:rPr>
          <w:rStyle w:val="HideTWBExt"/>
        </w:rPr>
        <w:t>&lt;</w:t>
      </w:r>
      <w:r>
        <w:rPr>
          <w:rStyle w:val="HideTWBExt"/>
        </w:rPr>
        <w:t>Depute</w:t>
      </w:r>
      <w:r>
        <w:rPr>
          <w:rStyle w:val="HideTWBExt"/>
        </w:rPr>
        <w:t>&gt;</w:t>
      </w:r>
      <w:r>
        <w:t>Marko Vešligaj</w:t>
      </w:r>
      <w:r>
        <w:rPr>
          <w:rStyle w:val="HideTWBExt"/>
        </w:rPr>
        <w:t>&lt;/</w:t>
      </w:r>
      <w:r>
        <w:rPr>
          <w:rStyle w:val="HideTWBExt"/>
        </w:rPr>
        <w:t>Depute</w:t>
      </w:r>
      <w:r>
        <w:rPr>
          <w:rStyle w:val="HideTWBExt"/>
        </w:rPr>
        <w:t>&gt;</w:t>
      </w:r>
    </w:p>
    <w:p>
      <w:r>
        <w:br w:type="page"/>
      </w:r>
      <w:r>
        <w:t>PR_INI</w:t>
      </w:r>
    </w:p>
    <w:p>
      <w:pPr>
        <w:pStyle w:val="TOCHeading"/>
      </w:pPr>
      <w:r>
        <w:t>SPIS TREŚCI</w:t>
      </w:r>
    </w:p>
    <w:p>
      <w:pPr>
        <w:pStyle w:val="TOCPage"/>
      </w:pPr>
      <w:r>
        <w:t>Strona</w:t>
      </w:r>
    </w:p>
    <w:p>
      <w:pPr>
        <w:pStyle w:val="TOC1"/>
        <w:tabs>
          <w:tab w:val="right" w:leader="dot" w:pos="9062"/>
        </w:tabs>
        <w:rPr>
          <w:rFonts w:ascii="Calibri" w:hAnsi="Calibri"/>
          <w:noProof/>
          <w:sz w:val="22"/>
        </w:rPr>
      </w:pPr>
      <w:r>
        <w:fldChar w:fldCharType="begin"/>
      </w:r>
      <w:r>
        <w:instrText>TOC \t "PageHeading"</w:instrText>
      </w:r>
      <w:r>
        <w:fldChar w:fldCharType="separate"/>
      </w:r>
      <w:r>
        <w:t>PROJEKT REZOLUCJI PARLAMENTU EUROPEJSKIEGO</w:t>
      </w:r>
      <w:r>
        <w:tab/>
      </w:r>
      <w:r>
        <w:fldChar w:fldCharType="begin"/>
      </w:r>
      <w:r>
        <w:instrText xml:space="preserve"> PAGEREF _Toc256000003 \h </w:instrText>
      </w:r>
      <w:r>
        <w:fldChar w:fldCharType="separate"/>
      </w:r>
      <w:r>
        <w:t>3</w:t>
      </w:r>
      <w:r>
        <w:fldChar w:fldCharType="end"/>
      </w:r>
    </w:p>
    <w:p>
      <w:pPr>
        <w:pStyle w:val="TOC1"/>
        <w:tabs>
          <w:tab w:val="right" w:leader="dot" w:pos="9062"/>
        </w:tabs>
        <w:rPr>
          <w:rFonts w:ascii="Calibri" w:hAnsi="Calibri"/>
          <w:noProof/>
          <w:sz w:val="22"/>
        </w:rPr>
      </w:pPr>
      <w:r>
        <w:t>UZASADNIENIE</w:t>
      </w:r>
      <w:r>
        <w:tab/>
      </w:r>
      <w:r>
        <w:fldChar w:fldCharType="begin"/>
      </w:r>
      <w:r>
        <w:instrText xml:space="preserve"> PAGEREF _Toc256000004 \h </w:instrText>
      </w:r>
      <w:r>
        <w:fldChar w:fldCharType="separate"/>
      </w:r>
      <w:r>
        <w:t>11</w:t>
      </w:r>
      <w:r>
        <w:fldChar w:fldCharType="end"/>
      </w:r>
    </w:p>
    <w:p>
      <w:pPr>
        <w:pStyle w:val="TOC1"/>
        <w:tabs>
          <w:tab w:val="right" w:leader="dot" w:pos="9062"/>
        </w:tabs>
        <w:rPr>
          <w:rFonts w:ascii="Calibri" w:hAnsi="Calibri"/>
          <w:noProof/>
          <w:sz w:val="22"/>
        </w:rPr>
      </w:pPr>
      <w:r>
        <w:t>ZAŁĄCZNIK: PODMIOTY LUB OSOBY,  OD KTÓRYCH SPRAWOZDAWCA OTRZYMAŁ INFORMACJE</w:t>
      </w:r>
      <w:r>
        <w:tab/>
      </w:r>
      <w:r>
        <w:fldChar w:fldCharType="begin"/>
      </w:r>
      <w:r>
        <w:instrText xml:space="preserve"> PAGEREF _Toc256000005 \h </w:instrText>
      </w:r>
      <w:r>
        <w:fldChar w:fldCharType="separate"/>
      </w:r>
      <w:r>
        <w:t>15</w:t>
      </w:r>
      <w:r>
        <w:fldChar w:fldCharType="end"/>
      </w:r>
    </w:p>
    <w:p>
      <w:pPr>
        <w:pStyle w:val="Normal12b"/>
      </w:pPr>
      <w:r>
        <w:fldChar w:fldCharType="end"/>
      </w:r>
    </w:p>
    <w:p>
      <w:pPr>
        <w:pStyle w:val="CoverNormalLeft"/>
      </w:pPr>
    </w:p>
    <w:p>
      <w:pPr>
        <w:pStyle w:val="PageHeading"/>
      </w:pPr>
      <w:r>
        <w:br w:type="page"/>
      </w:r>
      <w:bookmarkStart w:id="0" w:name="_Toc256000003"/>
      <w:r>
        <w:t>PROJEKT REZOLUCJI PARLAMENTU EUROPEJSKIEGO</w:t>
      </w:r>
      <w:bookmarkEnd w:id="0"/>
    </w:p>
    <w:p>
      <w:pPr>
        <w:pStyle w:val="NormalBold"/>
      </w:pPr>
      <w:r>
        <w:t>w sprawie strategii na rzecz równouprawnienia płci na rok 2025</w:t>
      </w:r>
    </w:p>
    <w:p>
      <w:pPr>
        <w:pStyle w:val="NormalBold"/>
      </w:pPr>
      <w:r>
        <w:t>(2024/2125(INI))</w:t>
      </w:r>
    </w:p>
    <w:p>
      <w:pPr>
        <w:pStyle w:val="EPComma"/>
      </w:pPr>
      <w:r>
        <w:rPr>
          <w:rStyle w:val="Italic"/>
        </w:rPr>
        <w:t>Parlament Europejski</w:t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art. 2 i 3 Traktatu o Unii Europejskiej,</w:t>
      </w:r>
    </w:p>
    <w:p>
      <w:pPr>
        <w:pStyle w:val="NormalHanging12a"/>
      </w:pPr>
      <w:r>
        <w:t>–</w:t>
      </w:r>
      <w:r>
        <w:tab/>
      </w:r>
      <w:r>
        <w:t>uwzględniając art. 8, 10, 19, 79, 83, 153 i 157 Traktatu o funkcjonowaniu Unii Europejskiej (TFUE),</w:t>
      </w:r>
    </w:p>
    <w:p>
      <w:pPr>
        <w:pStyle w:val="NormalHanging12a"/>
      </w:pPr>
      <w:r>
        <w:t>–</w:t>
      </w:r>
      <w:r>
        <w:tab/>
      </w:r>
      <w:r>
        <w:t>uwzględniając art. 21 i 23 Karty praw podstawowych Unii Europejskiej,</w:t>
      </w:r>
    </w:p>
    <w:p>
      <w:pPr>
        <w:pStyle w:val="NormalHanging12a"/>
      </w:pPr>
      <w:r>
        <w:t>–</w:t>
      </w:r>
      <w:r>
        <w:tab/>
      </w:r>
      <w:r>
        <w:t>uwzględniając Europejski filar praw socjalnych proklamowany i podpisany przez Parlament, Radę, i Komisję 17 listopada 2017 r. oraz komunikat Komisji z 4 marca 2021 r. pt. „Plan działania na rzecz Europejskiego filaru praw socjalnych” (</w:t>
      </w:r>
      <w:hyperlink r:id="rId6" w:history="1">
        <w:r>
          <w:rPr>
            <w:rStyle w:val="Hyperlink"/>
          </w:rPr>
          <w:t>COM(2021)0102</w:t>
        </w:r>
      </w:hyperlink>
      <w:r>
        <w:rPr>
          <w:rStyle w:val="DefaultParagraphFont"/>
          <w:b w:val="0"/>
          <w:i w:val="0"/>
          <w:u w:val="none"/>
        </w:rPr>
        <w:t>),</w:t>
      </w:r>
    </w:p>
    <w:p>
      <w:pPr>
        <w:pStyle w:val="NormalHanging12a"/>
      </w:pPr>
      <w:r>
        <w:t>–</w:t>
      </w:r>
      <w:r>
        <w:tab/>
      </w:r>
      <w:r>
        <w:t>uwzględniając Konwencję ONZ z 18 grudnia 1979 r. w sprawie likwidacji wszelkich form dyskryminacji kobiet,</w:t>
      </w:r>
    </w:p>
    <w:p>
      <w:pPr>
        <w:pStyle w:val="NormalHanging12a"/>
      </w:pPr>
      <w:r>
        <w:t>–</w:t>
      </w:r>
      <w:r>
        <w:tab/>
      </w:r>
      <w:r>
        <w:t>uwzględniając deklarację pekińską i pekińską platformę działania ONZ z 15 września 1995 r. oraz wyniki ich konferencji przeglądowych,</w:t>
      </w:r>
    </w:p>
    <w:p>
      <w:pPr>
        <w:pStyle w:val="NormalHanging12a"/>
      </w:pPr>
      <w:r>
        <w:t>–</w:t>
      </w:r>
      <w:r>
        <w:tab/>
      </w:r>
      <w:r>
        <w:t>uwzględniając Agendę ONZ na rzecz zrównoważonego rozwoju 2030 z 21 października 2015 r. oraz określone w niej cele zrównoważonego rozwoju, w szczególności cel nr 5, „Osiągnąć równość płci oraz wzmocnić pozycję kobiet i dziewcząt”, a także związane z nim cele i wskaźniki,</w:t>
      </w:r>
    </w:p>
    <w:p>
      <w:pPr>
        <w:pStyle w:val="NormalHanging12a"/>
      </w:pPr>
      <w:r>
        <w:t>–</w:t>
      </w:r>
      <w:r>
        <w:tab/>
      </w:r>
      <w:r>
        <w:t>uwzględniając Konwencję Międzynarodowej Organizacji Pracy dotyczącą jednakowego wynagrodzenia dla pracujących mężczyzn i kobiet za pracę jednakowej wartości z 29 czerwca 1951 r. oraz Konwencję Międzynarodowej Organizacji Pracy w sprawie eliminacji przemocy i molestowania w miejscu pracy z 21 czerwca 2019 r.,</w:t>
      </w:r>
    </w:p>
    <w:p>
      <w:pPr>
        <w:pStyle w:val="NormalHanging12a"/>
      </w:pPr>
      <w:r>
        <w:t>–</w:t>
      </w:r>
      <w:r>
        <w:tab/>
      </w:r>
      <w:r>
        <w:t xml:space="preserve">uwzględniając Konwencję </w:t>
      </w:r>
      <w:r>
        <w:t>Rady Europy</w:t>
      </w:r>
      <w:r>
        <w:t xml:space="preserve"> o zapobieganiu i zwalczaniu przemocy wobec kobiet i przemocy domowej z 11 maja 2011 r. (konwencję stambulską),</w:t>
      </w:r>
    </w:p>
    <w:p>
      <w:pPr>
        <w:pStyle w:val="NormalHanging12a"/>
      </w:pPr>
      <w:r>
        <w:t>–</w:t>
      </w:r>
      <w:r>
        <w:tab/>
      </w:r>
      <w:r>
        <w:t>uwzględniając przyjęte od 1975 r. dyrektywy EWG i UE dotyczące różnych aspektów równego traktowania kobiet i mężczyzn (dyrektywę 79/7/EWG</w:t>
      </w:r>
      <w:r>
        <w:rPr>
          <w:rStyle w:val="FootnoteReference"/>
        </w:rPr>
        <w:footnoteReference w:id="2"/>
      </w:r>
      <w:r>
        <w:t>, dyrektywę 86/613/EWG</w:t>
      </w:r>
      <w:r>
        <w:rPr>
          <w:rStyle w:val="FootnoteReference"/>
        </w:rPr>
        <w:footnoteReference w:id="3"/>
      </w:r>
      <w:r>
        <w:t>, dyrektywę 92/85/EWG</w:t>
      </w:r>
      <w:r>
        <w:rPr>
          <w:rStyle w:val="FootnoteReference"/>
        </w:rPr>
        <w:footnoteReference w:id="4"/>
      </w:r>
      <w:r>
        <w:t>, dyrektywę 2004/113/WE</w:t>
      </w:r>
      <w:r>
        <w:rPr>
          <w:rStyle w:val="FootnoteReference"/>
        </w:rPr>
        <w:footnoteReference w:id="5"/>
      </w:r>
      <w:r>
        <w:t>, dyrektywę 2006/54/WE</w:t>
      </w:r>
      <w:r>
        <w:rPr>
          <w:rStyle w:val="FootnoteReference"/>
        </w:rPr>
        <w:footnoteReference w:id="6"/>
      </w:r>
      <w:r>
        <w:t xml:space="preserve"> oraz dyrektywę 2010/41/UE</w:t>
      </w:r>
      <w:r>
        <w:rPr>
          <w:rStyle w:val="FootnoteReference"/>
        </w:rPr>
        <w:footnoteReference w:id="7"/>
      </w:r>
      <w:r>
        <w:t>),</w:t>
      </w:r>
    </w:p>
    <w:p>
      <w:pPr>
        <w:pStyle w:val="NormalHanging12a"/>
      </w:pPr>
      <w:r>
        <w:t>–</w:t>
      </w:r>
      <w:r>
        <w:tab/>
      </w:r>
      <w:r>
        <w:t xml:space="preserve">uwzględniając dyrektywę </w:t>
      </w:r>
      <w:r>
        <w:t>Parlamentu Europejskiego</w:t>
      </w:r>
      <w:r>
        <w:t xml:space="preserve"> i Rady (UE) 2019/1158 z dnia 20 czerwca 2019 r. w sprawie równowagi między życiem zawodowym a prywatnym rodziców i opiekunów oraz uchylającą dyrektywę Rady 2010/18/UE</w:t>
      </w:r>
      <w:r>
        <w:rPr>
          <w:rStyle w:val="FootnoteReference"/>
        </w:rPr>
        <w:footnoteReference w:id="8"/>
      </w:r>
      <w:r>
        <w:t>,</w:t>
      </w:r>
    </w:p>
    <w:p>
      <w:pPr>
        <w:pStyle w:val="NormalHanging12a"/>
      </w:pPr>
      <w:r>
        <w:t>–</w:t>
      </w:r>
      <w:r>
        <w:tab/>
      </w:r>
      <w:r>
        <w:t xml:space="preserve">uwzględniając dyrektywę </w:t>
      </w:r>
      <w:r>
        <w:t>Parlamentu Europejskiego</w:t>
      </w:r>
      <w:r>
        <w:t xml:space="preserve"> i Rady (UE) 2022/2381 z dnia 23 listopada 2022 r. w sprawie poprawy równowagi płci wśród dyrektorów spółek giełdowych oraz powiązanych środków</w:t>
      </w:r>
      <w:r>
        <w:rPr>
          <w:rStyle w:val="FootnoteReference"/>
        </w:rPr>
        <w:footnoteReference w:id="9"/>
      </w:r>
      <w:r>
        <w:t>;</w:t>
      </w:r>
    </w:p>
    <w:p>
      <w:pPr>
        <w:pStyle w:val="NormalHanging12a"/>
      </w:pPr>
      <w:r>
        <w:t>–</w:t>
      </w:r>
      <w:r>
        <w:tab/>
      </w:r>
      <w:r>
        <w:t xml:space="preserve">uwzględniając dyrektywę </w:t>
      </w:r>
      <w:r>
        <w:t>Parlamentu Europejskiego</w:t>
      </w:r>
      <w:r>
        <w:t xml:space="preserve"> i Rady (UE) 2023/970 z dnia 10 maja 2023 r. w sprawie wzmocnienia stosowania zasady równości wynagrodzeń dla kobiet i mężczyzn za taką samą pracę lub pracę o takiej samej wartości za pośrednictwem mechanizmów przejrzystości wynagrodzeń oraz mechanizmów egzekwowania</w:t>
      </w:r>
      <w:r>
        <w:rPr>
          <w:rStyle w:val="FootnoteReference"/>
        </w:rPr>
        <w:footnoteReference w:id="10"/>
      </w:r>
      <w:r>
        <w:t>,</w:t>
      </w:r>
    </w:p>
    <w:p>
      <w:pPr>
        <w:pStyle w:val="NormalHanging12a"/>
      </w:pPr>
      <w:r>
        <w:t>–</w:t>
      </w:r>
      <w:r>
        <w:tab/>
      </w:r>
      <w:r>
        <w:t xml:space="preserve">uwzględniając dyrektywę </w:t>
      </w:r>
      <w:r>
        <w:t>Parlamentu Europejskiego</w:t>
      </w:r>
      <w:r>
        <w:t xml:space="preserve"> i Rady (UE) 2024/1385 z dnia 14 maja 2024 r. w sprawie zwalczania przemocy wobec kobiet i przemocy domowej</w:t>
      </w:r>
      <w:r>
        <w:rPr>
          <w:rStyle w:val="FootnoteReference"/>
        </w:rPr>
        <w:footnoteReference w:id="11"/>
      </w:r>
      <w:r>
        <w:t>,</w:t>
      </w:r>
    </w:p>
    <w:p>
      <w:pPr>
        <w:pStyle w:val="NormalHanging12a"/>
      </w:pPr>
      <w:r>
        <w:t>–</w:t>
      </w:r>
      <w:r>
        <w:tab/>
      </w:r>
      <w:r>
        <w:t xml:space="preserve">uwzględniając dyrektywę </w:t>
      </w:r>
      <w:r>
        <w:t>Parlamentu Europejskiego</w:t>
      </w:r>
      <w:r>
        <w:t xml:space="preserve"> i Rady (UE) 2024/1500 z dnia 14 maja 2024 r. w sprawie norm dotyczących organów ds. równości w obszarze równego traktowania i równości szans kobiet i mężczyzn w zakresie zatrudnienia i pracy oraz zmiany dyrektyw 2006/54/WE i 2010/41/UE</w:t>
      </w:r>
      <w:r>
        <w:rPr>
          <w:rStyle w:val="FootnoteReference"/>
        </w:rPr>
        <w:footnoteReference w:id="12"/>
      </w:r>
      <w:r>
        <w:t>,</w:t>
      </w:r>
    </w:p>
    <w:p>
      <w:pPr>
        <w:pStyle w:val="NormalHanging12a"/>
      </w:pPr>
      <w:r>
        <w:t>–</w:t>
      </w:r>
      <w:r>
        <w:tab/>
      </w:r>
      <w:r>
        <w:t xml:space="preserve">uwzględniając dyrektywę </w:t>
      </w:r>
      <w:r>
        <w:t>Parlamentu Europejskiego</w:t>
      </w:r>
      <w:r>
        <w:t xml:space="preserve"> i Rady (UE) 2024/1712 z dnia 13 czerwca 2024 r. w sprawie zmiany dyrektywy 2011/36/UE w sprawie zapobiegania handlowi ludźmi i zwalczania tego procederu oraz ochrony ofiar</w:t>
      </w:r>
      <w:r>
        <w:rPr>
          <w:rStyle w:val="FootnoteReference"/>
        </w:rPr>
        <w:footnoteReference w:id="13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komunikat Komisji z 5 marca 2020 r. pt. „Unia równości: strategia na rzecz równouprawnienia płci na lata 2020–2025” (</w:t>
      </w:r>
      <w:hyperlink r:id="rId7" w:history="1">
        <w:r>
          <w:rPr>
            <w:rStyle w:val="Hyperlink"/>
          </w:rPr>
          <w:t>COM(2020)0152</w:t>
        </w:r>
      </w:hyperlink>
      <w:r>
        <w:rPr>
          <w:rStyle w:val="DefaultParagraphFont"/>
          <w:b w:val="0"/>
          <w:i w:val="0"/>
          <w:u w:val="none"/>
        </w:rPr>
        <w:t>),</w:t>
      </w:r>
    </w:p>
    <w:p>
      <w:pPr>
        <w:pStyle w:val="NormalHanging12a"/>
      </w:pPr>
      <w:r>
        <w:t>–</w:t>
      </w:r>
      <w:r>
        <w:tab/>
      </w:r>
      <w:r>
        <w:t>uwzględniając wspólny komunikat Komisji i Wysokiego Przedstawiciela Unii do Spraw Zagranicznych i Bezpieczeństwa z 25 listopada 2020 r. pt. „Trzeci unijny plan działania w sprawie równości płci – ambitny program na rzecz równouprawnienia płci i wzmocnienia pozycji kobiet w działaniach zewnętrznych UE” (JOIN(2020)0017) oraz towarzyszący mu wspólny dokument roboczy z 25 listopada 2020 r. pt. „Cele i wskaźniki do oceny wdrażania trzeciego planu działania w sprawie równości płci (2021–2025)” (SWD(2020)0284),</w:t>
      </w:r>
    </w:p>
    <w:p>
      <w:pPr>
        <w:pStyle w:val="NormalHanging12a"/>
      </w:pPr>
      <w:r>
        <w:t>–</w:t>
      </w:r>
      <w:r>
        <w:tab/>
      </w:r>
      <w:r>
        <w:t>uwzględniając komunikat Komisji z 7 marca 2025 r. pt. „Plan działania na rzecz praw kobiet” (</w:t>
      </w:r>
      <w:hyperlink r:id="rId8" w:history="1">
        <w:r>
          <w:rPr>
            <w:rStyle w:val="Hyperlink"/>
          </w:rPr>
          <w:t>COM(2025)0097</w:t>
        </w:r>
      </w:hyperlink>
      <w:r>
        <w:rPr>
          <w:rStyle w:val="DefaultParagraphFont"/>
          <w:b w:val="0"/>
          <w:i w:val="0"/>
          <w:u w:val="none"/>
        </w:rPr>
        <w:t>),</w:t>
      </w:r>
    </w:p>
    <w:p>
      <w:pPr>
        <w:pStyle w:val="NormalHanging12a"/>
      </w:pPr>
      <w:r>
        <w:t>–</w:t>
      </w:r>
      <w:r>
        <w:tab/>
      </w:r>
      <w:r>
        <w:t>uwzględniając swoją rezolucję z dnia 13 lutego 2019 r. w sprawie pogorszenia sytuacji w zakresie praw kobiet i równouprawnienia w UE</w:t>
      </w:r>
      <w:r>
        <w:rPr>
          <w:rStyle w:val="FootnoteReference"/>
        </w:rPr>
        <w:footnoteReference w:id="14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swoją rezolucję z dnia 28 listopada 2019 r. w sprawie przystąpienia UE do konwencji stambulskiej i innych środków przeciwdziałania przemocy ze względu na płeć</w:t>
      </w:r>
      <w:r>
        <w:rPr>
          <w:rStyle w:val="FootnoteReference"/>
        </w:rPr>
        <w:footnoteReference w:id="15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swoją rezolucję z dnia 30 stycznia 2020 r. w sprawie zróżnicowania wynagrodzenia ze względu na płeć</w:t>
      </w:r>
      <w:r>
        <w:rPr>
          <w:rStyle w:val="FootnoteReference"/>
        </w:rPr>
        <w:footnoteReference w:id="16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swoją rezolucję z dnia 23 października 2020 r. w sprawie równouprawnienia płci w polityce zagranicznej i bezpieczeństwa UE</w:t>
      </w:r>
      <w:r>
        <w:rPr>
          <w:rStyle w:val="FootnoteReference"/>
        </w:rPr>
        <w:footnoteReference w:id="17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swoją rezolucję z dnia 21 stycznia 2021 r. w sprawie europejskiej strategii na rzecz równouprawnienia płci</w:t>
      </w:r>
      <w:r>
        <w:rPr>
          <w:rStyle w:val="FootnoteReference"/>
        </w:rPr>
        <w:footnoteReference w:id="18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swoją rezolucję z dnia 21 stycznia 2021 r. w sprawie zniwelowania przepaści cyfrowej między kobietami a mężczyznami: kobiety w sektorze cyfrowym</w:t>
      </w:r>
      <w:r>
        <w:rPr>
          <w:rStyle w:val="FootnoteReference"/>
        </w:rPr>
        <w:footnoteReference w:id="19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swoją rezolucję z dnia 11 lutego 2021 r. w sprawie przyszłych wyzwań w dziedzinie praw kobiet w Europie po ponad 25 latach od uchwalenia deklaracji pekińskiej i pekińskiej platformy działania</w:t>
      </w:r>
      <w:r>
        <w:rPr>
          <w:rStyle w:val="FootnoteReference"/>
        </w:rPr>
        <w:footnoteReference w:id="20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swoją rezolucję z dnia 10 czerwca 2021 r. w sprawie wspierania równouprawnienia płci w kształceniu i pracy zawodowej w dziedzinie nauk przyrodniczych, technologii, inżynierii i matematyki (STEM)</w:t>
      </w:r>
      <w:r>
        <w:rPr>
          <w:rStyle w:val="FootnoteReference"/>
        </w:rPr>
        <w:footnoteReference w:id="21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swoją rezolucję z dnia 24 czerwca 2021 r. w sprawie sytuacji w zakresie zdrowia seksualnego i reprodukcyjnego oraz praw w tej dziedzinie w UE w kontekście zdrowia kobiet</w:t>
      </w:r>
      <w:r>
        <w:rPr>
          <w:rStyle w:val="FootnoteReference"/>
        </w:rPr>
        <w:footnoteReference w:id="22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swoją rezolucję z dnia 16 września 2021 r. zawierającą zalecenia dla Komisji w sprawie uznania przemocy ze względu na płeć za nową dziedzinę przestępczości wśród wymienionych w art. 83 ust. 1 TFUE</w:t>
      </w:r>
      <w:r>
        <w:rPr>
          <w:rStyle w:val="FootnoteReference"/>
        </w:rPr>
        <w:footnoteReference w:id="23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swoją rezolucję z dnia 14 grudnia 2021 r. zawierającą zalecenia dla Komisji w sprawie zwalczania przemocy ze względu na płeć: cyberprzemoc</w:t>
      </w:r>
      <w:r>
        <w:rPr>
          <w:rStyle w:val="FootnoteReference"/>
        </w:rPr>
        <w:footnoteReference w:id="24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swoją rezolucję z dnia 15 grudnia 2021 r. w sprawie równości kobiet i mężczyzn w Unii Europejskiej w latach 2018–2020</w:t>
      </w:r>
      <w:r>
        <w:rPr>
          <w:rStyle w:val="FootnoteReference"/>
        </w:rPr>
        <w:footnoteReference w:id="25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swoją rezolucję z dnia 10 marca 2022 r. w sprawie trzeciego unijnego planu działania w sprawie równości płci</w:t>
      </w:r>
      <w:r>
        <w:rPr>
          <w:rStyle w:val="FootnoteReference"/>
        </w:rPr>
        <w:footnoteReference w:id="26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swoją rezolucję z dnia 3 maja 2022 r. w sprawie osiągnięcia przez kobiety niezależności ekonomicznej dzięki przedsiębiorczości i samozatrudnieniu</w:t>
      </w:r>
      <w:r>
        <w:rPr>
          <w:rStyle w:val="FootnoteReference"/>
        </w:rPr>
        <w:footnoteReference w:id="27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swoją rezolucję z dnia 5 lipca 2022 r. pt. „W kierunku wspólnych europejskich działań w dziedzinie opieki”</w:t>
      </w:r>
      <w:r>
        <w:rPr>
          <w:rStyle w:val="FootnoteReference"/>
        </w:rPr>
        <w:footnoteReference w:id="28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swoją rezolucję z dnia 5 lipca 2022 r. w sprawie ubóstwa kobiet w Europie</w:t>
      </w:r>
      <w:r>
        <w:rPr>
          <w:rStyle w:val="FootnoteReference"/>
        </w:rPr>
        <w:footnoteReference w:id="29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swoją rezolucję z dnia 1 czerwca 2023 r. w sprawie w sprawie molestowania seksualnego w UE i oceny ruchu MeToo</w:t>
      </w:r>
      <w:r>
        <w:rPr>
          <w:rStyle w:val="FootnoteReference"/>
        </w:rPr>
        <w:footnoteReference w:id="30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swoją rezolucję z dnia 11 kwietnia 2024 r. w sprawie zapisania prawa do aborcji w Karcie praw podstawowych UE</w:t>
      </w:r>
      <w:r>
        <w:rPr>
          <w:rStyle w:val="FootnoteReference"/>
        </w:rPr>
        <w:footnoteReference w:id="31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swoje zalecenie dla Rady z dnia 19 grudnia 2024 r. w sprawie priorytetów UE na 69. sesję Komisji ONZ ds. Statusu Kobiet</w:t>
      </w:r>
      <w:r>
        <w:rPr>
          <w:rStyle w:val="FootnoteReference"/>
        </w:rPr>
        <w:footnoteReference w:id="32"/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sprawozdanie Agencji Praw Podstawowych Unii Europejskiej (FRA), Eurostatu i Europejskiego Instytutu ds. Równości Kobiet i Mężczyzn (EIGE) z 25 listopada 2024 r. pt. „EU gender-based violence survey: key results” [Unijne badanie dotyczące przemocy ze względu na płeć – najważniejsze ustalenia],</w:t>
      </w:r>
    </w:p>
    <w:p>
      <w:pPr>
        <w:pStyle w:val="NormalHanging12a"/>
      </w:pPr>
      <w:r>
        <w:t>–</w:t>
      </w:r>
      <w:r>
        <w:tab/>
      </w:r>
      <w:r>
        <w:t>uwzględniając wskaźnik równouprawnienia płci z 2024 r. opublikowany przez EIGE 10 grudnia 2024 r.,</w:t>
      </w:r>
    </w:p>
    <w:p>
      <w:pPr>
        <w:pStyle w:val="NormalHanging12a"/>
      </w:pPr>
      <w:r>
        <w:t>–</w:t>
      </w:r>
      <w:r>
        <w:tab/>
      </w:r>
      <w:r>
        <w:t>uwzględniając art. 55 Regulaminu,</w:t>
      </w:r>
    </w:p>
    <w:p>
      <w:pPr>
        <w:pStyle w:val="NormalHanging12a"/>
      </w:pPr>
      <w:r>
        <w:t>–</w:t>
      </w:r>
      <w:r>
        <w:tab/>
      </w:r>
      <w:r>
        <w:t xml:space="preserve">uwzględniając opinię przedstawioną przez </w:t>
      </w:r>
      <w:r>
        <w:t>Komisję Wolności Obywatelskich, Sprawiedliwości i Spraw Wewnętrznych</w:t>
      </w:r>
      <w:r>
        <w:t>,</w:t>
      </w:r>
    </w:p>
    <w:p>
      <w:pPr>
        <w:pStyle w:val="NormalHanging12a"/>
      </w:pPr>
      <w:r>
        <w:t>–</w:t>
      </w:r>
      <w:r>
        <w:tab/>
      </w:r>
      <w:r>
        <w:t>uwzględniając sprawozdanie Komisji Praw Kobiet i Równouprawnienia (A10-0000/2025),</w:t>
      </w:r>
    </w:p>
    <w:p>
      <w:pPr>
        <w:pStyle w:val="NormalHanging12a"/>
      </w:pPr>
      <w:r>
        <w:t>A.</w:t>
      </w:r>
      <w:r>
        <w:tab/>
      </w:r>
      <w:r>
        <w:t>mając na uwadze, że prawo do równego traktowania jest prawem podstawowym uznanym w Traktatach</w:t>
      </w:r>
      <w:r>
        <w:rPr>
          <w:rStyle w:val="FootnoteReference"/>
        </w:rPr>
        <w:footnoteReference w:id="33"/>
      </w:r>
      <w:r>
        <w:t xml:space="preserve"> i w Karcie praw podstawowych Unii Europejskiej, które jest niezwykle istotne dla jej dalszego rozwoju;</w:t>
      </w:r>
    </w:p>
    <w:p>
      <w:pPr>
        <w:pStyle w:val="NormalHanging12a"/>
      </w:pPr>
      <w:r>
        <w:t>B.</w:t>
      </w:r>
      <w:r>
        <w:tab/>
      </w:r>
      <w:r>
        <w:t>mając na uwadze, że równość płci jest podstawową wartością UE, prawem podstawowym i jedną z głównych zasad Europejskiego filaru praw socjalnych oraz niezbędnym warunkiem postępu;</w:t>
      </w:r>
    </w:p>
    <w:p>
      <w:pPr>
        <w:pStyle w:val="NormalHanging12a"/>
      </w:pPr>
      <w:r>
        <w:t>C.</w:t>
      </w:r>
      <w:r>
        <w:tab/>
      </w:r>
      <w:r>
        <w:t>mając na uwadze, że przemoc ze względu na płeć jest nadal zjawiskiem rozpowszechnionym na całym świecie, w tym w UE, i ma poważne konsekwencje dla ofiar i społeczeństwa;</w:t>
      </w:r>
    </w:p>
    <w:p>
      <w:pPr>
        <w:pStyle w:val="NormalHanging12a"/>
      </w:pPr>
      <w:r>
        <w:t>D.</w:t>
      </w:r>
      <w:r>
        <w:tab/>
      </w:r>
      <w:r>
        <w:t>mając na uwadze, że wszyscy mieszkańcy UE mają prawo dostępu do najwyższego poziomu ochrony zdrowia psychicznego i fizycznego;</w:t>
      </w:r>
    </w:p>
    <w:p>
      <w:pPr>
        <w:pStyle w:val="NormalHanging12a"/>
      </w:pPr>
      <w:r>
        <w:t>E.</w:t>
      </w:r>
      <w:r>
        <w:tab/>
      </w:r>
      <w:r>
        <w:t>mając na uwadze, że dysproporcje na rynku pracy oraz brak sprawiedliwych warunków pracy i bezpieczeństwa kobiet nadal utrzymują się w całej UE, a istniejąca luka płacowa między kobietami a mężczyznami jest w dużej mierze konsekwencją systematycznego zaniżania wartości pracy wykonywanej w sektorach zdominowanych przez kobiety; mając na uwadze, że w związku z tym należy zająć się kwestią „równego wynagrodzenia za pracę o równej wartości”, aby zlikwidować lukę płacową między kobietami a mężczyznami;</w:t>
      </w:r>
    </w:p>
    <w:p>
      <w:pPr>
        <w:pStyle w:val="NormalHanging12a"/>
      </w:pPr>
      <w:r>
        <w:t>F.</w:t>
      </w:r>
      <w:r>
        <w:tab/>
      </w:r>
      <w:r>
        <w:t>mając na uwadze, że nowe technologie cyfrowe są czynnikiem ryzyka dla równości płci i mogą utrwalać i pogłębiać istniejące wzorce nierówności płci, dyskryminacji i przemocy wobec kobiet i dziewcząt;</w:t>
      </w:r>
    </w:p>
    <w:p>
      <w:pPr>
        <w:pStyle w:val="NormalHanging12a"/>
      </w:pPr>
      <w:r>
        <w:t>G.</w:t>
      </w:r>
      <w:r>
        <w:tab/>
      </w:r>
      <w:r>
        <w:t>mając na uwadze, że w całej UE obowiązki opiekuńcze są wykonywane w nieproporcjonalnym stopniu przez kobiety, co przyczynia się do nierówności;</w:t>
      </w:r>
    </w:p>
    <w:p>
      <w:pPr>
        <w:pStyle w:val="NormalHanging12a"/>
      </w:pPr>
      <w:r>
        <w:t>H.</w:t>
      </w:r>
      <w:r>
        <w:tab/>
      </w:r>
      <w:r>
        <w:t>mając na uwadze, że badania pokazują, iż kobiety są niedostatecznie reprezentowane na wszystkich szczeblach podejmowania decyzji gospodarczych i politycznych na całym świecie oraz że osiągnięcie parytetu płci w życiu politycznym jest odległą perspektywą;</w:t>
      </w:r>
    </w:p>
    <w:p>
      <w:pPr>
        <w:pStyle w:val="NormalHanging12a"/>
      </w:pPr>
      <w:r>
        <w:t>I.</w:t>
      </w:r>
      <w:r>
        <w:tab/>
      </w:r>
      <w:r>
        <w:t>mając na uwadze, że wiele kobiet i słabszych grup społecznych, w tym osób z niepełnosprawnościami, osób znajdujących się w niekorzystnej sytuacji społeczno-ekonomicznej, osób dyskryminowanych na tle rasowym lub etnicznym, osób ze środowisk mniejszości lub migracyjnych, osób starszych i osób LGBTIQ+, boryka się z nierównościami krzyżowymi i dyskryminacją w UE;</w:t>
      </w:r>
    </w:p>
    <w:p>
      <w:pPr>
        <w:pStyle w:val="NormalHanging12a"/>
      </w:pPr>
      <w:r>
        <w:t>J.</w:t>
      </w:r>
      <w:r>
        <w:tab/>
      </w:r>
      <w:r>
        <w:t>mając na uwadze, że w planie działania na rzecz praw kobiet potwierdzono zdecydowane zaangażowanie UE w ochronę i promowanie równości płci i praw kobiet, określając zasady i długoterminową wizję rozwoju, na których będzie opierać się strategia na rzecz równouprawnienia płci na okres po 2025 r.;</w:t>
      </w:r>
    </w:p>
    <w:p>
      <w:pPr>
        <w:pStyle w:val="NormalHanging12a"/>
      </w:pPr>
      <w:r>
        <w:t>1.</w:t>
      </w:r>
      <w:r>
        <w:tab/>
      </w:r>
      <w:r>
        <w:t>wzywa Komisję, aby przedstawiła ambitną strategię na rzecz równouprawnienia płci na lata 2026–2030, która będzie zawierała konkretne, wymierne środki ustawodawcze i nieustawodawcze w najważniejszych obszarach wymienionych poniżej;</w:t>
      </w:r>
    </w:p>
    <w:p>
      <w:pPr>
        <w:pStyle w:val="Normal12a24b"/>
      </w:pPr>
      <w:r>
        <w:rPr>
          <w:rStyle w:val="BoldItalic"/>
        </w:rPr>
        <w:t>Przemoc ze względu na płeć</w:t>
      </w:r>
    </w:p>
    <w:p>
      <w:pPr>
        <w:pStyle w:val="NormalHanging12a"/>
      </w:pPr>
      <w:r>
        <w:t>2.</w:t>
      </w:r>
      <w:r>
        <w:tab/>
      </w:r>
      <w:r>
        <w:t>wzywa Komisję, aby uznała przemoc ze względu na płeć za nową dziedzinę przestępczości wymienioną w art. 83 ust. 1 TFUE w celu skutecznego zwalczania wszelkich form przemocy wobec kobiet i dziewcząt, które są jednymi z najpowszechniejszych naruszeń praw podstawowych w UE;</w:t>
      </w:r>
    </w:p>
    <w:p>
      <w:pPr>
        <w:pStyle w:val="NormalHanging12a"/>
      </w:pPr>
      <w:r>
        <w:t>3.</w:t>
      </w:r>
      <w:r>
        <w:tab/>
      </w:r>
      <w:r>
        <w:t>wzywa Komisję, aby uznała kobietobójstwo za odrębne przestępstwo;</w:t>
      </w:r>
    </w:p>
    <w:p>
      <w:pPr>
        <w:pStyle w:val="NormalHanging12a"/>
      </w:pPr>
      <w:r>
        <w:t>4.</w:t>
      </w:r>
      <w:r>
        <w:tab/>
      </w:r>
      <w:r>
        <w:t>wzywa Komisję, aby monitorowała i wspierała szybką transpozycję dyrektywy (UE) 2024/1385 w sprawie zwalczania przemocy wobec kobiet i przemocy domowej oraz przedstawiła swoje zalecenia w sprawie zapobiegania szkodliwym praktykom wobec kobiet i dziewcząt;</w:t>
      </w:r>
    </w:p>
    <w:p>
      <w:pPr>
        <w:pStyle w:val="NormalHanging12a"/>
      </w:pPr>
      <w:r>
        <w:t>5.</w:t>
      </w:r>
      <w:r>
        <w:tab/>
      </w:r>
      <w:r>
        <w:t>wzywa Komisję, aby przedstawiła propozycję przepisów UE, w których zgwałcenie będzie uznawane za przestępstwo ze względu na brak zgody; przypomina, że zgwałcenie jest nie tylko naruszeniem praw podstawowych kobiet i ich autonomii cielesnej, ale też formą wykorzystania seksualnego kobiet i dziewcząt;</w:t>
      </w:r>
    </w:p>
    <w:p>
      <w:pPr>
        <w:pStyle w:val="Normal12a24b"/>
      </w:pPr>
      <w:r>
        <w:rPr>
          <w:rStyle w:val="BoldItalic"/>
        </w:rPr>
        <w:t xml:space="preserve">Kompleksowa opieka zdrowotna uwzględniająca aspekt płci </w:t>
      </w:r>
    </w:p>
    <w:p>
      <w:pPr>
        <w:pStyle w:val="NormalHanging12a"/>
      </w:pPr>
      <w:r>
        <w:t>6.</w:t>
      </w:r>
      <w:r>
        <w:tab/>
      </w:r>
      <w:r>
        <w:t>wzywa Komisję, aby zapewniła kobietom i dziewczętom powszechny dostęp do opieki zdrowotnej uwzględniającej aspekt płci;</w:t>
      </w:r>
    </w:p>
    <w:p>
      <w:pPr>
        <w:pStyle w:val="NormalHanging12a"/>
      </w:pPr>
      <w:r>
        <w:t>7.</w:t>
      </w:r>
      <w:r>
        <w:tab/>
      </w:r>
      <w:r>
        <w:t>wzywa Komisję, aby zajęła się na szczeblu UE przeszkodami w dostępie do opieki zdrowotnej dla kobiet w całej ich różnorodności;</w:t>
      </w:r>
    </w:p>
    <w:p>
      <w:pPr>
        <w:pStyle w:val="NormalHanging12a"/>
      </w:pPr>
      <w:r>
        <w:t>8.</w:t>
      </w:r>
      <w:r>
        <w:tab/>
      </w:r>
      <w:r>
        <w:t>wzywa Komisję, aby zapewniła kobietom i dziewczętom w całej ich różnorodności pełny i równy dostęp do usług w zakresie zdrowia seksualnego i reprodukcyjnego, w tym prawo do bezpiecznej i legalnej aborcji;</w:t>
      </w:r>
    </w:p>
    <w:p>
      <w:pPr>
        <w:pStyle w:val="Normal12a24b"/>
      </w:pPr>
      <w:r>
        <w:rPr>
          <w:rStyle w:val="BoldItalic"/>
        </w:rPr>
        <w:t xml:space="preserve">Równouprawnienie płci i wzmocnienie pozycji kobiet w świecie pracy  </w:t>
      </w:r>
    </w:p>
    <w:p>
      <w:pPr>
        <w:pStyle w:val="NormalHanging12a"/>
      </w:pPr>
      <w:r>
        <w:t>9.</w:t>
      </w:r>
      <w:r>
        <w:tab/>
      </w:r>
      <w:r>
        <w:t>wzywa Komisję, aby monitorowała i wspierała szybką transpozycję dyrektywy w sprawie adekwatnych wynagrodzeń minimalnych</w:t>
      </w:r>
      <w:r>
        <w:rPr>
          <w:rStyle w:val="FootnoteReference"/>
        </w:rPr>
        <w:footnoteReference w:id="34"/>
      </w:r>
      <w:r>
        <w:t>, dyrektywy w sprawie przejrzystości wynagrodzeń</w:t>
      </w:r>
      <w:r>
        <w:rPr>
          <w:rStyle w:val="FootnoteReference"/>
        </w:rPr>
        <w:footnoteReference w:id="35"/>
      </w:r>
      <w:r>
        <w:t xml:space="preserve"> oraz dyrektywy w sprawie kobiet w zarządach</w:t>
      </w:r>
      <w:r>
        <w:rPr>
          <w:rStyle w:val="FootnoteReference"/>
        </w:rPr>
        <w:footnoteReference w:id="36"/>
      </w:r>
      <w:r>
        <w:t>;</w:t>
      </w:r>
    </w:p>
    <w:p>
      <w:pPr>
        <w:pStyle w:val="NormalHanging12a"/>
      </w:pPr>
      <w:r>
        <w:t>10.</w:t>
      </w:r>
      <w:r>
        <w:tab/>
      </w:r>
      <w:r>
        <w:t>wzywa Komisję, aby opracowała wytyczne umożliwiające ogólnounijne definiowanie i porównywanie „wartości pracy” oraz szybko ustanowiła narzędzia i kryteria oceny pracy, które będą neutralne pod względem płci, w celu lepszej oceny i bardziej sprawiedliwego wynagradzania pracy wykonywanej w sektorach zdominowanych przez kobiety;</w:t>
      </w:r>
    </w:p>
    <w:p>
      <w:pPr>
        <w:pStyle w:val="Normal12a24b"/>
      </w:pPr>
      <w:r>
        <w:rPr>
          <w:rStyle w:val="BoldItalic"/>
        </w:rPr>
        <w:t>Prawa kobiet i równouprawnienie płci w kształceniu, szkoleniu i środowisku cyfrowym</w:t>
      </w:r>
    </w:p>
    <w:p>
      <w:pPr>
        <w:pStyle w:val="NormalHanging12a"/>
      </w:pPr>
      <w:r>
        <w:t>11.</w:t>
      </w:r>
      <w:r>
        <w:tab/>
      </w:r>
      <w:r>
        <w:t>wzywa Komisję, aby uwzględniła aspekt płci przy zapewnianiu dostępu do wszystkich poziomów edukacji oraz opracowała wysokiej jakości normy dotyczące materiałów edukacyjnych promujących równouprawnienie płci i przełamujących stereotypy związane z płcią, włączając w to promowanie kompleksowej edukacji seksualnej oraz świadomości, że czynności seksualne nie mogą być podejmowane bez zgody;</w:t>
      </w:r>
    </w:p>
    <w:p>
      <w:pPr>
        <w:pStyle w:val="NormalHanging12a"/>
      </w:pPr>
      <w:r>
        <w:t>12.</w:t>
      </w:r>
      <w:r>
        <w:tab/>
      </w:r>
      <w:r>
        <w:t>wzywa Komisję, aby opracowała i przyjęła politykę zerowej tolerancji w środowisku cyfrowym dla wszystkich form przemocy ze względu na płeć, szkodliwych zachowań i narracji, które podważają i dyskredytują wypowiedzi kobiet i dziewcząt w internecie i poza nim, oraz traktowała priorytetowo środki zapobiegawcze i środki ochrony we wszystkich dziedzinach polityki cyfrowej;</w:t>
      </w:r>
    </w:p>
    <w:p>
      <w:pPr>
        <w:pStyle w:val="Normal12a24b"/>
      </w:pPr>
      <w:r>
        <w:rPr>
          <w:rStyle w:val="BoldItalic"/>
        </w:rPr>
        <w:t>Godzenie życia prywatnego i zawodowego</w:t>
      </w:r>
    </w:p>
    <w:p>
      <w:pPr>
        <w:pStyle w:val="NormalHanging12a"/>
      </w:pPr>
      <w:r>
        <w:t>13.</w:t>
      </w:r>
      <w:r>
        <w:tab/>
      </w:r>
      <w:r>
        <w:t>wzywa Komisję, aby przekształciła europejską strategię w dziedzinie opieki w kompleksowy europejski pakt na rzecz opieki, zawierający wiążące narzędzia ustawodawcze i finansowe służące inwestowaniu w dostępną i przystępną cenowo opiekę nad dziećmi i opiekę długoterminową wysokiej jakości;</w:t>
      </w:r>
    </w:p>
    <w:p>
      <w:pPr>
        <w:pStyle w:val="NormalHanging12a"/>
      </w:pPr>
      <w:r>
        <w:t>14.</w:t>
      </w:r>
      <w:r>
        <w:tab/>
      </w:r>
      <w:r>
        <w:t>podkreśla, że należy dążyć do unijnego systemu, w którym praca zarobkowa i praca opiekuńcza mają równą wartość, przeprowadzić przegląd i dostosowanie celów barcelońskich w tym zakresie, a także podejmować dalsze działania dotyczące urlopu macierzyńskiego i ojcowskiego w celu osiągnięcia większej równowagi płci w zakresie obowiązków opiekuńczych;</w:t>
      </w:r>
    </w:p>
    <w:p>
      <w:pPr>
        <w:pStyle w:val="Normal12a24b"/>
      </w:pPr>
      <w:r>
        <w:rPr>
          <w:rStyle w:val="BoldItalic"/>
        </w:rPr>
        <w:t xml:space="preserve">Równa reprezentacja i równy udział w życiu politycznym </w:t>
      </w:r>
    </w:p>
    <w:p>
      <w:pPr>
        <w:pStyle w:val="NormalHanging12a"/>
      </w:pPr>
      <w:r>
        <w:t>15.</w:t>
      </w:r>
      <w:r>
        <w:tab/>
      </w:r>
      <w:r>
        <w:t>wzywa Komisję, aby egzekwowała parytet płci określony w przepisach oraz system suwakowy oparty na parytecie płci podczas ustalania list we wszystkich wyborach, a także zapewniła parytet płci na wszystkich szczeblach podejmowania decyzji w instytucjach;</w:t>
      </w:r>
    </w:p>
    <w:p>
      <w:pPr>
        <w:pStyle w:val="Normal12a24b"/>
      </w:pPr>
      <w:r>
        <w:rPr>
          <w:rStyle w:val="BoldItalic"/>
        </w:rPr>
        <w:t>Feministyczna polityka zagraniczna</w:t>
      </w:r>
    </w:p>
    <w:p>
      <w:pPr>
        <w:pStyle w:val="NormalHanging12a"/>
      </w:pPr>
      <w:r>
        <w:t>16.</w:t>
      </w:r>
      <w:r>
        <w:tab/>
      </w:r>
      <w:r>
        <w:t>wzywa Komisję, aby propagowała politykę zagraniczną, politykę bezpieczeństwa, politykę handlową i politykę rozwoju, której priorytetem jest równouprawnienie płci zgodnie z zasadą trzech R – rights, representation and resources [reprezentacja, prawa kobiet oraz zasoby];</w:t>
      </w:r>
    </w:p>
    <w:p>
      <w:pPr>
        <w:pStyle w:val="Normal12a24b"/>
      </w:pPr>
      <w:r>
        <w:rPr>
          <w:rStyle w:val="BoldItalic"/>
        </w:rPr>
        <w:t>Przeciwdziałanie</w:t>
      </w:r>
      <w:r>
        <w:rPr>
          <w:rStyle w:val="BoldItalic"/>
        </w:rPr>
        <w:t xml:space="preserve"> ruchom antygenderowym</w:t>
      </w:r>
    </w:p>
    <w:p>
      <w:pPr>
        <w:pStyle w:val="NormalHanging12a"/>
      </w:pPr>
      <w:r>
        <w:t>17.</w:t>
      </w:r>
      <w:r>
        <w:tab/>
      </w:r>
      <w:r>
        <w:t>wzywa Komisję, aby opracowała kompleksowe narzędzie monitorowania i przeciwdziałania regresowi demokracji oraz regresowi w zakresie praw kobiet, które są ze sobą nieodłącznie powiązane, oraz dopilnowała, by równouprawnienie płci pozostało priorytetem w całej UE;</w:t>
      </w:r>
    </w:p>
    <w:p>
      <w:pPr>
        <w:pStyle w:val="Normal12a24b"/>
      </w:pPr>
      <w:r>
        <w:rPr>
          <w:rStyle w:val="BoldItalic"/>
        </w:rPr>
        <w:t>Przekrojowe sposoby</w:t>
      </w:r>
      <w:r>
        <w:t xml:space="preserve"> </w:t>
      </w:r>
      <w:r>
        <w:rPr>
          <w:rStyle w:val="BoldItalic"/>
        </w:rPr>
        <w:t>osiągnięcia równouprawnienia płci</w:t>
      </w:r>
    </w:p>
    <w:p>
      <w:pPr>
        <w:pStyle w:val="NormalHanging12a"/>
      </w:pPr>
      <w:r>
        <w:t>18.</w:t>
      </w:r>
      <w:r>
        <w:tab/>
      </w:r>
      <w:r>
        <w:t>przypomina, że wszelkie działania na rzecz osiągnięcia postępów w zakresie równouprawnienia płci trzeba podejmować z pełnym poszanowaniem zasad intersekcjonalności i z uwzględnieniem aspektu płci;</w:t>
      </w:r>
    </w:p>
    <w:p>
      <w:pPr>
        <w:pStyle w:val="NormalHanging12a"/>
      </w:pPr>
      <w:r>
        <w:t>19.</w:t>
      </w:r>
      <w:r>
        <w:tab/>
      </w:r>
      <w:r>
        <w:t>wzywa Komisję, aby uwzględniała aspekt płci w swoich strukturach, metodach i narzędziach oraz dalej rozwijała jego uwzględnianie, a także dopilnowała, aby uwzględniano perspektywę płci we wszystkich wnioskach Komisji, w tym we wszystkich procedurach budżetowych;</w:t>
      </w:r>
    </w:p>
    <w:p>
      <w:pPr>
        <w:pStyle w:val="NormalHanging12a"/>
      </w:pPr>
      <w:r>
        <w:t>20.</w:t>
      </w:r>
      <w:r>
        <w:tab/>
      </w:r>
      <w:r>
        <w:t>wzywa Komisję, aby stosowała intersekcjonalność jako zasadę przekrojową i rozwijała ją dalej w nowej strategii na rzecz równouprawnienia płci;</w:t>
      </w:r>
    </w:p>
    <w:p>
      <w:pPr>
        <w:pStyle w:val="NormalCenter12a"/>
      </w:pPr>
      <w:r>
        <w:t>°</w:t>
      </w:r>
    </w:p>
    <w:p>
      <w:pPr>
        <w:pStyle w:val="NormalCenter12a"/>
      </w:pPr>
      <w:r>
        <w:t>°</w:t>
      </w:r>
      <w:r>
        <w:tab/>
      </w:r>
      <w:r>
        <w:t>°</w:t>
      </w:r>
    </w:p>
    <w:p>
      <w:pPr>
        <w:pStyle w:val="NormalHanging12a"/>
      </w:pPr>
      <w:r>
        <w:t>21.</w:t>
      </w:r>
      <w:r>
        <w:tab/>
      </w:r>
      <w:r>
        <w:t>zobowiązuje swoją przewodniczącą do przekazania niniejszej rezolucji Radzie i Komisji.</w:t>
      </w:r>
    </w:p>
    <w:p>
      <w:pPr>
        <w:pStyle w:val="NormalHanging12a"/>
        <w:sectPr>
          <w:footerReference w:type="even" r:id="rId9"/>
          <w:footerReference w:type="default" r:id="rId10"/>
          <w:footerReference w:type="first" r:id="rId11"/>
          <w:footnotePr>
            <w:numRestart w:val="eachSect"/>
          </w:footnotePr>
          <w:pgSz w:w="11906" w:h="16838"/>
          <w:pgMar w:top="1134" w:right="1417" w:bottom="1417" w:left="1417" w:header="1134" w:footer="567" w:gutter="0"/>
          <w:cols w:num="1" w:space="708"/>
          <w:titlePg/>
          <w:docGrid w:linePitch="360"/>
        </w:sectPr>
      </w:pPr>
    </w:p>
    <w:p>
      <w:pPr>
        <w:pStyle w:val="PageHeading"/>
      </w:pPr>
      <w:bookmarkStart w:id="1" w:name="_Toc256000004"/>
      <w:r>
        <w:t>UZASADNIENIE</w:t>
      </w:r>
      <w:bookmarkEnd w:id="1"/>
    </w:p>
    <w:p>
      <w:pPr>
        <w:pStyle w:val="Normal12a"/>
      </w:pPr>
      <w:r>
        <w:t xml:space="preserve">Równouprawnienie płci jest jedną z </w:t>
      </w:r>
      <w:r>
        <w:rPr>
          <w:rStyle w:val="Bold"/>
        </w:rPr>
        <w:t>podstawowych wartości</w:t>
      </w:r>
      <w:r>
        <w:t xml:space="preserve"> Unii Europejskiej. Wraz z prawami kobiet są one nieodzownymi i niepodzielnymi prawami człowieka. Stanowią podstawę i cel praworządności na szczeblu krajowym, europejskim i międzynarodowym. Są również najbardziej adekwatnymi i odpowiednimi wskaźnikami stanu i odporności naszych demokracji.</w:t>
      </w:r>
    </w:p>
    <w:p>
      <w:pPr>
        <w:pStyle w:val="Normal12a"/>
      </w:pPr>
      <w:r>
        <w:t xml:space="preserve">W obecnym kontekście geopolitycznym i przy zachodzących obecnie globalnych procesach przedstawienie </w:t>
      </w:r>
      <w:r>
        <w:rPr>
          <w:rStyle w:val="Bold"/>
        </w:rPr>
        <w:t>ambitnego programu na rzecz praw kobiet i równouprawnienia płci</w:t>
      </w:r>
      <w:r>
        <w:t xml:space="preserve"> jest ważniejsze niż kiedykolwiek wcześniej. Niniejsze sprawozdanie powstało zatem w bardzo istotnym momencie dla Unii Europejskiej. Nowa europejska strategia na rzecz równouprawnienia płci na okres po 2025 r. musi być zgodna ze standardami określonymi w poprzednich latach. W jej ramach należy też kontynuować szeroko zakrojone działania na rzecz osiągnięcia </w:t>
      </w:r>
      <w:r>
        <w:rPr>
          <w:rStyle w:val="Bold"/>
        </w:rPr>
        <w:t xml:space="preserve">równouprawnienia płci na wszystkich szczeblach i we wszystkich obszarach, dla wszystkich osób bez dyskryminacji. </w:t>
      </w:r>
      <w:r>
        <w:t xml:space="preserve">Ponadto elementem nowej strategii musi być podjęcie </w:t>
      </w:r>
      <w:r>
        <w:rPr>
          <w:rStyle w:val="Bold"/>
        </w:rPr>
        <w:t>zdecydowanych działań w zakresie wdrażania</w:t>
      </w:r>
      <w:r>
        <w:t xml:space="preserve"> wcześniej przyjętych przepisów.</w:t>
      </w:r>
      <w:r>
        <w:rPr>
          <w:rStyle w:val="Bold"/>
        </w:rPr>
        <w:t xml:space="preserve"> </w:t>
      </w:r>
    </w:p>
    <w:p>
      <w:pPr>
        <w:pStyle w:val="Normal12a"/>
      </w:pPr>
      <w:r>
        <w:t xml:space="preserve">Nowa strategia zacznie obowiązywać w czasach, gdy ruchy antygenderowe i antydemokratyczne zyskują poparcie. W związku z tym tekst, który przedstawi Komisja, musi </w:t>
      </w:r>
      <w:r>
        <w:rPr>
          <w:rStyle w:val="Bold"/>
        </w:rPr>
        <w:t xml:space="preserve">odzwierciedlać wyraźne zaangażowanie instytucji w ochronę i dalszy rozwój ram na rzecz równouprawnienia płci, a tym samym w ochronę naszej demokracji, oraz zawierać konkretne zobowiązania w tym zakresie. </w:t>
      </w:r>
      <w:r>
        <w:t xml:space="preserve">Nie ma demokracji bez równego i silnego udziału i zaangażowania kobiet oraz dziewcząt, a ci, którzy starają się zniszczyć nasze ramy instytucjonalne, atakują prawa kobiet. Demokracja i prawa kobiet są ze sobą powiązane, a ich ochrona wymaga </w:t>
      </w:r>
      <w:r>
        <w:rPr>
          <w:rStyle w:val="Bold"/>
        </w:rPr>
        <w:t>reakcji na szczeblu europejskim.</w:t>
      </w:r>
      <w:r>
        <w:t xml:space="preserve"> Należy podjąć działania we wszystkich obszarach polityki, na wszystkich szczeblach, z wyraźnym </w:t>
      </w:r>
      <w:r>
        <w:rPr>
          <w:rStyle w:val="Bold"/>
        </w:rPr>
        <w:t>uwzględnieniem aspektu płci.</w:t>
      </w:r>
    </w:p>
    <w:p>
      <w:pPr>
        <w:pStyle w:val="Normal12a"/>
      </w:pPr>
      <w:r>
        <w:t>Świat bardzo się zmienił od czasu przyjęcia ostatniej strategii na rzecz równouprawnienia płci</w:t>
      </w:r>
      <w:r>
        <w:rPr>
          <w:rStyle w:val="FootnoteReference"/>
        </w:rPr>
        <w:footnoteReference w:id="37"/>
      </w:r>
      <w:r>
        <w:t xml:space="preserve">. Należy odpowiednio zająć się nowymi kwestiami, takimi jak przemoc wobec kobiet i dziewcząt oraz ich nękanie w środowisku cyfrowym i w świecie pracy, potrzeba budowania pokoju w ramach feministycznej polityki zagranicznej oraz ochrona zdrowia seksualnego i reprodukcyjnego i praw w tym zakresie, w tym dostępu do bezpiecznej i legalnej aborcji, jako podstawowych praw człowieka. Trzeba również uwzględnić w naszej polityce </w:t>
      </w:r>
      <w:r>
        <w:rPr>
          <w:rStyle w:val="Bold"/>
        </w:rPr>
        <w:t>podejście intersekcjonalne</w:t>
      </w:r>
      <w:r>
        <w:t>, ponieważ doskonale zdajemy sobie sprawę, że niektóre grupy w UE, np. migrantki, osoby LGBTIQ, kobiety romskie czy kobiety z niepełnosprawnościami, spotykają się z wieloma krzyżującymi się formami dyskryminacji. To my musimy zająć się odpowiednio i szybko tymi kwestiami.</w:t>
      </w:r>
    </w:p>
    <w:p>
      <w:pPr>
        <w:pStyle w:val="Normal12a"/>
      </w:pPr>
      <w:r>
        <w:t xml:space="preserve">Przedstawiony niedawno </w:t>
      </w:r>
      <w:r>
        <w:rPr>
          <w:rStyle w:val="Bold"/>
        </w:rPr>
        <w:t>plan działania na rzecz praw kobiet</w:t>
      </w:r>
      <w:r>
        <w:rPr>
          <w:rStyle w:val="FootnoteReference"/>
        </w:rPr>
        <w:footnoteReference w:id="38"/>
      </w:r>
      <w:r>
        <w:t xml:space="preserve"> jest krokiem we właściwym kierunku. Uwzględniono w nim wiele problemów, z którymi obecnie się mierzymy, dotyczących praw kobiet. Jednak w nowej strategii na rzecz równouprawnienia płci należy zawrzeć konkretne ustawodawcze i nieustawodawcze środki, które przybliżą nas do społeczeństwa prawdziwie równego pod względem płci.</w:t>
      </w:r>
    </w:p>
    <w:p>
      <w:pPr>
        <w:pStyle w:val="Normal12a"/>
      </w:pPr>
      <w:r>
        <w:t xml:space="preserve">Zgodnie z definicją Europejskiego Instytutu ds. Równości Kobiet i Mężczyzn do </w:t>
      </w:r>
      <w:r>
        <w:rPr>
          <w:rStyle w:val="Bold"/>
        </w:rPr>
        <w:t>przemocy ze względu na płeć</w:t>
      </w:r>
      <w:r>
        <w:t xml:space="preserve"> zalicza się wszystkie rodzaje przemocy, takie jak przemoc fizyczna, emocjonalna, finansowa czy reprodukcyjna. Ponadto, chociaż każdy może być ofiarą przemocy ze względu na płeć, jej ofiarami są w przeważającej mierze kobiety</w:t>
      </w:r>
      <w:r>
        <w:rPr>
          <w:rStyle w:val="FootnoteReference"/>
        </w:rPr>
        <w:footnoteReference w:id="39"/>
      </w:r>
      <w:r>
        <w:t>. W najnowszym Wskaźniku równouprawnienia płci</w:t>
      </w:r>
      <w:r>
        <w:rPr>
          <w:rStyle w:val="FootnoteReference"/>
        </w:rPr>
        <w:footnoteReference w:id="40"/>
      </w:r>
      <w:r>
        <w:t xml:space="preserve"> skoncentrowano się przede wszystkim na przemocy ze względu na płeć. Dane pokazują, że 31 % kobiet w UE doświadczyło przemocy fizycznej lub seksualnej po ukończeniu 15. roku życia. Świadczy to o tym, że chociaż w UE poczyniono postępy legislacyjne i nielegislacyjne</w:t>
      </w:r>
      <w:r>
        <w:rPr>
          <w:rStyle w:val="FootnoteReference"/>
        </w:rPr>
        <w:footnoteReference w:id="41"/>
      </w:r>
      <w:r>
        <w:t xml:space="preserve">, </w:t>
      </w:r>
      <w:r>
        <w:rPr>
          <w:rStyle w:val="Bold"/>
        </w:rPr>
        <w:t>przemoc ze względu na płeć</w:t>
      </w:r>
      <w:r>
        <w:t xml:space="preserve"> pozostaje jednym z kluczowych wyzwań, które uniemożliwiają stworzenie społeczeństwa prawdziwie równego pod względem płci, i jest nadal bardzo powszechnym problemem w całej Unii. Należy podjąć dalsze działania na szczeblu europejskim i </w:t>
      </w:r>
      <w:r>
        <w:rPr>
          <w:rStyle w:val="Bold"/>
        </w:rPr>
        <w:t>określić ją jasno jako przestępstwo UE</w:t>
      </w:r>
      <w:r>
        <w:t xml:space="preserve">. Najnowsze dane pokazują, że wdrażanie obowiązujących przepisów, np. </w:t>
      </w:r>
      <w:r>
        <w:rPr>
          <w:rStyle w:val="Bold"/>
        </w:rPr>
        <w:t>dyrektywy w sprawie zwalczania przemocy wobec kobiet i przemocy domowej</w:t>
      </w:r>
      <w:r>
        <w:t xml:space="preserve">, jest pilną kwestią, którą należy odpowiednio przemyśleć i monitorować. Trzeba również przeformułować i dalej rozwinąć niektóre aspekty poprzednich prac legislacyjnych, np. definicje oparte na braku zgody. Ponadto należy </w:t>
      </w:r>
      <w:r>
        <w:rPr>
          <w:rStyle w:val="Bold"/>
        </w:rPr>
        <w:t>dodać zgwałcenie do wykazu przestępstw UE, uznać kobietobójstwo za przestępstwo odrębne od zabójstwa</w:t>
      </w:r>
      <w:r>
        <w:t>, a także zwrócić uwagę na niektóre mniej znane rodzaje przemocy ze względu na płeć, np. przemoc położniczą czy odmowę opieki aborcyjnej. Oczekujemy także widocznych postępów w sprawie zaleceń dotyczących szkodliwych praktyk.</w:t>
      </w:r>
    </w:p>
    <w:p>
      <w:pPr>
        <w:pStyle w:val="Normal12a"/>
      </w:pPr>
      <w:r>
        <w:t xml:space="preserve">Wszyscy mieszkańcy UE mają prawo dostępu do </w:t>
      </w:r>
      <w:r>
        <w:rPr>
          <w:rStyle w:val="Bold"/>
        </w:rPr>
        <w:t>najwyższego poziomu ochrony zdrowia psychicznego i fizycznego</w:t>
      </w:r>
      <w:r>
        <w:t xml:space="preserve">, a przy określaniu i realizacji wszystkich polityk i działań Unii należy zapewnić </w:t>
      </w:r>
      <w:r>
        <w:rPr>
          <w:rStyle w:val="Bold"/>
        </w:rPr>
        <w:t>wysoki poziom ochrony zdrowia ludzkiego</w:t>
      </w:r>
      <w:r>
        <w:rPr>
          <w:rStyle w:val="FootnoteReference"/>
        </w:rPr>
        <w:footnoteReference w:id="42"/>
      </w:r>
      <w:r>
        <w:t>. Prawo dostępu do opieki zdrowotnej jest zapisane w Europejskim filarze praw socjalnych (zasada 16). W planie działania na rzecz tego filaru zachęcamy państwa członkowskie do zwalczania nierówności w zakresie zdrowia. Wskaźnik równouprawnienia płci pokazuje powolne postępy w zakresie równouprawnienia płci w obszarze zdrowia, przy czym odsetek kobiet i mężczyzn, którzy postrzegają swoje zdrowie jako bardzo dobre lub dobre, spada w dwóch trzecich państw członkowskich. Ponadto badania nad wieloma schorzeniami powiązanymi z płcią biologiczną i płcią społeczno-kulturową nie są traktowane priorytetowo i nie otrzymują wystarczającego finansowania i zasobów</w:t>
      </w:r>
      <w:r>
        <w:rPr>
          <w:rStyle w:val="FootnoteReference"/>
        </w:rPr>
        <w:footnoteReference w:id="43"/>
      </w:r>
      <w:r>
        <w:t>.</w:t>
      </w:r>
    </w:p>
    <w:p>
      <w:pPr>
        <w:pStyle w:val="Normal12a"/>
      </w:pPr>
      <w:r>
        <w:rPr>
          <w:rStyle w:val="Bold"/>
        </w:rPr>
        <w:t>Zdrowie i prawa seksualne i reprodukcyjne</w:t>
      </w:r>
      <w:r>
        <w:t xml:space="preserve"> są jednym z najważniejszych zagadnień w dyskusji o prawach człowieka. Są one także nierozerwalnie związane z realizacją podstawowego prawa do zdrowia, a także z osiągnięciem równouprawnienia płci i eliminacją przemocy ze względu na płeć. Autonomia cielesna danej osoby oraz prawo do decydowania o swoim ciele i życiu są niezbędne do osiągnięcia równouprawnienia płci. Łamanie praw w zakresie zdrowia reprodukcyjnego i seksualnego stanowi naruszenie praw człowieka. Wszystkie wyzwania związane z prawami w zakresie zdrowia reprodukcyjnego i seksualnego, przed którymi stoją państwa członkowskie, są jednocześnie wspólnymi europejskimi wyzwaniami. To kwestia zarówno praw człowieka, jak i zdrowia, dlatego wymaga jednolitego podejścia. Światowa Organizacja Zdrowia uznaje potrzebę powszechnego dostępu do opieki zdrowotnej w zakresie zdrowia seksualnego i reprodukcyjnego za element prawa do ochrony zdrowia. Naszym celem jest stworzenie strategii na rzecz równouprawnienia płci, która zapewni powszechny dostęp do kompleksowej, dostosowanej do wieku i opartej na dowodach edukacji na temat seksualności i związków, dostępnych, bezpiecznych i bezpłatnych metod i środków antykoncepcyjnych wysokiej jakości, poradnictwa w zakresie planowania rodziny, leczenia bezpłodności oraz informacji na temat antykoncepcji, a także bezpłatnej, bezpiecznej i legalnej opieki aborcyjnej.</w:t>
      </w:r>
    </w:p>
    <w:p>
      <w:pPr>
        <w:pStyle w:val="Normal12a"/>
      </w:pPr>
      <w:r>
        <w:t xml:space="preserve">Aby przezwyciężyć istniejące nierówności na </w:t>
      </w:r>
      <w:r>
        <w:rPr>
          <w:rStyle w:val="Bold"/>
        </w:rPr>
        <w:t>europejskim rynku pracy</w:t>
      </w:r>
      <w:r>
        <w:t>, należy podjąć pilne i kompleksowe działania. Jedna na trzy kobiety w UE nie ma pracy zarobkowej. Ponadto kobiety zdecydowanie częściej niż mężczyźni pracują w niepełnym wymiarze czasu pracy. Praca kobiet jest tradycyjnie niedoceniana, a segregacja płciowa jest nadal znaczącym zjawiskiem, przy czym kobiety są nadmiernie reprezentowane w mniej dochodowych sektorach.</w:t>
      </w:r>
      <w:r>
        <w:rPr>
          <w:rStyle w:val="Bold"/>
        </w:rPr>
        <w:t xml:space="preserve"> Wzmocnienie pozycji kobiet w świecie pracy</w:t>
      </w:r>
      <w:r>
        <w:t xml:space="preserve"> jest niezbędne dla silnej konkurencyjnej gospodarki. To także istotny krok dla rozwoju społecznego i gospodarczego. Niezbędna jest zatem szybka transpozycja </w:t>
      </w:r>
      <w:r>
        <w:rPr>
          <w:rStyle w:val="Bold"/>
        </w:rPr>
        <w:t>dyrektywy w sprawie przejrzystości wynagrodzeń</w:t>
      </w:r>
      <w:r>
        <w:t xml:space="preserve">, z naciskiem na zbadanie sposobów rozszerzenia jej zakresu. Ponadto należy wdrożyć zarówno </w:t>
      </w:r>
      <w:r>
        <w:rPr>
          <w:rStyle w:val="Bold"/>
        </w:rPr>
        <w:t xml:space="preserve">dyrektywę w sprawie adekwatnych wynagrodzeń minimalnych </w:t>
      </w:r>
      <w:r>
        <w:t>oraz</w:t>
      </w:r>
      <w:r>
        <w:rPr>
          <w:rStyle w:val="Bold"/>
        </w:rPr>
        <w:t xml:space="preserve"> dyrektywę w sprawie kobiet w zarządach</w:t>
      </w:r>
      <w:r>
        <w:t>. W niniejszym sprawozdaniu uznano, że główną przyczyną luki płacowej między kobietami a mężczyznami jest to, że wynagrodzenia w sektorach zdominowanych przez kobiety (opieka, opieka zdrowotna, edukacja, handel detaliczny) są systematycznie niższe w porównaniu z wynagrodzeniami w sektorach zdominowanych przez mężczyzn. Prowadzi to do tego, że sektory te nie są atrakcyjne dla mężczyzn, i wzmacnia szkodliwe normy oraz stereotypy. Trzeba pilnie opracować wytyczne umożliwiające zdefiniowanie i porównanie „</w:t>
      </w:r>
      <w:r>
        <w:rPr>
          <w:rStyle w:val="Italic"/>
        </w:rPr>
        <w:t>wartości pracy</w:t>
      </w:r>
      <w:r>
        <w:t>” oraz stworzyć narzędzia i kryteria oceny pracy, które będą neutralne pod względem płci w celu lepszej oceny i bardziej sprawiedliwego wynagradzania pracy w sektorach zdominowanych przez kobiety. Należy też zająć się kwestią bezpieczeństwa w miejscu pracy, zarówno w kontekście pracy stacjonarnej, jak i zdalnej.</w:t>
      </w:r>
    </w:p>
    <w:p>
      <w:pPr>
        <w:pStyle w:val="Normal12a"/>
      </w:pPr>
      <w:r>
        <w:rPr>
          <w:rStyle w:val="Bold"/>
        </w:rPr>
        <w:t>Kształcenie i szkolenie mają zasadnicze znaczenie dla równouprawnienia płci</w:t>
      </w:r>
      <w:r>
        <w:t xml:space="preserve"> oraz dla zdolności wszystkich osób do dostosowania się do zmian na rynku pracy, a zdobycie wykształcenia wyższego umożliwia dostęp do jakościowych ofert pracy. Obecnie w Unii Europejskiej nadal obecne jest zjawisko horyzontalnej i wertykalnej segregacji płciowej w edukacji, które wpływa niekorzystnie na równouprawnienie płci. W związku z tym kobietom trzeba zapewnić pełny i niezakłócony dostęp do kształcenia i szkolenia oraz wspierać ich udział w kształceniu w dziedzinie STEM oraz we wszystkich innych dziedzinach nauki i obszarach zawodowych. Szacuje się, że w UE pracuje 8 mln specjalistów w dziedzinie ICT, ale tylko 17 % z nich to kobiety. Na całym świecie tylko 22 % specjalistów w dziedzinie sztucznej inteligencji to kobiety. Znaczenie tych dziedzin i związanych z nimi miejsc pracy rośnie i musimy dopilnować, aby kobiety nie zostały pominięte i były bezpieczne w środowisku cyfrowym, w tym podczas zajmowania się kwestią algorytmów i innych obecnych narzędzi. Mając świadomość, że obecna struktura własności prywatnej i ważne podmioty wśród dużych platform internetowych stworzyły cyfrowy świat, który szkodzi prawom kobiet i równouprawnieniu płci, musimy być w stanie rozwiązać ten problem i chronić wszystkie kobiety i dziewczęta w UE. Należy również zachęcać mężczyzn do podejmowania pracy w sektorach zdominowanych przez kobiety poprzez lepsze warunki pracy i godziwe wynagrodzenie. W nowej strategii na rzecz równouprawnienia płci trzeba opracować ramy, które stworzą bezpieczne przestrzenie do nauki dla dziewcząt i chłopców, edukując rodziców i nauczycieli o stereotypach związanych z płcią oraz ustanawiając pozytywne wzorce do naśladowania dla kobiet i feministycznych mężczyzn.</w:t>
      </w:r>
    </w:p>
    <w:p>
      <w:pPr>
        <w:pStyle w:val="Normal12a"/>
      </w:pPr>
      <w:r>
        <w:rPr>
          <w:rStyle w:val="Bold"/>
        </w:rPr>
        <w:t>Obowiązki związane z opieką</w:t>
      </w:r>
      <w:r>
        <w:t xml:space="preserve"> nad dziećmi i innymi osobami niesamodzielnymi są istotnym ograniczeniem dla udziału kobiet w rynku pracy. Nieodpłatne obowiązki opiekuńcze uniemożliwiają około 7,7 mln kobiet w UE uczestnictwo w rynku pracy, w porównaniu z zaledwie 450 000 mężczyzn. Na poziomie gospodarstw domowych nierównomierny podział nieodpłatnej pracy opiekuńczej między kobietami i mężczyznami ogranicza równe uczestnictwo kobiet w rynku pracy oraz ich szanse w zakresie rozwoju kariery zawodowej. W nowej strategii należy zająć się tą sytuacją, ponieważ szkodzi ona osiągnięciu prawdziwie sprawiedliwych ram </w:t>
      </w:r>
      <w:r>
        <w:rPr>
          <w:rStyle w:val="Bold"/>
        </w:rPr>
        <w:t>równowagi między życiem zawodowym a prywatnym</w:t>
      </w:r>
      <w:r>
        <w:t xml:space="preserve">. Chcemy dążyć do społeczeństwa w którym praca zarobkowa i praca opiekuńcza mają równą wartość. W związku z tym musimy ściśle monitorować, oceniać i, w razie potrzeby, rozwijać </w:t>
      </w:r>
      <w:r>
        <w:rPr>
          <w:rStyle w:val="Bold"/>
        </w:rPr>
        <w:t>dyrektywę w sprawie równowagi między życiem zawodowym a prywatnym</w:t>
      </w:r>
      <w:r>
        <w:t xml:space="preserve">. Trzeba również przedstawić </w:t>
      </w:r>
      <w:r>
        <w:rPr>
          <w:rStyle w:val="Bold"/>
        </w:rPr>
        <w:t>europejski pakt na rzecz opieki</w:t>
      </w:r>
      <w:r>
        <w:t>, oparty na europejskiej strategii w dziedzinie opieki, z wiążącym ustawodawstwem i finansowaniem na poziomie UE. Kobiety są obciążone różnymi rodzajami opieki, dlatego musimy wyrównać szanse na szczeblu europejskim.</w:t>
      </w:r>
    </w:p>
    <w:p>
      <w:pPr>
        <w:pStyle w:val="Normal12a"/>
      </w:pPr>
      <w:r>
        <w:t xml:space="preserve">Zróżnicowane grupy podejmują lepsze decyzje, które bardziej sprzyjają włączeniu społecznemu i są bardziej zrównoważone. Tylko decyzje uwzględniające opinie wszystkich są w stanie utorować drogę ku lepszej przyszłości dla wszystkich, a </w:t>
      </w:r>
      <w:r>
        <w:rPr>
          <w:rStyle w:val="Bold"/>
        </w:rPr>
        <w:t>kobiety na stanowiskach decyzyjnych</w:t>
      </w:r>
      <w:r>
        <w:t xml:space="preserve"> są ważnymi wzorami do naśladowania i pomagają kształtować ramy dla równej przyszłości. Musimy zająć się lukami między kobietami i mężczyznami na stanowiskach decyzyjnych zarówno na szczeblu politycznym, jak i gospodarczym, a także walczyć z nierównościami instytucjonalnymi, które uniemożliwiają kobietom pełne wykorzystanie ich potencjału.</w:t>
      </w:r>
    </w:p>
    <w:p>
      <w:pPr>
        <w:pStyle w:val="Normal12a"/>
      </w:pPr>
      <w:r>
        <w:t xml:space="preserve">W czasach narastających globalnych konfliktów i niepewności </w:t>
      </w:r>
      <w:r>
        <w:rPr>
          <w:rStyle w:val="Bold"/>
        </w:rPr>
        <w:t>unijna polityka zagraniczna, obronna i bezpieczeństwa musi promować równość płci</w:t>
      </w:r>
      <w:r>
        <w:t>, a do jej horyzontalnych zasad i najważniejszych celów muszą należeć zapewnienie poszanowania praw kobiet i osiągnięcie równouprawnienia płci. W naszej polityce zewnętrznej musimy być w stanie realizować misję budowania pokoju, a do tego niezbędne jest równe uczestnictwo kobiet w roli przywódczyń i zainteresowanych stron. Priorytetem wszystkich unijnych strategii reagowania na konflikty, a także wszelkich narzędzi i mechanizmów reagowania kryzysowego musi być program wspierania i ochrony praw kobiet, jak również wsparcie dla działaczek, pedagożek i przywódczyń w strefach konfliktu. Zasada trzech R – rights, representation and resources [reprezentacja, prawa kobiet oraz zasoby] musi mieć zastosowanie do wszystkich działań zewnętrznych UE.</w:t>
      </w:r>
    </w:p>
    <w:p>
      <w:pPr>
        <w:pStyle w:val="Normal12a"/>
        <w:sectPr>
          <w:footnotePr>
            <w:numRestart w:val="eachSect"/>
          </w:footnotePr>
          <w:type w:val="nextPage"/>
          <w:pgSz w:w="11906" w:h="16838"/>
          <w:pgMar w:top="1134" w:right="1417" w:bottom="1417" w:left="1417" w:header="1134" w:footer="567" w:gutter="0"/>
          <w:cols w:num="1" w:space="708"/>
          <w:titlePg w:val="0"/>
          <w:docGrid w:linePitch="360"/>
        </w:sectPr>
      </w:pPr>
    </w:p>
    <w:p>
      <w:pPr>
        <w:pStyle w:val="PageHeading"/>
      </w:pPr>
      <w:bookmarkStart w:id="2" w:name="_Toc256000005"/>
      <w:r>
        <w:t xml:space="preserve">ZAŁĄCZNIK: PODMIOTY LUB OSOBY, </w:t>
        <w:br/>
        <w:t>OD KTÓRYCH SPRAWOZDAWCA OTRZYMAŁ INFORMACJE</w:t>
      </w:r>
      <w:bookmarkEnd w:id="2"/>
    </w:p>
    <w:p>
      <w:pPr>
        <w:pStyle w:val="Normal12a"/>
      </w:pPr>
      <w:r>
        <w:rPr>
          <w:rStyle w:val="HideTWBExt"/>
        </w:rPr>
        <w:t>&lt;</w:t>
      </w:r>
      <w:r>
        <w:rPr>
          <w:rStyle w:val="HideTWBExt"/>
        </w:rPr>
        <w:t>FootprintIntro</w:t>
      </w:r>
      <w:r>
        <w:rPr>
          <w:rStyle w:val="HideTWBExt"/>
        </w:rPr>
        <w:t>&gt;</w:t>
      </w:r>
      <w:r>
        <w:t>Zgodnie z art. 8 załącznika I do Regulaminu Parlamentu sprawozdawca oświadcza, że przy sporządzaniu projektu sprawozdania otrzymał informacje od następujących podmiotów lub osób:</w:t>
      </w:r>
      <w:r>
        <w:rPr>
          <w:rStyle w:val="HideTWBExt"/>
        </w:rPr>
        <w:t>&lt;/</w:t>
      </w:r>
      <w:r>
        <w:rPr>
          <w:rStyle w:val="HideTWBExt"/>
        </w:rPr>
        <w:t>FootprintIntro</w:t>
      </w:r>
      <w:r>
        <w:rPr>
          <w:rStyle w:val="HideTWBExt"/>
        </w:rPr>
        <w:t>&gt;</w:t>
      </w:r>
    </w:p>
    <w:tbl>
      <w:tblPr>
        <w:jc w:val="center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060"/>
      </w:tblGrid>
      <w:tr>
        <w:tblPrEx>
          <w:jc w:val="center"/>
          <w:tblBorders>
            <w:top w:val="single" w:sz="8" w:space="0" w:color="000000"/>
            <w:left w:val="single" w:sz="8" w:space="0" w:color="000000"/>
            <w:bottom w:val="single" w:sz="8" w:space="0" w:color="000000"/>
            <w:right w:val="single" w:sz="8" w:space="0" w:color="000000"/>
            <w:insideH w:val="single" w:sz="8" w:space="0" w:color="000000"/>
            <w:insideV w:val="single" w:sz="8" w:space="0" w:color="00000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pPr>
              <w:pStyle w:val="NormalCenter"/>
            </w:pPr>
            <w:r>
              <w:rPr>
                <w:rStyle w:val="Bold"/>
              </w:rPr>
              <w:t>Podmiot lub osoba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European Parliamentary Forum for Sexual &amp; Reproductive Rights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The International Planned Parenthood Federation (IPPF) European Network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Center for Reproductive Rights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European Women’s Lobby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Foundation for European Progressive Studies (FEPS)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European Institute for Gender Equality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B.a.B.e. Budi aktivna. Budi emancipiran.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Fertility Europe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Center for Women Victims of War (ROSA)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The Directorate-General for Justice and Consumers (DG JUST) of the European Commission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European Trade Union Confederation (ETUC)</w:t>
            </w:r>
          </w:p>
        </w:tc>
      </w:tr>
      <w:tr>
        <w:tblPrEx>
          <w:jc w:val="center"/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cantSplit w:val="0"/>
          <w:trHeight w:hRule="auto" w:val="0"/>
          <w:jc w:val="center"/>
        </w:trPr>
        <w:tc>
          <w:tcPr>
            <w:tcW w:w="9060" w:type="dxa"/>
            <w:vAlign w:val="top"/>
          </w:tcPr>
          <w:p>
            <w:r>
              <w:t>European Public Service Union (EPSU)</w:t>
            </w:r>
          </w:p>
        </w:tc>
      </w:tr>
    </w:tbl>
    <w:p/>
    <w:p>
      <w:pPr>
        <w:pStyle w:val="Normal12a"/>
      </w:pPr>
      <w:r>
        <w:t>Powyższy wykaz został sporządzony na wyłączną odpowiedzialność sprawozdawcy.</w:t>
      </w:r>
    </w:p>
    <w:p>
      <w:pPr>
        <w:pStyle w:val="Normal12a"/>
      </w:pPr>
      <w:r>
        <w:t>Gdy osoby fizyczne są wymienione w wykazie z imienia i nazwiska, zidentyfikowane poprzez swoją funkcję lub wymienione z imienia i nazwiska wraz z podaniem ich funkcji, sprawozdawca oświadcza, że przedstawił tym osobom fizycznym Oświadczenie o ochronie prywatności w Parlamencie Europejskim nr 484 (</w:t>
      </w:r>
      <w:hyperlink r:id="rId12" w:history="1">
        <w:r>
          <w:rPr>
            <w:rStyle w:val="Hyperlink"/>
          </w:rPr>
          <w:t>https://www.europarl.europa.eu/data-protect/index.do</w:t>
        </w:r>
      </w:hyperlink>
      <w:r>
        <w:rPr>
          <w:rStyle w:val="DefaultParagraphFont"/>
          <w:b w:val="0"/>
          <w:i w:val="0"/>
          <w:u w:val="none"/>
        </w:rPr>
        <w:t>), w którym przedstawione są warunki mające zastosowanie do przetwarzania danych osobowych tych osób oraz prawa związane z takim przetwarzaniem.</w:t>
      </w:r>
    </w:p>
    <w:p>
      <w:pPr>
        <w:pStyle w:val="Normal12a"/>
      </w:pPr>
    </w:p>
    <w:sectPr>
      <w:footnotePr>
        <w:numRestart w:val="eachSect"/>
      </w:footnotePr>
      <w:type w:val="nextPage"/>
      <w:pgSz w:w="11906" w:h="16838"/>
      <w:pgMar w:top="1134" w:right="1417" w:bottom="1417" w:left="1417" w:header="1134" w:footer="567" w:gutter="0"/>
      <w:cols w:num="1"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t>PE</w:t>
    </w:r>
    <w:r>
      <w:rPr>
        <w:rStyle w:val="HideTWBExt"/>
      </w:rPr>
      <w:t>&lt;</w:t>
    </w:r>
    <w:r>
      <w:rPr>
        <w:rStyle w:val="HideTWBExt"/>
      </w:rPr>
      <w:t>NoPE</w:t>
    </w:r>
    <w:r>
      <w:rPr>
        <w:rStyle w:val="HideTWBExt"/>
      </w:rPr>
      <w:t>&gt;</w:t>
    </w:r>
    <w:r>
      <w:t>770.090</w:t>
    </w:r>
    <w:r>
      <w:rPr>
        <w:rStyle w:val="HideTWBExt"/>
      </w:rPr>
      <w:t>&lt;/</w:t>
    </w:r>
    <w:r>
      <w:rPr>
        <w:rStyle w:val="HideTWBExt"/>
      </w:rPr>
      <w:t>NoPE</w:t>
    </w:r>
    <w:r>
      <w:rPr>
        <w:rStyle w:val="HideTWBExt"/>
      </w:rPr>
      <w:t>&gt;</w:t>
    </w:r>
    <w:r>
      <w:rPr>
        <w:rStyle w:val="HideTWBExt"/>
      </w:rPr>
      <w:t>&lt;</w:t>
    </w:r>
    <w:r>
      <w:rPr>
        <w:rStyle w:val="HideTWBExt"/>
      </w:rPr>
      <w:t>Version</w:t>
    </w:r>
    <w:r>
      <w:rPr>
        <w:rStyle w:val="HideTWBExt"/>
      </w:rPr>
      <w:t>&gt;</w:t>
    </w:r>
    <w:r>
      <w:t>v01-00</w:t>
    </w:r>
    <w:r>
      <w:rPr>
        <w:rStyle w:val="HideTWBExt"/>
      </w:rPr>
      <w:t>&lt;/</w:t>
    </w:r>
    <w:r>
      <w:rPr>
        <w:rStyle w:val="HideTWBExt"/>
      </w:rPr>
      <w:t>Version</w:t>
    </w:r>
    <w:r>
      <w:rPr>
        <w:rStyle w:val="HideTWBExt"/>
      </w:rPr>
      <w:t>&gt;</w:t>
    </w:r>
    <w:r>
      <w:tab/>
    </w:r>
    <w:r>
      <w:fldChar w:fldCharType="begin"/>
    </w:r>
    <w:r>
      <w:instrText>PAGE</w:instrText>
    </w:r>
    <w:r>
      <w:fldChar w:fldCharType="separate"/>
    </w:r>
    <w:r>
      <w:t>14</w:t>
    </w:r>
    <w:r>
      <w:fldChar w:fldCharType="end"/>
    </w:r>
    <w:r>
      <w:t>/</w:t>
    </w:r>
    <w:r>
      <w:fldChar w:fldCharType="begin"/>
    </w:r>
    <w:r>
      <w:instrText>NUMPAGES</w:instrText>
    </w:r>
    <w:r>
      <w:fldChar w:fldCharType="separate"/>
    </w:r>
    <w:r>
      <w:t>15</w:t>
    </w:r>
    <w:r>
      <w:fldChar w:fldCharType="end"/>
    </w:r>
    <w:r>
      <w:tab/>
    </w:r>
    <w:r>
      <w:rPr>
        <w:rStyle w:val="HideTWBExt"/>
      </w:rPr>
      <w:t>&lt;</w:t>
    </w:r>
    <w:r>
      <w:rPr>
        <w:rStyle w:val="HideTWBExt"/>
      </w:rPr>
      <w:t>PathFdR</w:t>
    </w:r>
    <w:r>
      <w:rPr>
        <w:rStyle w:val="HideTWBExt"/>
      </w:rPr>
      <w:t>&gt;</w:t>
    </w:r>
    <w:r>
      <w:t>PR\1316271PL.docx</w:t>
    </w:r>
    <w:r>
      <w:rPr>
        <w:rStyle w:val="HideTWBExt"/>
      </w:rPr>
      <w:t>&lt;/</w:t>
    </w:r>
    <w:r>
      <w:rPr>
        <w:rStyle w:val="HideTWBExt"/>
      </w:rPr>
      <w:t>PathFdR</w:t>
    </w:r>
    <w:r>
      <w:rPr>
        <w:rStyle w:val="HideTWBExt"/>
      </w:rPr>
      <w:t>&gt;</w:t>
    </w:r>
  </w:p>
  <w:p>
    <w:pPr>
      <w:pStyle w:val="EPFooter2"/>
    </w:pPr>
    <w:r>
      <w:t>PL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</w:t>
    </w:r>
    <w:r>
      <w:rPr>
        <w:rStyle w:val="HideTWBExt"/>
      </w:rPr>
      <w:t>PathFdR</w:t>
    </w:r>
    <w:r>
      <w:rPr>
        <w:rStyle w:val="HideTWBExt"/>
      </w:rPr>
      <w:t>&gt;</w:t>
    </w:r>
    <w:r>
      <w:t>PR\1316271PL.docx</w:t>
    </w:r>
    <w:r>
      <w:rPr>
        <w:rStyle w:val="HideTWBExt"/>
      </w:rPr>
      <w:t>&lt;/</w:t>
    </w:r>
    <w:r>
      <w:rPr>
        <w:rStyle w:val="HideTWBExt"/>
      </w:rPr>
      <w:t>PathFdR</w:t>
    </w:r>
    <w:r>
      <w:rPr>
        <w:rStyle w:val="HideTWBExt"/>
      </w:rPr>
      <w:t>&gt;</w:t>
    </w:r>
    <w:r>
      <w:tab/>
    </w:r>
    <w:r>
      <w:fldChar w:fldCharType="begin"/>
    </w:r>
    <w:r>
      <w:instrText>PAGE</w:instrText>
    </w:r>
    <w:r>
      <w:fldChar w:fldCharType="separate"/>
    </w:r>
    <w:r>
      <w:t>15</w:t>
    </w:r>
    <w:r>
      <w:fldChar w:fldCharType="end"/>
    </w:r>
    <w:r>
      <w:t>/</w:t>
    </w:r>
    <w:r>
      <w:fldChar w:fldCharType="begin"/>
    </w:r>
    <w:r>
      <w:instrText>NUMPAGES</w:instrText>
    </w:r>
    <w:r>
      <w:fldChar w:fldCharType="separate"/>
    </w:r>
    <w:r>
      <w:t>15</w:t>
    </w:r>
    <w:r>
      <w:fldChar w:fldCharType="end"/>
    </w:r>
    <w:r>
      <w:tab/>
    </w:r>
    <w:r>
      <w:t>PE</w:t>
    </w:r>
    <w:r>
      <w:rPr>
        <w:rStyle w:val="HideTWBExt"/>
      </w:rPr>
      <w:t>&lt;</w:t>
    </w:r>
    <w:r>
      <w:rPr>
        <w:rStyle w:val="HideTWBExt"/>
      </w:rPr>
      <w:t>NoPE</w:t>
    </w:r>
    <w:r>
      <w:rPr>
        <w:rStyle w:val="HideTWBExt"/>
      </w:rPr>
      <w:t>&gt;</w:t>
    </w:r>
    <w:r>
      <w:t>770.090</w:t>
    </w:r>
    <w:r>
      <w:rPr>
        <w:rStyle w:val="HideTWBExt"/>
      </w:rPr>
      <w:t>&lt;/</w:t>
    </w:r>
    <w:r>
      <w:rPr>
        <w:rStyle w:val="HideTWBExt"/>
      </w:rPr>
      <w:t>NoPE</w:t>
    </w:r>
    <w:r>
      <w:rPr>
        <w:rStyle w:val="HideTWBExt"/>
      </w:rPr>
      <w:t>&gt;</w:t>
    </w:r>
    <w:r>
      <w:rPr>
        <w:rStyle w:val="HideTWBExt"/>
      </w:rPr>
      <w:t>&lt;</w:t>
    </w:r>
    <w:r>
      <w:rPr>
        <w:rStyle w:val="HideTWBExt"/>
      </w:rPr>
      <w:t>Version</w:t>
    </w:r>
    <w:r>
      <w:rPr>
        <w:rStyle w:val="HideTWBExt"/>
      </w:rPr>
      <w:t>&gt;</w:t>
    </w:r>
    <w:r>
      <w:t>v01-00</w:t>
    </w:r>
    <w:r>
      <w:rPr>
        <w:rStyle w:val="HideTWBExt"/>
      </w:rPr>
      <w:t>&lt;/</w:t>
    </w:r>
    <w:r>
      <w:rPr>
        <w:rStyle w:val="HideTWBExt"/>
      </w:rPr>
      <w:t>Version</w:t>
    </w:r>
    <w:r>
      <w:rPr>
        <w:rStyle w:val="HideTWBExt"/>
      </w:rPr>
      <w:t>&gt;</w:t>
    </w:r>
  </w:p>
  <w:p>
    <w:pPr>
      <w:pStyle w:val="EPFooter2"/>
    </w:pPr>
    <w:r>
      <w:tab/>
    </w:r>
    <w:r>
      <w:tab/>
    </w:r>
    <w:r>
      <w:t>PL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EPFooter"/>
    </w:pPr>
    <w:r>
      <w:rPr>
        <w:rStyle w:val="HideTWBExt"/>
      </w:rPr>
      <w:t>&lt;</w:t>
    </w:r>
    <w:r>
      <w:rPr>
        <w:rStyle w:val="HideTWBExt"/>
      </w:rPr>
      <w:t>PathFdR</w:t>
    </w:r>
    <w:r>
      <w:rPr>
        <w:rStyle w:val="HideTWBExt"/>
      </w:rPr>
      <w:t>&gt;</w:t>
    </w:r>
    <w:r>
      <w:t>PR\1316271PL.docx</w:t>
    </w:r>
    <w:r>
      <w:rPr>
        <w:rStyle w:val="HideTWBExt"/>
      </w:rPr>
      <w:t>&lt;/</w:t>
    </w:r>
    <w:r>
      <w:rPr>
        <w:rStyle w:val="HideTWBExt"/>
      </w:rPr>
      <w:t>PathFdR</w:t>
    </w:r>
    <w:r>
      <w:rPr>
        <w:rStyle w:val="HideTWBExt"/>
      </w:rPr>
      <w:t>&gt;</w:t>
    </w:r>
    <w:r>
      <w:tab/>
    </w:r>
    <w:r>
      <w:tab/>
    </w:r>
    <w:r>
      <w:t>PE</w:t>
    </w:r>
    <w:r>
      <w:rPr>
        <w:rStyle w:val="HideTWBExt"/>
      </w:rPr>
      <w:t>&lt;</w:t>
    </w:r>
    <w:r>
      <w:rPr>
        <w:rStyle w:val="HideTWBExt"/>
      </w:rPr>
      <w:t>NoPE</w:t>
    </w:r>
    <w:r>
      <w:rPr>
        <w:rStyle w:val="HideTWBExt"/>
      </w:rPr>
      <w:t>&gt;</w:t>
    </w:r>
    <w:r>
      <w:t>770.090</w:t>
    </w:r>
    <w:r>
      <w:rPr>
        <w:rStyle w:val="HideTWBExt"/>
      </w:rPr>
      <w:t>&lt;/</w:t>
    </w:r>
    <w:r>
      <w:rPr>
        <w:rStyle w:val="HideTWBExt"/>
      </w:rPr>
      <w:t>NoPE</w:t>
    </w:r>
    <w:r>
      <w:rPr>
        <w:rStyle w:val="HideTWBExt"/>
      </w:rPr>
      <w:t>&gt;</w:t>
    </w:r>
    <w:r>
      <w:rPr>
        <w:rStyle w:val="HideTWBExt"/>
      </w:rPr>
      <w:t>&lt;</w:t>
    </w:r>
    <w:r>
      <w:rPr>
        <w:rStyle w:val="HideTWBExt"/>
      </w:rPr>
      <w:t>Version</w:t>
    </w:r>
    <w:r>
      <w:rPr>
        <w:rStyle w:val="HideTWBExt"/>
      </w:rPr>
      <w:t>&gt;</w:t>
    </w:r>
    <w:r>
      <w:t>v01-00</w:t>
    </w:r>
    <w:r>
      <w:rPr>
        <w:rStyle w:val="HideTWBExt"/>
      </w:rPr>
      <w:t>&lt;/</w:t>
    </w:r>
    <w:r>
      <w:rPr>
        <w:rStyle w:val="HideTWBExt"/>
      </w:rPr>
      <w:t>Version</w:t>
    </w:r>
    <w:r>
      <w:rPr>
        <w:rStyle w:val="HideTWBExt"/>
      </w:rPr>
      <w:t>&gt;</w:t>
    </w:r>
  </w:p>
  <w:p>
    <w:pPr>
      <w:pStyle w:val="EPFooter2"/>
    </w:pPr>
    <w:r>
      <w:t>PL</w:t>
    </w:r>
    <w:r>
      <w:tab/>
    </w:r>
    <w:r>
      <w:rPr>
        <w:rStyle w:val="EPFooter2Motto"/>
      </w:rPr>
      <w:t>Zjednoczeni w różnorodności</w:t>
    </w:r>
    <w:r>
      <w:tab/>
    </w:r>
    <w:r>
      <w:t>PL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>
      <w:pPr>
        <w:spacing w:after="0" w:line="240" w:lineRule="auto"/>
      </w:pPr>
      <w:r>
        <w:separator/>
      </w:r>
    </w:p>
  </w:footnote>
  <w:footnote w:type="continuationSeparator" w:id="1">
    <w:p>
      <w:pPr>
        <w:spacing w:after="0" w:line="240" w:lineRule="auto"/>
      </w:pPr>
      <w:r>
        <w:continuationSeparator/>
      </w:r>
    </w:p>
  </w:footnote>
  <w:footnote w:id="2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" w:history="1">
        <w:r>
          <w:rPr>
            <w:color w:val="0000FF"/>
            <w:u w:val="single" w:color="0000FF"/>
          </w:rPr>
          <w:t>Dyrektywa Rady 79/7/EWG z dnia 19 grudnia 1978 r. w sprawie stopniowego wprowadzania w życie zasady równego traktowania kobiet i mężczyzn w dziedzinie zabezpieczenia społecznego, Dz.U. L 6 z 10.1.1979, s. 24, ELI: http://data.europa.eu/eli/dir/1979/7/oj.</w:t>
        </w:r>
      </w:hyperlink>
    </w:p>
  </w:footnote>
  <w:footnote w:id="3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" w:history="1">
        <w:r>
          <w:rPr>
            <w:color w:val="0000FF"/>
            <w:u w:val="single" w:color="0000FF"/>
          </w:rPr>
          <w:t>Dyrektywa Rady 86/613/EWG z dnia 11 grudnia 1986 r. w sprawie stosowania zasady równego traktowania kobiet i mężczyzn pracujących na własny rachunek, w tym w rolnictwie, oraz w sprawie ochrony kobiet pracujących na własny rachunek w okresie ciąży i macierzyństwa, Dz.U. L 359 z 19.12.1986, s. 56, ELI: http://data.europa.eu/eli/dir/1986/613/oj.</w:t>
        </w:r>
      </w:hyperlink>
    </w:p>
  </w:footnote>
  <w:footnote w:id="4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3" w:history="1">
        <w:r>
          <w:rPr>
            <w:color w:val="0000FF"/>
            <w:u w:val="single" w:color="0000FF"/>
          </w:rPr>
          <w:t>Dyrektywa Rady 92/85/EWG z dnia 19 października 1992 r. w sprawie wprowadzenia środków służących wspieraniu poprawy w miejscu pracy bezpieczeństwa i zdrowia pracownic w ciąży, pracownic, które niedawno rodziły, i pracownic karmiących piersią, Dz.U. L 348 z 28.11.1992, s. 1, ELI: http://data.europa.eu/eli/dir/1992/85/oj.</w:t>
        </w:r>
      </w:hyperlink>
    </w:p>
  </w:footnote>
  <w:footnote w:id="5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4" w:history="1">
        <w:r>
          <w:rPr>
            <w:color w:val="0000FF"/>
            <w:u w:val="single" w:color="0000FF"/>
          </w:rPr>
          <w:t>Dyrektywa Rady 2004/113/WE z dnia 13 grudnia 2004 r. wprowadzająca w życie zasadę równego traktowania mężczyzn i kobiet w zakresie dostępu do towarów i usług oraz dostarczania towarów i usług, Dz.U. L 373 z 21.12.2004, s. 37, ELI: http://data.europa.eu/eli/dir/2004/113/oj.</w:t>
        </w:r>
      </w:hyperlink>
    </w:p>
  </w:footnote>
  <w:footnote w:id="6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5" w:history="1">
        <w:r>
          <w:rPr>
            <w:color w:val="0000FF"/>
            <w:u w:val="single" w:color="0000FF"/>
          </w:rPr>
          <w:t>Dyrektywa 2006/54/WE Parlamentu Europejskiego i Rady z dnia 5 lipca 2006 r. w sprawie wprowadzenia w życie zasady równości szans oraz równego traktowania kobiet i mężczyzn w dziedzinie zatrudnienia i pracy, Dz.U. L 204 z 26.7.2006, s. 23, ELI: http://data.europa.eu/eli/dir/2006/54/oj.</w:t>
        </w:r>
      </w:hyperlink>
    </w:p>
  </w:footnote>
  <w:footnote w:id="7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6" w:history="1">
        <w:r>
          <w:rPr>
            <w:color w:val="0000FF"/>
            <w:u w:val="single" w:color="0000FF"/>
          </w:rPr>
          <w:t>Dyrektywa Parlamentu Europejskiego i Rady 2010/41/UE z dnia 7 lipca 2010 r. w sprawie stosowania zasady równego traktowania kobiet i mężczyzn prowadzących działalność na własny rachunek, Dz.U. L 180 z 15.7.2010, s. 1, ELI: http://data.europa.eu/eli/dir/2010/41/oj.</w:t>
        </w:r>
      </w:hyperlink>
    </w:p>
  </w:footnote>
  <w:footnote w:id="8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7" w:history="1">
        <w:r>
          <w:rPr>
            <w:color w:val="0000FF"/>
            <w:u w:val="single" w:color="0000FF"/>
          </w:rPr>
          <w:t>Dz.U. L 188 z 12.7.2019, s. 79, ELI: http://data.europa.eu/eli/dir/2019/1158/oj.</w:t>
        </w:r>
      </w:hyperlink>
    </w:p>
  </w:footnote>
  <w:footnote w:id="9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8" w:history="1">
        <w:r>
          <w:rPr>
            <w:color w:val="0000FF"/>
            <w:u w:val="single" w:color="0000FF"/>
          </w:rPr>
          <w:t>Dz.U. L 315 z 7.12.2022, s. 44, ELI: http://data.europa.eu/eli/dir/2022/2381/oj.</w:t>
        </w:r>
      </w:hyperlink>
    </w:p>
  </w:footnote>
  <w:footnote w:id="10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9" w:history="1">
        <w:r>
          <w:rPr>
            <w:color w:val="0000FF"/>
            <w:u w:val="single" w:color="0000FF"/>
          </w:rPr>
          <w:t>Dz.U. L 132 z 17.5.2023, s. 21, ELI: http://data.europa.eu/eli/dir/2023/970/oj.</w:t>
        </w:r>
      </w:hyperlink>
    </w:p>
  </w:footnote>
  <w:footnote w:id="11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0" w:history="1">
        <w:r>
          <w:rPr>
            <w:color w:val="0000FF"/>
            <w:u w:val="single" w:color="0000FF"/>
          </w:rPr>
          <w:t>Dz.U. L, 2024/1385, 24.5.2024, ELI: http://data.europa.eu/eli/dir/2024/1385/oj.</w:t>
        </w:r>
      </w:hyperlink>
    </w:p>
  </w:footnote>
  <w:footnote w:id="12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1" w:history="1">
        <w:r>
          <w:rPr>
            <w:color w:val="0000FF"/>
            <w:u w:val="single" w:color="0000FF"/>
          </w:rPr>
          <w:t>Dz.U. L, 2024/1500, 29.5.2024, ELI: http://data.europa.eu/eli/dir/2024/1500/oj.</w:t>
        </w:r>
      </w:hyperlink>
    </w:p>
  </w:footnote>
  <w:footnote w:id="13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2" w:history="1">
        <w:r>
          <w:rPr>
            <w:color w:val="0000FF"/>
            <w:u w:val="single" w:color="0000FF"/>
          </w:rPr>
          <w:t>Dz.U. L, 2024/1712, 24.6.2024, ELI: http://data.europa.eu/eli/dir/2024/1712/oj.</w:t>
        </w:r>
      </w:hyperlink>
    </w:p>
  </w:footnote>
  <w:footnote w:id="14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Dz.U. C 449 z 23.12.2020, s. 102.</w:t>
      </w:r>
    </w:p>
  </w:footnote>
  <w:footnote w:id="15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Dz.U. C 232 z 16.6.2021, s. 48.</w:t>
      </w:r>
    </w:p>
  </w:footnote>
  <w:footnote w:id="16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Dz.U. C 331 z 17.8.2021, s. 5.</w:t>
      </w:r>
    </w:p>
  </w:footnote>
  <w:footnote w:id="17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Dz.U. C 404 z 6.10.2021, s. 202.</w:t>
      </w:r>
    </w:p>
  </w:footnote>
  <w:footnote w:id="18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Dz.U. C 456 z 10.11.2021, s. 208.</w:t>
      </w:r>
    </w:p>
  </w:footnote>
  <w:footnote w:id="19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Dz.U. C 456 z 10.11.2021, s. 232.</w:t>
      </w:r>
    </w:p>
  </w:footnote>
  <w:footnote w:id="20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Dz.U. C 465 z 17.11.2021, s. 160.</w:t>
      </w:r>
    </w:p>
  </w:footnote>
  <w:footnote w:id="21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Dz.U. C 67 z 8.2.2022, s. 137.</w:t>
      </w:r>
    </w:p>
  </w:footnote>
  <w:footnote w:id="22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Dz.U. C 81 z 18.2.2022, s. 43.</w:t>
      </w:r>
    </w:p>
  </w:footnote>
  <w:footnote w:id="23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Dz.U. C 117 z 11.3.2022, s. 88.</w:t>
      </w:r>
    </w:p>
  </w:footnote>
  <w:footnote w:id="24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Dz.U. C 251 z 30.6.2022, s. 2.</w:t>
      </w:r>
    </w:p>
  </w:footnote>
  <w:footnote w:id="25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Dz.U. C 251 z 30.6.2022, s. 23.</w:t>
      </w:r>
    </w:p>
  </w:footnote>
  <w:footnote w:id="26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Dz.U. C 347 z 9.9.2022, s. 150.</w:t>
      </w:r>
    </w:p>
  </w:footnote>
  <w:footnote w:id="27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Dz.U. C 465 z 6.12.2022, s. 54.</w:t>
      </w:r>
    </w:p>
  </w:footnote>
  <w:footnote w:id="28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Dz.U. C 47 z 7.2.2023, s. 30.</w:t>
      </w:r>
    </w:p>
  </w:footnote>
  <w:footnote w:id="29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Dz.U. C 47 z 7.2.2023, s. 2.</w:t>
      </w:r>
    </w:p>
  </w:footnote>
  <w:footnote w:id="30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3" w:history="1">
        <w:r>
          <w:rPr>
            <w:color w:val="0000FF"/>
            <w:u w:val="single" w:color="0000FF"/>
          </w:rPr>
          <w:t>Dz.U. C, C/2023/1224, 21.12.2023, ELI: http://data.europa.eu/eli/C/2023/1224/oj.</w:t>
        </w:r>
      </w:hyperlink>
    </w:p>
  </w:footnote>
  <w:footnote w:id="31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4" w:history="1">
        <w:r>
          <w:rPr>
            <w:color w:val="0000FF"/>
            <w:u w:val="single" w:color="0000FF"/>
          </w:rPr>
          <w:t>Dz.U. C, C/2025/1279, 13.3.2025, ELI: http://data.europa.eu/eli/C/2025/1279/oj.</w:t>
        </w:r>
      </w:hyperlink>
    </w:p>
  </w:footnote>
  <w:footnote w:id="32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Teksty przyjęte, P10_TA(2024)0075.</w:t>
      </w:r>
    </w:p>
  </w:footnote>
  <w:footnote w:id="33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Art. 2 i art. 3 ust. 3 Traktatu o Unii Europejskiej, art. 8, 10, 19 i 157 Traktatu o funkcjonowaniu Unii Europejskiej i art. 21 i 23 Karty praw podstawowych Unii Europejskiej.</w:t>
      </w:r>
    </w:p>
  </w:footnote>
  <w:footnote w:id="34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Dyrektywa Parlamentu Europejskiego i Rady (UE) 2022/2041 z dnia 19 października 2022 r. w sprawie adekwatnych wynagrodzeń minimalnych w Unii Europejskiej, Dz.U. L 275 z 25.10.2022, s. 33,ELI: http://data.europa.eu/eli/dir/2022/2041/oj).</w:t>
      </w:r>
    </w:p>
  </w:footnote>
  <w:footnote w:id="35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Dyrektywa (UE) 2023/970.</w:t>
      </w:r>
    </w:p>
  </w:footnote>
  <w:footnote w:id="36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Dyrektywa (UE) 2022/2381.</w:t>
      </w:r>
    </w:p>
  </w:footnote>
  <w:footnote w:id="37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Dz.U. C 364 z 28.10.2020, s. 77–86.</w:t>
      </w:r>
    </w:p>
  </w:footnote>
  <w:footnote w:id="38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Komunikat Komisji pt. „Plan działania na rzecz praw kobiet” (COM(2025) 97 final).</w:t>
      </w:r>
    </w:p>
  </w:footnote>
  <w:footnote w:id="39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15" w:history="1">
        <w:r>
          <w:rPr>
            <w:color w:val="0000FF"/>
            <w:u w:val="single" w:color="0000FF"/>
          </w:rPr>
          <w:t>https://eige.europa.eu/gender-based-violence</w:t>
        </w:r>
      </w:hyperlink>
    </w:p>
  </w:footnote>
  <w:footnote w:id="40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Wskaźnik równouprawnienia płci z 2024 r.: zwalczanie przemocy wobec kobiet, przeciwdziałanie nierównemu traktowaniu płci, opublikowany w 2025 r.</w:t>
      </w:r>
    </w:p>
  </w:footnote>
  <w:footnote w:id="41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Takie jak przyjęcie dyrektywy w sprawie zwalczania przemocy wobec kobiet i przemocy domowej oraz przystąpienie UE do Konwencji Rady Europy o zapobieganiu i zwalczaniu przemocy wobec kobiet i przemocy domowej (konwencji stambulskiej)</w:t>
      </w:r>
    </w:p>
  </w:footnote>
  <w:footnote w:id="42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Dz.U. C 326 z 26.10.2012, s. 391–407.</w:t>
      </w:r>
    </w:p>
  </w:footnote>
  <w:footnote w:id="43">
    <w:p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>
        <w:t>EIGE (2025), Impact driver: marking milestones and opportunities for gender equality in the EU [Motor zmian: kamienie milowe w zakresie równości płci i możliwości na jej w UE], Urząd Publikacji Unii Europejskiej, Luksemburg (publikacja wkrótce).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654581"/>
    <w:multiLevelType w:val="hybridMultilevel"/>
    <w:tmpl w:val="F16C6036"/>
    <w:lvl w:ilvl="0">
      <w:start w:val="1"/>
      <w:numFmt w:val="bullet"/>
      <w:pStyle w:val="Normal12aBulle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D6C09CF"/>
    <w:multiLevelType w:val="hybridMultilevel"/>
    <w:tmpl w:val="0DAA9F68"/>
    <w:lvl w:ilvl="0">
      <w:start w:val="1"/>
      <w:numFmt w:val="bullet"/>
      <w:pStyle w:val="Normal12aBullet2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grammar="clean"/>
  <w:stylePaneFormatFilter w:val="3F01"/>
  <w:defaultTabStop w:val="720"/>
  <w:evenAndOddHeaders/>
  <w:noPunctuationKerning/>
  <w:characterSpacingControl w:val="doNotCompress"/>
  <w:footnotePr>
    <w:numRestart w:val="eachSect"/>
    <w:footnote w:id="0"/>
    <w:footnote w:id="1"/>
  </w:foot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pPr>
      <w:widowControl w:val="0"/>
    </w:pPr>
    <w:rPr>
      <w:snapToGrid w:val="0"/>
      <w:sz w:val="24"/>
      <w:lang w:eastAsia="en-US"/>
    </w:rPr>
  </w:style>
  <w:style w:type="paragraph" w:styleId="Heading1">
    <w:name w:val="heading 1"/>
    <w:basedOn w:val="Normal"/>
    <w:next w:val="Normal"/>
    <w:semiHidden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semiHidden/>
    <w:qFormat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semiHidden/>
    <w:qFormat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semiHidden/>
    <w:qFormat/>
    <w:pPr>
      <w:keepNext/>
      <w:spacing w:before="240" w:after="60"/>
      <w:outlineLvl w:val="3"/>
    </w:pPr>
    <w:rPr>
      <w:rFonts w:ascii="Arial" w:hAnsi="Arial"/>
      <w:b/>
    </w:rPr>
  </w:style>
  <w:style w:type="paragraph" w:styleId="Heading5">
    <w:name w:val="heading 5"/>
    <w:basedOn w:val="Normal"/>
    <w:next w:val="Normal"/>
    <w:semiHidden/>
    <w:qFormat/>
    <w:pPr>
      <w:spacing w:before="240" w:after="60"/>
      <w:outlineLvl w:val="4"/>
    </w:pPr>
    <w:rPr>
      <w:sz w:val="22"/>
    </w:rPr>
  </w:style>
  <w:style w:type="paragraph" w:styleId="Heading6">
    <w:name w:val="heading 6"/>
    <w:basedOn w:val="Normal"/>
    <w:next w:val="Normal"/>
    <w:semiHidden/>
    <w:qFormat/>
    <w:pPr>
      <w:spacing w:before="240" w:after="60"/>
      <w:outlineLvl w:val="5"/>
    </w:pPr>
    <w:rPr>
      <w:i/>
      <w:sz w:val="22"/>
    </w:rPr>
  </w:style>
  <w:style w:type="paragraph" w:styleId="Heading7">
    <w:name w:val="heading 7"/>
    <w:basedOn w:val="Normal"/>
    <w:next w:val="Normal"/>
    <w:semiHidden/>
    <w:qFormat/>
    <w:pPr>
      <w:spacing w:before="240" w:after="60"/>
      <w:outlineLvl w:val="6"/>
    </w:pPr>
    <w:rPr>
      <w:rFonts w:ascii="Arial" w:hAnsi="Arial"/>
    </w:rPr>
  </w:style>
  <w:style w:type="paragraph" w:styleId="Heading8">
    <w:name w:val="heading 8"/>
    <w:basedOn w:val="Normal"/>
    <w:next w:val="Normal"/>
    <w:semiHidden/>
    <w:qFormat/>
    <w:pPr>
      <w:spacing w:before="240" w:after="60"/>
      <w:outlineLvl w:val="7"/>
    </w:pPr>
    <w:rPr>
      <w:rFonts w:ascii="Arial" w:hAnsi="Arial"/>
      <w:i/>
    </w:rPr>
  </w:style>
  <w:style w:type="paragraph" w:styleId="Heading9">
    <w:name w:val="heading 9"/>
    <w:basedOn w:val="Normal"/>
    <w:next w:val="Normal"/>
    <w:semiHidden/>
    <w:qFormat/>
    <w:pPr>
      <w:spacing w:before="240" w:after="60"/>
      <w:outlineLvl w:val="8"/>
    </w:pPr>
    <w:rPr>
      <w:rFonts w:ascii="Arial" w:hAnsi="Arial"/>
      <w:b/>
      <w:i/>
      <w:sz w:val="1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ideTWBExt">
    <w:name w:val="HideTWBExt"/>
    <w:rPr>
      <w:rFonts w:ascii="Arial" w:hAnsi="Arial"/>
      <w:noProof/>
      <w:vanish/>
      <w:color w:val="000080"/>
      <w:sz w:val="20"/>
    </w:rPr>
  </w:style>
  <w:style w:type="paragraph" w:customStyle="1" w:styleId="EPComma">
    <w:name w:val="EPComma"/>
    <w:basedOn w:val="Normal"/>
    <w:rsid w:val="006A5366"/>
    <w:pPr>
      <w:spacing w:before="480" w:after="240"/>
    </w:pPr>
  </w:style>
  <w:style w:type="paragraph" w:customStyle="1" w:styleId="CoverNormal">
    <w:name w:val="CoverNormal"/>
    <w:basedOn w:val="Normal"/>
    <w:pPr>
      <w:ind w:left="1418"/>
    </w:pPr>
  </w:style>
  <w:style w:type="paragraph" w:customStyle="1" w:styleId="TOCRight">
    <w:name w:val="TOC Right"/>
    <w:basedOn w:val="Normal"/>
    <w:rsid w:val="00E839D9"/>
    <w:pPr>
      <w:spacing w:after="240"/>
      <w:jc w:val="right"/>
    </w:pPr>
  </w:style>
  <w:style w:type="paragraph" w:customStyle="1" w:styleId="CoverDateRefPart">
    <w:name w:val="CoverDateRefPart"/>
    <w:basedOn w:val="Normal"/>
    <w:rsid w:val="00C5424C"/>
    <w:pPr>
      <w:spacing w:after="1200"/>
    </w:pPr>
  </w:style>
  <w:style w:type="paragraph" w:customStyle="1" w:styleId="EPName">
    <w:name w:val="EPName"/>
    <w:basedOn w:val="Normal"/>
    <w:rsid w:val="00D16E15"/>
    <w:pPr>
      <w:spacing w:before="80" w:after="80"/>
    </w:pPr>
    <w:rPr>
      <w:rFonts w:ascii="Arial Narrow" w:hAnsi="Arial Narrow" w:cs="Arial"/>
      <w:b/>
      <w:snapToGrid/>
      <w:sz w:val="32"/>
      <w:szCs w:val="22"/>
      <w:lang w:eastAsia="en-GB"/>
    </w:rPr>
  </w:style>
  <w:style w:type="paragraph" w:customStyle="1" w:styleId="EPFooter2">
    <w:name w:val="EPFooter2"/>
    <w:basedOn w:val="Normal"/>
    <w:next w:val="Normal"/>
    <w:pPr>
      <w:widowControl/>
      <w:tabs>
        <w:tab w:val="center" w:pos="4535"/>
        <w:tab w:val="right" w:pos="9921"/>
      </w:tabs>
      <w:ind w:left="-850" w:right="-850"/>
    </w:pPr>
    <w:rPr>
      <w:rFonts w:ascii="Arial" w:hAnsi="Arial" w:cs="Arial"/>
      <w:b/>
      <w:sz w:val="48"/>
    </w:rPr>
  </w:style>
  <w:style w:type="paragraph" w:styleId="FootnoteText">
    <w:name w:val="footnote text"/>
    <w:basedOn w:val="Normal"/>
    <w:semiHidden/>
    <w:rPr>
      <w:sz w:val="20"/>
    </w:rPr>
  </w:style>
  <w:style w:type="paragraph" w:customStyle="1" w:styleId="NormalBold">
    <w:name w:val="NormalBold"/>
    <w:basedOn w:val="Normal"/>
    <w:rsid w:val="006A5366"/>
    <w:rPr>
      <w:b/>
    </w:rPr>
  </w:style>
  <w:style w:type="paragraph" w:customStyle="1" w:styleId="CoverReference">
    <w:name w:val="CoverReference"/>
    <w:basedOn w:val="Normal"/>
    <w:rsid w:val="00791131"/>
    <w:pPr>
      <w:spacing w:before="1080"/>
      <w:jc w:val="right"/>
    </w:pPr>
    <w:rPr>
      <w:rFonts w:ascii="Arial" w:hAnsi="Arial" w:cs="Arial"/>
      <w:b/>
    </w:rPr>
  </w:style>
  <w:style w:type="paragraph" w:customStyle="1" w:styleId="CoverNormal24a">
    <w:name w:val="CoverNormal24a"/>
    <w:basedOn w:val="Normal"/>
    <w:rsid w:val="00D20BEB"/>
    <w:pPr>
      <w:spacing w:after="480"/>
      <w:ind w:left="1417"/>
    </w:pPr>
  </w:style>
  <w:style w:type="paragraph" w:styleId="TOC1">
    <w:name w:val="toc 1"/>
    <w:basedOn w:val="Normal"/>
    <w:next w:val="Normal"/>
    <w:autoRedefine/>
    <w:uiPriority w:val="39"/>
    <w:rsid w:val="00E57F92"/>
    <w:pPr>
      <w:spacing w:after="240"/>
    </w:pPr>
  </w:style>
  <w:style w:type="paragraph" w:customStyle="1" w:styleId="TOCPage">
    <w:name w:val="TOC Page"/>
    <w:basedOn w:val="Normal"/>
    <w:next w:val="TOC1"/>
    <w:rsid w:val="004302F8"/>
    <w:pPr>
      <w:keepNext/>
      <w:spacing w:after="240"/>
      <w:jc w:val="right"/>
    </w:pPr>
    <w:rPr>
      <w:rFonts w:ascii="Arial" w:hAnsi="Arial"/>
      <w:b/>
    </w:rPr>
  </w:style>
  <w:style w:type="paragraph" w:customStyle="1" w:styleId="CoverDocType24a">
    <w:name w:val="CoverDocType24a"/>
    <w:basedOn w:val="Normal"/>
    <w:rsid w:val="00F03FCA"/>
    <w:pPr>
      <w:spacing w:after="480"/>
      <w:ind w:left="1418"/>
    </w:pPr>
    <w:rPr>
      <w:rFonts w:ascii="Arial" w:hAnsi="Arial"/>
      <w:b/>
      <w:sz w:val="48"/>
    </w:rPr>
  </w:style>
  <w:style w:type="character" w:customStyle="1" w:styleId="HideTWBInt">
    <w:name w:val="HideTWBInt"/>
    <w:rPr>
      <w:rFonts w:ascii="Arial" w:hAnsi="Arial" w:cs="Arial"/>
      <w:vanish/>
      <w:color w:val="808080"/>
      <w:sz w:val="20"/>
    </w:rPr>
  </w:style>
  <w:style w:type="paragraph" w:styleId="TOC2">
    <w:name w:val="toc 2"/>
    <w:basedOn w:val="Normal"/>
    <w:next w:val="Normal"/>
    <w:autoRedefine/>
    <w:semiHidden/>
    <w:pPr>
      <w:ind w:left="240"/>
    </w:pPr>
  </w:style>
  <w:style w:type="paragraph" w:customStyle="1" w:styleId="NormalHanging12a">
    <w:name w:val="NormalHanging12a"/>
    <w:basedOn w:val="Normal"/>
    <w:rsid w:val="00572801"/>
    <w:pPr>
      <w:widowControl/>
      <w:spacing w:after="240"/>
      <w:ind w:left="567" w:hanging="567"/>
    </w:pPr>
  </w:style>
  <w:style w:type="paragraph" w:styleId="TOC3">
    <w:name w:val="toc 3"/>
    <w:basedOn w:val="Normal"/>
    <w:next w:val="Normal"/>
    <w:autoRedefine/>
    <w:semiHidden/>
    <w:pPr>
      <w:ind w:left="480"/>
    </w:pPr>
  </w:style>
  <w:style w:type="paragraph" w:styleId="TOC4">
    <w:name w:val="toc 4"/>
    <w:basedOn w:val="Normal"/>
    <w:next w:val="Normal"/>
    <w:autoRedefine/>
    <w:semiHidden/>
    <w:pPr>
      <w:ind w:left="720"/>
    </w:pPr>
  </w:style>
  <w:style w:type="paragraph" w:customStyle="1" w:styleId="PageHeading">
    <w:name w:val="PageHeading"/>
    <w:basedOn w:val="Normal"/>
    <w:rsid w:val="00F03FCA"/>
    <w:pPr>
      <w:keepNext/>
      <w:spacing w:after="480"/>
      <w:jc w:val="center"/>
    </w:pPr>
    <w:rPr>
      <w:rFonts w:ascii="Arial" w:hAnsi="Arial" w:cs="Arial"/>
      <w:b/>
    </w:rPr>
  </w:style>
  <w:style w:type="paragraph" w:styleId="TOC5">
    <w:name w:val="toc 5"/>
    <w:basedOn w:val="Normal"/>
    <w:next w:val="Normal"/>
    <w:autoRedefine/>
    <w:semiHidden/>
    <w:pPr>
      <w:ind w:left="960"/>
    </w:pPr>
  </w:style>
  <w:style w:type="paragraph" w:styleId="TOC6">
    <w:name w:val="toc 6"/>
    <w:basedOn w:val="Normal"/>
    <w:next w:val="Normal"/>
    <w:autoRedefine/>
    <w:semiHidden/>
    <w:pPr>
      <w:ind w:left="1200"/>
    </w:pPr>
  </w:style>
  <w:style w:type="paragraph" w:styleId="TOC7">
    <w:name w:val="toc 7"/>
    <w:basedOn w:val="Normal"/>
    <w:next w:val="Normal"/>
    <w:autoRedefine/>
    <w:semiHidden/>
    <w:pPr>
      <w:ind w:left="1440"/>
    </w:pPr>
  </w:style>
  <w:style w:type="paragraph" w:styleId="TOC8">
    <w:name w:val="toc 8"/>
    <w:basedOn w:val="Normal"/>
    <w:next w:val="Normal"/>
    <w:autoRedefine/>
    <w:semiHidden/>
    <w:pPr>
      <w:ind w:left="1680"/>
    </w:pPr>
  </w:style>
  <w:style w:type="paragraph" w:styleId="TOC9">
    <w:name w:val="toc 9"/>
    <w:basedOn w:val="Normal"/>
    <w:next w:val="Normal"/>
    <w:autoRedefine/>
    <w:semiHidden/>
    <w:pPr>
      <w:ind w:left="1920"/>
    </w:pPr>
  </w:style>
  <w:style w:type="paragraph" w:customStyle="1" w:styleId="TOCSubHeading">
    <w:name w:val="TOC SubHeading"/>
    <w:basedOn w:val="Normal"/>
    <w:rsid w:val="00F03FCA"/>
    <w:pPr>
      <w:spacing w:before="480" w:after="240"/>
    </w:pPr>
    <w:rPr>
      <w:b/>
    </w:rPr>
  </w:style>
  <w:style w:type="paragraph" w:customStyle="1" w:styleId="TOCTabLeader">
    <w:name w:val="TOC TabLeader"/>
    <w:basedOn w:val="Normal"/>
    <w:rsid w:val="00E839D9"/>
    <w:pPr>
      <w:tabs>
        <w:tab w:val="left" w:leader="dot" w:pos="5954"/>
      </w:tabs>
      <w:spacing w:after="240"/>
    </w:pPr>
  </w:style>
  <w:style w:type="paragraph" w:customStyle="1" w:styleId="CoverNormalHanging">
    <w:name w:val="CoverNormalHanging"/>
    <w:basedOn w:val="Normal"/>
    <w:rsid w:val="00BF1100"/>
    <w:pPr>
      <w:ind w:left="3686" w:hanging="2268"/>
    </w:pPr>
  </w:style>
  <w:style w:type="paragraph" w:styleId="TOCHeading">
    <w:name w:val="TOC Heading"/>
    <w:basedOn w:val="Normal"/>
    <w:next w:val="TOCPage"/>
    <w:rsid w:val="007F2104"/>
    <w:pPr>
      <w:keepNext/>
      <w:spacing w:before="240" w:after="240"/>
      <w:jc w:val="center"/>
    </w:pPr>
    <w:rPr>
      <w:rFonts w:ascii="Arial" w:hAnsi="Arial"/>
      <w:b/>
      <w:snapToGrid/>
      <w:lang w:eastAsia="en-GB"/>
    </w:rPr>
  </w:style>
  <w:style w:type="table" w:styleId="TableGrid">
    <w:name w:val="Table Grid"/>
    <w:basedOn w:val="TableNormal"/>
    <w:rsid w:val="00F732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PBody">
    <w:name w:val="EPBody"/>
    <w:basedOn w:val="Normal"/>
    <w:rsid w:val="00F03FCA"/>
    <w:pPr>
      <w:jc w:val="center"/>
    </w:pPr>
    <w:rPr>
      <w:rFonts w:ascii="Arial" w:hAnsi="Arial" w:cs="Arial"/>
      <w:i/>
      <w:snapToGrid/>
      <w:sz w:val="22"/>
      <w:szCs w:val="22"/>
      <w:lang w:eastAsia="en-GB"/>
    </w:rPr>
  </w:style>
  <w:style w:type="paragraph" w:customStyle="1" w:styleId="LineTop">
    <w:name w:val="LineTop"/>
    <w:basedOn w:val="Normal"/>
    <w:next w:val="Normal"/>
    <w:rsid w:val="00F732B6"/>
    <w:pPr>
      <w:pBdr>
        <w:top w:val="single" w:sz="4" w:space="1" w:color="auto"/>
      </w:pBdr>
      <w:jc w:val="center"/>
    </w:pPr>
    <w:rPr>
      <w:rFonts w:ascii="Arial" w:hAnsi="Arial" w:cs="Arial"/>
      <w:snapToGrid/>
      <w:sz w:val="16"/>
      <w:szCs w:val="16"/>
      <w:lang w:eastAsia="en-GB"/>
    </w:rPr>
  </w:style>
  <w:style w:type="paragraph" w:customStyle="1" w:styleId="LineBottom">
    <w:name w:val="LineBottom"/>
    <w:basedOn w:val="Normal"/>
    <w:next w:val="Normal"/>
    <w:rsid w:val="00791131"/>
    <w:pPr>
      <w:pBdr>
        <w:bottom w:val="single" w:sz="4" w:space="1" w:color="auto"/>
      </w:pBdr>
      <w:spacing w:after="240"/>
      <w:jc w:val="center"/>
    </w:pPr>
    <w:rPr>
      <w:rFonts w:ascii="Arial" w:hAnsi="Arial" w:cs="Arial"/>
      <w:snapToGrid/>
      <w:sz w:val="16"/>
      <w:szCs w:val="16"/>
      <w:lang w:eastAsia="en-GB"/>
    </w:rPr>
  </w:style>
  <w:style w:type="paragraph" w:customStyle="1" w:styleId="EPTerm">
    <w:name w:val="EPTerm"/>
    <w:basedOn w:val="Normal"/>
    <w:next w:val="Normal"/>
    <w:rsid w:val="00D16E15"/>
    <w:pPr>
      <w:spacing w:after="80"/>
    </w:pPr>
    <w:rPr>
      <w:rFonts w:ascii="Arial" w:hAnsi="Arial" w:cs="Arial"/>
      <w:snapToGrid/>
      <w:sz w:val="20"/>
      <w:szCs w:val="22"/>
      <w:lang w:eastAsia="en-GB"/>
    </w:rPr>
  </w:style>
  <w:style w:type="paragraph" w:customStyle="1" w:styleId="EPLogo">
    <w:name w:val="EPLogo"/>
    <w:basedOn w:val="Normal"/>
    <w:qFormat/>
    <w:rsid w:val="00D16E15"/>
    <w:pPr>
      <w:jc w:val="right"/>
    </w:pPr>
    <w:rPr>
      <w:snapToGrid/>
      <w:lang w:eastAsia="en-GB"/>
    </w:rPr>
  </w:style>
  <w:style w:type="paragraph" w:customStyle="1" w:styleId="CoverRefPart">
    <w:name w:val="CoverRefPart"/>
    <w:basedOn w:val="Normal"/>
    <w:rsid w:val="00577455"/>
    <w:pPr>
      <w:jc w:val="right"/>
    </w:pPr>
    <w:rPr>
      <w:rFonts w:ascii="Arial" w:hAnsi="Arial"/>
    </w:rPr>
  </w:style>
  <w:style w:type="paragraph" w:customStyle="1" w:styleId="Subheading">
    <w:name w:val="Subheading"/>
    <w:basedOn w:val="Normal"/>
    <w:rsid w:val="0065571D"/>
    <w:pPr>
      <w:spacing w:before="480" w:after="240"/>
    </w:pPr>
    <w:rPr>
      <w:b/>
      <w:bCs/>
      <w:i/>
      <w:iCs/>
    </w:rPr>
  </w:style>
  <w:style w:type="paragraph" w:customStyle="1" w:styleId="EPFooter">
    <w:name w:val="EPFooter"/>
    <w:basedOn w:val="Normal"/>
    <w:rsid w:val="007C663F"/>
    <w:pPr>
      <w:tabs>
        <w:tab w:val="center" w:pos="4535"/>
        <w:tab w:val="right" w:pos="9071"/>
      </w:tabs>
      <w:spacing w:before="240" w:after="240"/>
    </w:pPr>
    <w:rPr>
      <w:sz w:val="22"/>
    </w:rPr>
  </w:style>
  <w:style w:type="paragraph" w:styleId="Header">
    <w:name w:val="header"/>
    <w:basedOn w:val="Normal"/>
    <w:link w:val="HeaderChar"/>
    <w:semiHidden/>
    <w:rsid w:val="007C663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semiHidden/>
    <w:rsid w:val="00791131"/>
    <w:rPr>
      <w:snapToGrid w:val="0"/>
      <w:sz w:val="24"/>
      <w:lang w:eastAsia="en-US"/>
    </w:rPr>
  </w:style>
  <w:style w:type="character" w:styleId="PageNumber">
    <w:name w:val="page number"/>
    <w:basedOn w:val="DefaultParagraphFont"/>
    <w:semiHidden/>
    <w:rsid w:val="00131752"/>
  </w:style>
  <w:style w:type="paragraph" w:customStyle="1" w:styleId="AmColumnHeading">
    <w:name w:val="AmColumnHeading"/>
    <w:basedOn w:val="Normal"/>
    <w:rsid w:val="00B47478"/>
    <w:pPr>
      <w:spacing w:after="240"/>
      <w:jc w:val="center"/>
    </w:pPr>
    <w:rPr>
      <w:i/>
      <w:snapToGrid/>
      <w:lang w:eastAsia="en-GB"/>
    </w:rPr>
  </w:style>
  <w:style w:type="paragraph" w:customStyle="1" w:styleId="AmCrossRef">
    <w:name w:val="AmCrossRef"/>
    <w:basedOn w:val="Normal"/>
    <w:rsid w:val="00B47478"/>
    <w:pPr>
      <w:spacing w:before="240" w:after="240"/>
      <w:jc w:val="center"/>
    </w:pPr>
    <w:rPr>
      <w:i/>
      <w:snapToGrid/>
      <w:lang w:eastAsia="en-GB"/>
    </w:rPr>
  </w:style>
  <w:style w:type="paragraph" w:customStyle="1" w:styleId="AmJustText">
    <w:name w:val="AmJustText"/>
    <w:basedOn w:val="Normal"/>
    <w:rsid w:val="00B47478"/>
    <w:pPr>
      <w:spacing w:after="240"/>
    </w:pPr>
    <w:rPr>
      <w:i/>
      <w:snapToGrid/>
      <w:lang w:eastAsia="en-GB"/>
    </w:rPr>
  </w:style>
  <w:style w:type="paragraph" w:customStyle="1" w:styleId="AmJustTitle">
    <w:name w:val="AmJustTitle"/>
    <w:basedOn w:val="Normal"/>
    <w:next w:val="AmJustText"/>
    <w:rsid w:val="00B47478"/>
    <w:pPr>
      <w:keepNext/>
      <w:spacing w:before="240" w:after="240"/>
      <w:jc w:val="center"/>
    </w:pPr>
    <w:rPr>
      <w:i/>
      <w:snapToGrid/>
      <w:lang w:eastAsia="en-GB"/>
    </w:rPr>
  </w:style>
  <w:style w:type="paragraph" w:customStyle="1" w:styleId="AmNumberTabs">
    <w:name w:val="AmNumberTabs"/>
    <w:basedOn w:val="Normal"/>
    <w:rsid w:val="00B47478"/>
    <w:pPr>
      <w:tabs>
        <w:tab w:val="left" w:pos="879"/>
        <w:tab w:val="left" w:pos="936"/>
        <w:tab w:val="left" w:pos="1021"/>
        <w:tab w:val="left" w:pos="1077"/>
        <w:tab w:val="left" w:pos="1134"/>
        <w:tab w:val="left" w:pos="1191"/>
        <w:tab w:val="left" w:pos="1247"/>
        <w:tab w:val="left" w:pos="1304"/>
        <w:tab w:val="left" w:pos="1361"/>
        <w:tab w:val="left" w:pos="1418"/>
        <w:tab w:val="left" w:pos="1474"/>
        <w:tab w:val="left" w:pos="1531"/>
        <w:tab w:val="left" w:pos="1588"/>
        <w:tab w:val="left" w:pos="1644"/>
        <w:tab w:val="left" w:pos="1701"/>
        <w:tab w:val="left" w:pos="1758"/>
        <w:tab w:val="left" w:pos="1814"/>
        <w:tab w:val="left" w:pos="1871"/>
        <w:tab w:val="left" w:pos="2070"/>
        <w:tab w:val="left" w:pos="2126"/>
        <w:tab w:val="left" w:pos="3374"/>
        <w:tab w:val="left" w:pos="3430"/>
      </w:tabs>
      <w:spacing w:before="240"/>
    </w:pPr>
    <w:rPr>
      <w:b/>
      <w:snapToGrid/>
      <w:lang w:eastAsia="en-GB"/>
    </w:rPr>
  </w:style>
  <w:style w:type="paragraph" w:customStyle="1" w:styleId="AmOrLang">
    <w:name w:val="AmOrLang"/>
    <w:basedOn w:val="Normal"/>
    <w:rsid w:val="00B47478"/>
    <w:pPr>
      <w:spacing w:before="240" w:after="240"/>
      <w:jc w:val="right"/>
    </w:pPr>
    <w:rPr>
      <w:snapToGrid/>
      <w:lang w:eastAsia="en-GB"/>
    </w:rPr>
  </w:style>
  <w:style w:type="paragraph" w:customStyle="1" w:styleId="AnnexWPDate">
    <w:name w:val="AnnexWPDate"/>
    <w:basedOn w:val="Normal"/>
    <w:rsid w:val="00B47478"/>
    <w:pPr>
      <w:spacing w:before="240" w:after="480"/>
      <w:jc w:val="right"/>
    </w:pPr>
    <w:rPr>
      <w:snapToGrid/>
      <w:lang w:eastAsia="en-GB"/>
    </w:rPr>
  </w:style>
  <w:style w:type="paragraph" w:customStyle="1" w:styleId="AnnexWPDocType">
    <w:name w:val="AnnexWPDocType"/>
    <w:basedOn w:val="Normal"/>
    <w:rsid w:val="00B47478"/>
    <w:pPr>
      <w:spacing w:after="240"/>
      <w:jc w:val="center"/>
    </w:pPr>
    <w:rPr>
      <w:b/>
      <w:snapToGrid/>
      <w:lang w:eastAsia="en-GB"/>
    </w:rPr>
  </w:style>
  <w:style w:type="paragraph" w:customStyle="1" w:styleId="AnnexWPLogo">
    <w:name w:val="AnnexWPLogo"/>
    <w:basedOn w:val="Normal"/>
    <w:rsid w:val="00B47478"/>
    <w:pPr>
      <w:spacing w:before="120" w:after="120"/>
    </w:pPr>
    <w:rPr>
      <w:snapToGrid/>
      <w:lang w:eastAsia="en-GB"/>
    </w:rPr>
  </w:style>
  <w:style w:type="paragraph" w:customStyle="1" w:styleId="AnnexWPSmall">
    <w:name w:val="AnnexWPSmall"/>
    <w:basedOn w:val="Normal"/>
    <w:rsid w:val="00B47478"/>
    <w:rPr>
      <w:smallCaps/>
      <w:snapToGrid/>
      <w:sz w:val="20"/>
      <w:lang w:eastAsia="en-GB"/>
    </w:rPr>
  </w:style>
  <w:style w:type="paragraph" w:customStyle="1" w:styleId="AnnexWPTabs">
    <w:name w:val="AnnexWPTabs"/>
    <w:basedOn w:val="Normal"/>
    <w:rsid w:val="00B47478"/>
    <w:pPr>
      <w:tabs>
        <w:tab w:val="right" w:pos="3686"/>
        <w:tab w:val="left" w:pos="3827"/>
      </w:tabs>
    </w:pPr>
    <w:rPr>
      <w:b/>
      <w:snapToGrid/>
      <w:lang w:eastAsia="en-GB"/>
    </w:rPr>
  </w:style>
  <w:style w:type="paragraph" w:customStyle="1" w:styleId="AnnexWPTitle">
    <w:name w:val="AnnexWPTitle"/>
    <w:basedOn w:val="Normal"/>
    <w:rsid w:val="00B47478"/>
    <w:pPr>
      <w:spacing w:before="480"/>
    </w:pPr>
    <w:rPr>
      <w:b/>
      <w:snapToGrid/>
      <w:lang w:eastAsia="en-GB"/>
    </w:rPr>
  </w:style>
  <w:style w:type="paragraph" w:customStyle="1" w:styleId="AmHeadingConsam">
    <w:name w:val="AmHeadingConsam"/>
    <w:basedOn w:val="Normal"/>
    <w:next w:val="Normal"/>
    <w:rsid w:val="00B47478"/>
    <w:pPr>
      <w:spacing w:before="720" w:after="240"/>
      <w:jc w:val="center"/>
    </w:pPr>
    <w:rPr>
      <w:snapToGrid/>
      <w:lang w:eastAsia="en-GB"/>
    </w:rPr>
  </w:style>
  <w:style w:type="paragraph" w:customStyle="1" w:styleId="CoverNormal12a">
    <w:name w:val="CoverNormal12a"/>
    <w:basedOn w:val="Normal"/>
    <w:rsid w:val="00B47478"/>
    <w:pPr>
      <w:spacing w:after="240"/>
      <w:ind w:left="1418"/>
    </w:pPr>
    <w:rPr>
      <w:snapToGrid/>
      <w:lang w:eastAsia="en-GB"/>
    </w:rPr>
  </w:style>
  <w:style w:type="paragraph" w:customStyle="1" w:styleId="Confidential">
    <w:name w:val="Confidential"/>
    <w:basedOn w:val="Normal"/>
    <w:rsid w:val="00B47478"/>
    <w:pPr>
      <w:spacing w:before="120" w:after="120"/>
      <w:jc w:val="center"/>
    </w:pPr>
    <w:rPr>
      <w:rFonts w:ascii="Arial" w:hAnsi="Arial"/>
      <w:caps/>
      <w:snapToGrid/>
      <w:lang w:eastAsia="en-GB"/>
    </w:rPr>
  </w:style>
  <w:style w:type="paragraph" w:customStyle="1" w:styleId="CoverReferenceIMM">
    <w:name w:val="CoverReferenceIMM"/>
    <w:basedOn w:val="Normal"/>
    <w:rsid w:val="00B47478"/>
    <w:pPr>
      <w:spacing w:before="360"/>
      <w:jc w:val="right"/>
    </w:pPr>
    <w:rPr>
      <w:rFonts w:ascii="Arial" w:hAnsi="Arial"/>
      <w:b/>
      <w:snapToGrid/>
      <w:lang w:eastAsia="en-GB"/>
    </w:rPr>
  </w:style>
  <w:style w:type="paragraph" w:customStyle="1" w:styleId="CoverDate">
    <w:name w:val="CoverDate"/>
    <w:basedOn w:val="Normal"/>
    <w:rsid w:val="00B47478"/>
    <w:pPr>
      <w:spacing w:before="240" w:after="1200"/>
    </w:pPr>
    <w:rPr>
      <w:snapToGrid/>
      <w:lang w:eastAsia="en-GB"/>
    </w:rPr>
  </w:style>
  <w:style w:type="paragraph" w:customStyle="1" w:styleId="CoverDocType">
    <w:name w:val="CoverDocType"/>
    <w:basedOn w:val="Normal"/>
    <w:rsid w:val="00B47478"/>
    <w:pPr>
      <w:ind w:left="1418"/>
    </w:pPr>
    <w:rPr>
      <w:rFonts w:ascii="Arial" w:hAnsi="Arial"/>
      <w:b/>
      <w:snapToGrid/>
      <w:sz w:val="48"/>
      <w:lang w:eastAsia="en-GB"/>
    </w:rPr>
  </w:style>
  <w:style w:type="character" w:styleId="FootnoteReference">
    <w:name w:val="footnote reference"/>
    <w:rsid w:val="00B47478"/>
    <w:rPr>
      <w:vertAlign w:val="superscript"/>
    </w:rPr>
  </w:style>
  <w:style w:type="paragraph" w:customStyle="1" w:styleId="NormalBold12a">
    <w:name w:val="NormalBold12a"/>
    <w:basedOn w:val="Normal"/>
    <w:rsid w:val="00B47478"/>
    <w:pPr>
      <w:spacing w:after="240"/>
    </w:pPr>
    <w:rPr>
      <w:b/>
      <w:snapToGrid/>
      <w:lang w:eastAsia="en-GB"/>
    </w:rPr>
  </w:style>
  <w:style w:type="paragraph" w:customStyle="1" w:styleId="NormalCenter12a">
    <w:name w:val="NormalCenter12a"/>
    <w:basedOn w:val="Normal"/>
    <w:rsid w:val="00B47478"/>
    <w:pPr>
      <w:spacing w:after="240"/>
      <w:jc w:val="center"/>
    </w:pPr>
    <w:rPr>
      <w:snapToGrid/>
      <w:lang w:eastAsia="en-GB"/>
    </w:rPr>
  </w:style>
  <w:style w:type="paragraph" w:customStyle="1" w:styleId="Normal6a">
    <w:name w:val="Normal6a"/>
    <w:basedOn w:val="Normal"/>
    <w:rsid w:val="00B47478"/>
    <w:pPr>
      <w:spacing w:after="120"/>
    </w:pPr>
    <w:rPr>
      <w:snapToGrid/>
      <w:lang w:eastAsia="en-GB"/>
    </w:rPr>
  </w:style>
  <w:style w:type="paragraph" w:customStyle="1" w:styleId="NormalBold12b">
    <w:name w:val="NormalBold12b"/>
    <w:basedOn w:val="Normal"/>
    <w:rsid w:val="00B47478"/>
    <w:pPr>
      <w:spacing w:before="240"/>
    </w:pPr>
    <w:rPr>
      <w:b/>
      <w:snapToGrid/>
      <w:lang w:eastAsia="en-GB"/>
    </w:rPr>
  </w:style>
  <w:style w:type="paragraph" w:customStyle="1" w:styleId="Arial14CentreBold">
    <w:name w:val="Arial14CentreBold"/>
    <w:basedOn w:val="Normal"/>
    <w:qFormat/>
    <w:rsid w:val="00A75A20"/>
    <w:pPr>
      <w:jc w:val="center"/>
    </w:pPr>
    <w:rPr>
      <w:rFonts w:ascii="Arial" w:hAnsi="Arial" w:cs="Arial"/>
      <w:b/>
      <w:snapToGrid/>
      <w:sz w:val="28"/>
      <w:szCs w:val="28"/>
      <w:lang w:eastAsia="en-GB"/>
    </w:rPr>
  </w:style>
  <w:style w:type="character" w:customStyle="1" w:styleId="Bold">
    <w:name w:val="Bold"/>
    <w:uiPriority w:val="1"/>
    <w:rsid w:val="0065571D"/>
    <w:rPr>
      <w:b/>
    </w:rPr>
  </w:style>
  <w:style w:type="character" w:customStyle="1" w:styleId="BoldItalic">
    <w:name w:val="BoldItalic"/>
    <w:uiPriority w:val="1"/>
    <w:rsid w:val="0065571D"/>
    <w:rPr>
      <w:b/>
      <w:i/>
      <w:u w:val="none"/>
    </w:rPr>
  </w:style>
  <w:style w:type="character" w:customStyle="1" w:styleId="BoldItalicUnderline">
    <w:name w:val="BoldItalicUnderline"/>
    <w:uiPriority w:val="1"/>
    <w:rsid w:val="0065571D"/>
    <w:rPr>
      <w:b/>
      <w:i/>
      <w:u w:val="single"/>
    </w:rPr>
  </w:style>
  <w:style w:type="character" w:customStyle="1" w:styleId="BoldUnderline">
    <w:name w:val="BoldUnderline"/>
    <w:uiPriority w:val="1"/>
    <w:rsid w:val="0065571D"/>
    <w:rPr>
      <w:b/>
      <w:u w:val="single"/>
    </w:rPr>
  </w:style>
  <w:style w:type="paragraph" w:customStyle="1" w:styleId="CoverNormalLeft">
    <w:name w:val="CoverNormalLeft"/>
    <w:basedOn w:val="CoverNormal"/>
    <w:qFormat/>
    <w:rsid w:val="00A75A20"/>
    <w:pPr>
      <w:ind w:left="0"/>
    </w:pPr>
    <w:rPr>
      <w:snapToGrid/>
      <w:lang w:eastAsia="en-GB"/>
    </w:rPr>
  </w:style>
  <w:style w:type="paragraph" w:customStyle="1" w:styleId="EPFooter2Landscape">
    <w:name w:val="EPFooter2Landscape"/>
    <w:qFormat/>
    <w:rsid w:val="00A75A20"/>
    <w:pPr>
      <w:tabs>
        <w:tab w:val="center" w:pos="4536"/>
        <w:tab w:val="center" w:pos="9923"/>
        <w:tab w:val="right" w:pos="15026"/>
      </w:tabs>
    </w:pPr>
    <w:rPr>
      <w:rFonts w:ascii="Arial" w:hAnsi="Arial" w:cs="Arial"/>
      <w:b/>
      <w:sz w:val="48"/>
      <w:szCs w:val="22"/>
    </w:rPr>
  </w:style>
  <w:style w:type="character" w:customStyle="1" w:styleId="EPFooter2Motto">
    <w:name w:val="EPFooter2Motto"/>
    <w:uiPriority w:val="1"/>
    <w:qFormat/>
    <w:rsid w:val="002707F5"/>
    <w:rPr>
      <w:rFonts w:ascii="Arial" w:hAnsi="Arial"/>
      <w:b/>
      <w:i/>
      <w:color w:val="C0C0C0"/>
      <w:sz w:val="22"/>
    </w:rPr>
  </w:style>
  <w:style w:type="paragraph" w:customStyle="1" w:styleId="EPFooterLandscape">
    <w:name w:val="EPFooterLandscape"/>
    <w:qFormat/>
    <w:rsid w:val="00A75A20"/>
    <w:pPr>
      <w:tabs>
        <w:tab w:val="center" w:pos="6804"/>
        <w:tab w:val="right" w:pos="15026"/>
      </w:tabs>
    </w:pPr>
    <w:rPr>
      <w:sz w:val="22"/>
    </w:rPr>
  </w:style>
  <w:style w:type="character" w:customStyle="1" w:styleId="Italic">
    <w:name w:val="Italic"/>
    <w:uiPriority w:val="1"/>
    <w:rsid w:val="0065571D"/>
    <w:rPr>
      <w:i/>
    </w:rPr>
  </w:style>
  <w:style w:type="character" w:customStyle="1" w:styleId="ItalicUnderline">
    <w:name w:val="ItalicUnderline"/>
    <w:uiPriority w:val="1"/>
    <w:rsid w:val="0065571D"/>
    <w:rPr>
      <w:i/>
      <w:u w:val="single"/>
    </w:rPr>
  </w:style>
  <w:style w:type="paragraph" w:customStyle="1" w:styleId="LegendSign">
    <w:name w:val="LegendSign"/>
    <w:basedOn w:val="Normal"/>
    <w:qFormat/>
    <w:rsid w:val="00A75A20"/>
    <w:pPr>
      <w:tabs>
        <w:tab w:val="right" w:pos="454"/>
        <w:tab w:val="left" w:pos="737"/>
      </w:tabs>
      <w:ind w:left="737" w:hanging="737"/>
    </w:pPr>
    <w:rPr>
      <w:snapToGrid/>
      <w:sz w:val="18"/>
      <w:lang w:eastAsia="en-GB"/>
    </w:rPr>
  </w:style>
  <w:style w:type="paragraph" w:customStyle="1" w:styleId="LegendStandard">
    <w:name w:val="LegendStandard"/>
    <w:basedOn w:val="LegendSign"/>
    <w:qFormat/>
    <w:rsid w:val="00A75A20"/>
    <w:pPr>
      <w:ind w:left="0" w:firstLine="0"/>
    </w:pPr>
  </w:style>
  <w:style w:type="paragraph" w:customStyle="1" w:styleId="LegendTitle">
    <w:name w:val="LegendTitle"/>
    <w:basedOn w:val="Normal"/>
    <w:qFormat/>
    <w:rsid w:val="00A75A20"/>
    <w:pPr>
      <w:spacing w:before="240" w:after="240"/>
    </w:pPr>
    <w:rPr>
      <w:b/>
      <w:i/>
      <w:snapToGrid/>
      <w:lang w:eastAsia="en-GB"/>
    </w:rPr>
  </w:style>
  <w:style w:type="character" w:customStyle="1" w:styleId="HideTermComment">
    <w:name w:val="HideTermComment"/>
    <w:uiPriority w:val="1"/>
    <w:qFormat/>
    <w:rsid w:val="00A75A20"/>
    <w:rPr>
      <w:rFonts w:ascii="Arial" w:hAnsi="Arial"/>
      <w:vanish/>
      <w:color w:val="0066CC"/>
      <w:sz w:val="18"/>
    </w:rPr>
  </w:style>
  <w:style w:type="character" w:customStyle="1" w:styleId="HideTerminTermComment">
    <w:name w:val="HideTerminTermComment"/>
    <w:basedOn w:val="HideTermComment"/>
    <w:uiPriority w:val="1"/>
    <w:qFormat/>
    <w:rsid w:val="00A75A20"/>
    <w:rPr>
      <w:rFonts w:ascii="Arial" w:hAnsi="Arial"/>
      <w:vanish/>
      <w:color w:val="538135" w:themeColor="accent6" w:themeShade="BF"/>
      <w:sz w:val="18"/>
    </w:rPr>
  </w:style>
  <w:style w:type="paragraph" w:customStyle="1" w:styleId="Normal12a">
    <w:name w:val="Normal12a"/>
    <w:basedOn w:val="Normal"/>
    <w:rsid w:val="00031EA2"/>
    <w:pPr>
      <w:spacing w:after="240"/>
    </w:pPr>
    <w:rPr>
      <w:snapToGrid/>
      <w:lang w:eastAsia="en-GB"/>
    </w:rPr>
  </w:style>
  <w:style w:type="paragraph" w:customStyle="1" w:styleId="Normal12b">
    <w:name w:val="Normal12b"/>
    <w:basedOn w:val="Normal"/>
    <w:qFormat/>
    <w:rsid w:val="00A75A20"/>
    <w:pPr>
      <w:spacing w:before="240"/>
    </w:pPr>
    <w:rPr>
      <w:snapToGrid/>
      <w:lang w:eastAsia="en-GB"/>
    </w:rPr>
  </w:style>
  <w:style w:type="paragraph" w:customStyle="1" w:styleId="NormalBoldUnderline24b">
    <w:name w:val="NormalBoldUnderline24b"/>
    <w:basedOn w:val="Normal"/>
    <w:qFormat/>
    <w:rsid w:val="001038F2"/>
    <w:pPr>
      <w:spacing w:before="480"/>
    </w:pPr>
    <w:rPr>
      <w:b/>
      <w:snapToGrid/>
      <w:u w:val="single"/>
      <w:lang w:eastAsia="en-GB"/>
    </w:rPr>
  </w:style>
  <w:style w:type="paragraph" w:customStyle="1" w:styleId="NormalBoldUnderline24b12a">
    <w:name w:val="NormalBoldUnderline24b12a"/>
    <w:basedOn w:val="NormalBoldUnderline24b"/>
    <w:qFormat/>
    <w:rsid w:val="00A75A20"/>
    <w:pPr>
      <w:spacing w:after="240"/>
    </w:pPr>
  </w:style>
  <w:style w:type="paragraph" w:customStyle="1" w:styleId="Normal12aBullet1">
    <w:name w:val="Normal12aBullet1"/>
    <w:basedOn w:val="Normal"/>
    <w:qFormat/>
    <w:rsid w:val="00A75A20"/>
    <w:pPr>
      <w:widowControl/>
      <w:numPr>
        <w:numId w:val="1"/>
      </w:numPr>
    </w:pPr>
    <w:rPr>
      <w:snapToGrid/>
      <w:lang w:eastAsia="en-GB"/>
    </w:rPr>
  </w:style>
  <w:style w:type="paragraph" w:customStyle="1" w:styleId="Normal12aBullet2">
    <w:name w:val="Normal12aBullet2"/>
    <w:basedOn w:val="Normal"/>
    <w:qFormat/>
    <w:rsid w:val="00A75A20"/>
    <w:pPr>
      <w:numPr>
        <w:numId w:val="2"/>
      </w:numPr>
    </w:pPr>
    <w:rPr>
      <w:snapToGrid/>
      <w:lang w:eastAsia="en-GB"/>
    </w:rPr>
  </w:style>
  <w:style w:type="paragraph" w:customStyle="1" w:styleId="NormalHanging12a1">
    <w:name w:val="NormalHanging12a1"/>
    <w:basedOn w:val="Normal"/>
    <w:qFormat/>
    <w:rsid w:val="00C668A5"/>
    <w:pPr>
      <w:spacing w:after="240"/>
      <w:ind w:left="992" w:hanging="425"/>
    </w:pPr>
    <w:rPr>
      <w:snapToGrid/>
      <w:lang w:eastAsia="en-GB"/>
    </w:rPr>
  </w:style>
  <w:style w:type="paragraph" w:customStyle="1" w:styleId="NormalHanging12a2">
    <w:name w:val="NormalHanging12a2"/>
    <w:basedOn w:val="NormalHanging12a1"/>
    <w:qFormat/>
    <w:rsid w:val="00A75A20"/>
    <w:pPr>
      <w:ind w:left="1417"/>
    </w:pPr>
  </w:style>
  <w:style w:type="paragraph" w:customStyle="1" w:styleId="NormalHanging12a3">
    <w:name w:val="NormalHanging12a3"/>
    <w:basedOn w:val="NormalHanging12a2"/>
    <w:qFormat/>
    <w:rsid w:val="00A75A20"/>
    <w:pPr>
      <w:ind w:left="1843"/>
    </w:pPr>
  </w:style>
  <w:style w:type="paragraph" w:customStyle="1" w:styleId="NormalHanging12a4">
    <w:name w:val="NormalHanging12a4"/>
    <w:basedOn w:val="NormalHanging12a3"/>
    <w:qFormat/>
    <w:rsid w:val="00A75A20"/>
    <w:pPr>
      <w:ind w:left="2268"/>
    </w:pPr>
  </w:style>
  <w:style w:type="paragraph" w:customStyle="1" w:styleId="NormalHanging12a5">
    <w:name w:val="NormalHanging12a5"/>
    <w:basedOn w:val="NormalHanging12a4"/>
    <w:qFormat/>
    <w:rsid w:val="00A75A20"/>
    <w:pPr>
      <w:ind w:left="2693"/>
    </w:pPr>
  </w:style>
  <w:style w:type="paragraph" w:customStyle="1" w:styleId="NormalHanging12a6">
    <w:name w:val="NormalHanging12a6"/>
    <w:basedOn w:val="NormalHanging12a5"/>
    <w:qFormat/>
    <w:rsid w:val="00A75A20"/>
    <w:pPr>
      <w:ind w:left="3118"/>
    </w:pPr>
  </w:style>
  <w:style w:type="paragraph" w:customStyle="1" w:styleId="NormalHanging12a7">
    <w:name w:val="NormalHanging12a7"/>
    <w:basedOn w:val="NormalHanging12a6"/>
    <w:qFormat/>
    <w:rsid w:val="00A75A20"/>
    <w:pPr>
      <w:ind w:left="3544"/>
    </w:pPr>
  </w:style>
  <w:style w:type="paragraph" w:customStyle="1" w:styleId="NormalHangingCenter">
    <w:name w:val="NormalHangingCenter"/>
    <w:basedOn w:val="Normal"/>
    <w:qFormat/>
    <w:rsid w:val="00BC0B6B"/>
    <w:pPr>
      <w:spacing w:after="240"/>
      <w:ind w:left="567" w:hanging="567"/>
      <w:jc w:val="center"/>
    </w:pPr>
    <w:rPr>
      <w:snapToGrid/>
      <w:lang w:eastAsia="en-GB"/>
    </w:rPr>
  </w:style>
  <w:style w:type="paragraph" w:customStyle="1" w:styleId="NormalHangingJustified">
    <w:name w:val="NormalHangingJustified"/>
    <w:basedOn w:val="Normal"/>
    <w:qFormat/>
    <w:rsid w:val="00BC0B6B"/>
    <w:pPr>
      <w:spacing w:after="240"/>
      <w:ind w:left="714" w:hanging="357"/>
      <w:jc w:val="both"/>
    </w:pPr>
    <w:rPr>
      <w:snapToGrid/>
      <w:lang w:eastAsia="en-GB"/>
    </w:rPr>
  </w:style>
  <w:style w:type="paragraph" w:customStyle="1" w:styleId="NormalUnderline24b12a">
    <w:name w:val="NormalUnderline24b12a"/>
    <w:basedOn w:val="EPComma"/>
    <w:qFormat/>
    <w:rsid w:val="00A75A20"/>
    <w:rPr>
      <w:snapToGrid/>
      <w:u w:val="single"/>
      <w:lang w:eastAsia="en-GB"/>
    </w:rPr>
  </w:style>
  <w:style w:type="paragraph" w:customStyle="1" w:styleId="Normal2">
    <w:name w:val="Normal2"/>
    <w:next w:val="Normal"/>
    <w:qFormat/>
    <w:rsid w:val="00A75A20"/>
    <w:pPr>
      <w:spacing w:line="120" w:lineRule="auto"/>
    </w:pPr>
    <w:rPr>
      <w:color w:val="000000"/>
      <w:sz w:val="4"/>
      <w:szCs w:val="24"/>
    </w:rPr>
  </w:style>
  <w:style w:type="character" w:customStyle="1" w:styleId="NormalBI">
    <w:name w:val="NormalBI"/>
    <w:basedOn w:val="DefaultParagraphFont"/>
    <w:uiPriority w:val="1"/>
    <w:qFormat/>
    <w:rsid w:val="00A75A20"/>
    <w:rPr>
      <w:rFonts w:ascii="Times New Roman" w:hAnsi="Times New Roman"/>
      <w:b/>
      <w:i/>
      <w:sz w:val="24"/>
    </w:rPr>
  </w:style>
  <w:style w:type="paragraph" w:customStyle="1" w:styleId="NormalBoldItalic6a">
    <w:name w:val="NormalBoldItalic6a"/>
    <w:basedOn w:val="Normal6a"/>
    <w:qFormat/>
    <w:rsid w:val="00A75A20"/>
    <w:rPr>
      <w:b/>
      <w:i/>
    </w:rPr>
  </w:style>
  <w:style w:type="paragraph" w:customStyle="1" w:styleId="NormalBoldItalicCenter6a">
    <w:name w:val="NormalBoldItalicCenter6a"/>
    <w:basedOn w:val="Normal6a"/>
    <w:qFormat/>
    <w:rsid w:val="00A75A20"/>
    <w:pPr>
      <w:jc w:val="center"/>
    </w:pPr>
    <w:rPr>
      <w:b/>
      <w:i/>
    </w:rPr>
  </w:style>
  <w:style w:type="paragraph" w:customStyle="1" w:styleId="NormalItalic6a">
    <w:name w:val="NormalItalic6a"/>
    <w:basedOn w:val="Normal6a"/>
    <w:qFormat/>
    <w:rsid w:val="00A75A20"/>
    <w:rPr>
      <w:i/>
    </w:rPr>
  </w:style>
  <w:style w:type="paragraph" w:customStyle="1" w:styleId="PageHeadingNotTOC">
    <w:name w:val="PageHeadingNotTOC"/>
    <w:basedOn w:val="PageHeading"/>
    <w:rsid w:val="00A75A20"/>
    <w:rPr>
      <w:rFonts w:cs="Times New Roman"/>
      <w:snapToGrid/>
      <w:lang w:eastAsia="en-GB"/>
    </w:rPr>
  </w:style>
  <w:style w:type="character" w:customStyle="1" w:styleId="Sub">
    <w:name w:val="Sub"/>
    <w:uiPriority w:val="1"/>
    <w:qFormat/>
    <w:rsid w:val="0065571D"/>
    <w:rPr>
      <w:vertAlign w:val="subscript"/>
    </w:rPr>
  </w:style>
  <w:style w:type="character" w:customStyle="1" w:styleId="SubBold">
    <w:name w:val="SubBold"/>
    <w:uiPriority w:val="1"/>
    <w:qFormat/>
    <w:rsid w:val="0065571D"/>
    <w:rPr>
      <w:b/>
      <w:vertAlign w:val="subscript"/>
    </w:rPr>
  </w:style>
  <w:style w:type="character" w:customStyle="1" w:styleId="SubBoldItalic">
    <w:name w:val="SubBoldItalic"/>
    <w:uiPriority w:val="1"/>
    <w:rsid w:val="0065571D"/>
    <w:rPr>
      <w:b/>
      <w:i/>
      <w:vertAlign w:val="subscript"/>
    </w:rPr>
  </w:style>
  <w:style w:type="character" w:customStyle="1" w:styleId="SubItalic">
    <w:name w:val="SubItalic"/>
    <w:uiPriority w:val="1"/>
    <w:qFormat/>
    <w:rsid w:val="0065571D"/>
    <w:rPr>
      <w:b/>
      <w:i/>
      <w:vertAlign w:val="subscript"/>
    </w:rPr>
  </w:style>
  <w:style w:type="character" w:customStyle="1" w:styleId="Sup">
    <w:name w:val="Sup"/>
    <w:uiPriority w:val="1"/>
    <w:rsid w:val="0065571D"/>
    <w:rPr>
      <w:vertAlign w:val="superscript"/>
    </w:rPr>
  </w:style>
  <w:style w:type="character" w:customStyle="1" w:styleId="SupBoldItalic">
    <w:name w:val="SupBoldItalic"/>
    <w:uiPriority w:val="1"/>
    <w:qFormat/>
    <w:rsid w:val="0065571D"/>
    <w:rPr>
      <w:b/>
      <w:i/>
      <w:vertAlign w:val="superscript"/>
    </w:rPr>
  </w:style>
  <w:style w:type="character" w:customStyle="1" w:styleId="Underline">
    <w:name w:val="Underline"/>
    <w:uiPriority w:val="1"/>
    <w:rsid w:val="0065571D"/>
    <w:rPr>
      <w:u w:val="single"/>
    </w:rPr>
  </w:style>
  <w:style w:type="paragraph" w:customStyle="1" w:styleId="NormalBoldCenter">
    <w:name w:val="NormalBoldCenter"/>
    <w:basedOn w:val="Normal"/>
    <w:rsid w:val="00880359"/>
    <w:pPr>
      <w:jc w:val="center"/>
    </w:pPr>
    <w:rPr>
      <w:b/>
      <w:snapToGrid/>
      <w:lang w:eastAsia="en-GB"/>
    </w:rPr>
  </w:style>
  <w:style w:type="paragraph" w:customStyle="1" w:styleId="ProcedureTable">
    <w:name w:val="ProcedureTable"/>
    <w:basedOn w:val="Normal"/>
    <w:rsid w:val="008572D4"/>
    <w:rPr>
      <w:snapToGrid/>
      <w:sz w:val="20"/>
      <w:lang w:eastAsia="en-GB"/>
    </w:rPr>
  </w:style>
  <w:style w:type="paragraph" w:customStyle="1" w:styleId="ProcedureTableBold">
    <w:name w:val="ProcedureTableBold"/>
    <w:basedOn w:val="Normal"/>
    <w:rsid w:val="008572D4"/>
    <w:rPr>
      <w:b/>
      <w:snapToGrid/>
      <w:sz w:val="20"/>
      <w:lang w:eastAsia="en-GB"/>
    </w:rPr>
  </w:style>
  <w:style w:type="paragraph" w:customStyle="1" w:styleId="NormalCenter">
    <w:name w:val="NormalCenter"/>
    <w:basedOn w:val="Normal"/>
    <w:rsid w:val="00314D1A"/>
    <w:pPr>
      <w:jc w:val="center"/>
    </w:pPr>
    <w:rPr>
      <w:snapToGrid/>
      <w:lang w:eastAsia="en-GB"/>
    </w:rPr>
  </w:style>
  <w:style w:type="character" w:customStyle="1" w:styleId="SubBoldItalicUnderline">
    <w:name w:val="SubBoldItalicUnderline"/>
    <w:uiPriority w:val="1"/>
    <w:rsid w:val="0065571D"/>
    <w:rPr>
      <w:b/>
      <w:i/>
      <w:u w:val="single"/>
      <w:vertAlign w:val="subscript"/>
    </w:rPr>
  </w:style>
  <w:style w:type="character" w:customStyle="1" w:styleId="SubBoldUnderline">
    <w:name w:val="SubBoldUnderline"/>
    <w:uiPriority w:val="1"/>
    <w:rsid w:val="0065571D"/>
    <w:rPr>
      <w:b/>
      <w:u w:val="single"/>
      <w:vertAlign w:val="subscript"/>
    </w:rPr>
  </w:style>
  <w:style w:type="character" w:customStyle="1" w:styleId="SubItalicUnderline">
    <w:name w:val="SubItalicUnderline"/>
    <w:uiPriority w:val="1"/>
    <w:rsid w:val="0065571D"/>
    <w:rPr>
      <w:i/>
      <w:u w:val="single"/>
      <w:vertAlign w:val="subscript"/>
    </w:rPr>
  </w:style>
  <w:style w:type="character" w:customStyle="1" w:styleId="SubUnderline">
    <w:name w:val="SubUnderline"/>
    <w:uiPriority w:val="1"/>
    <w:rsid w:val="0065571D"/>
    <w:rPr>
      <w:u w:val="single"/>
      <w:vertAlign w:val="subscript"/>
    </w:rPr>
  </w:style>
  <w:style w:type="character" w:customStyle="1" w:styleId="SupBold">
    <w:name w:val="SupBold"/>
    <w:uiPriority w:val="1"/>
    <w:rsid w:val="0065571D"/>
    <w:rPr>
      <w:b/>
      <w:vertAlign w:val="superscript"/>
    </w:rPr>
  </w:style>
  <w:style w:type="character" w:customStyle="1" w:styleId="SupBoldItalicUnderline">
    <w:name w:val="SupBoldItalicUnderline"/>
    <w:uiPriority w:val="1"/>
    <w:rsid w:val="0065571D"/>
    <w:rPr>
      <w:b/>
      <w:i/>
      <w:u w:val="single"/>
      <w:vertAlign w:val="superscript"/>
    </w:rPr>
  </w:style>
  <w:style w:type="character" w:customStyle="1" w:styleId="SupBoldUnderline">
    <w:name w:val="SupBoldUnderline"/>
    <w:uiPriority w:val="1"/>
    <w:rsid w:val="0065571D"/>
    <w:rPr>
      <w:b/>
      <w:u w:val="single"/>
      <w:vertAlign w:val="superscript"/>
    </w:rPr>
  </w:style>
  <w:style w:type="character" w:customStyle="1" w:styleId="SupItalic">
    <w:name w:val="SupItalic"/>
    <w:uiPriority w:val="1"/>
    <w:rsid w:val="0065571D"/>
    <w:rPr>
      <w:i/>
      <w:vertAlign w:val="superscript"/>
    </w:rPr>
  </w:style>
  <w:style w:type="character" w:customStyle="1" w:styleId="SupItalicUnderline">
    <w:name w:val="SupItalicUnderline"/>
    <w:uiPriority w:val="1"/>
    <w:rsid w:val="0065571D"/>
    <w:rPr>
      <w:i/>
      <w:u w:val="single"/>
      <w:vertAlign w:val="superscript"/>
    </w:rPr>
  </w:style>
  <w:style w:type="character" w:customStyle="1" w:styleId="SupUnderline">
    <w:name w:val="SupUnderline"/>
    <w:uiPriority w:val="1"/>
    <w:rsid w:val="0065571D"/>
    <w:rPr>
      <w:u w:val="single"/>
      <w:vertAlign w:val="superscript"/>
    </w:rPr>
  </w:style>
  <w:style w:type="paragraph" w:customStyle="1" w:styleId="Normal24a">
    <w:name w:val="Normal24a"/>
    <w:basedOn w:val="Normal"/>
    <w:rsid w:val="00B140D0"/>
    <w:pPr>
      <w:spacing w:after="480"/>
    </w:pPr>
    <w:rPr>
      <w:snapToGrid/>
      <w:lang w:eastAsia="en-GB"/>
    </w:rPr>
  </w:style>
  <w:style w:type="paragraph" w:customStyle="1" w:styleId="Normal12a24b">
    <w:name w:val="Normal12a24b"/>
    <w:basedOn w:val="Normal"/>
    <w:rsid w:val="00D46F6C"/>
    <w:pPr>
      <w:spacing w:before="360" w:after="240"/>
    </w:pPr>
  </w:style>
  <w:style w:type="paragraph" w:customStyle="1" w:styleId="NormalTab">
    <w:name w:val="NormalTab"/>
    <w:basedOn w:val="Normal"/>
    <w:rsid w:val="00CC6F1E"/>
    <w:pPr>
      <w:tabs>
        <w:tab w:val="center" w:pos="284"/>
        <w:tab w:val="left" w:pos="425"/>
      </w:tabs>
    </w:pPr>
    <w:rPr>
      <w:snapToGrid/>
      <w:lang w:eastAsia="en-GB"/>
    </w:rPr>
  </w:style>
  <w:style w:type="character" w:styleId="Hyperlink">
    <w:name w:val="Hyperlink"/>
    <w:basedOn w:val="DefaultParagraphFont"/>
    <w:rsid w:val="00EF7B9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footnotes" Target="footnotes.xml" /><Relationship Id="rId10" Type="http://schemas.openxmlformats.org/officeDocument/2006/relationships/footer" Target="footer2.xml" /><Relationship Id="rId11" Type="http://schemas.openxmlformats.org/officeDocument/2006/relationships/footer" Target="footer3.xml" /><Relationship Id="rId12" Type="http://schemas.openxmlformats.org/officeDocument/2006/relationships/hyperlink" Target="https://www.europarl.europa.eu/data-protect/index.do" TargetMode="External" /><Relationship Id="rId13" Type="http://schemas.openxmlformats.org/officeDocument/2006/relationships/theme" Target="theme/theme1.xml" /><Relationship Id="rId14" Type="http://schemas.openxmlformats.org/officeDocument/2006/relationships/numbering" Target="numbering.xml" /><Relationship Id="rId15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image" Target="media/image1.png" /><Relationship Id="rId6" Type="http://schemas.openxmlformats.org/officeDocument/2006/relationships/hyperlink" Target="https://eur-lex.europa.eu/legal-content/PL/ALL/?uri=CELEX%3A52021DC0102" TargetMode="External" /><Relationship Id="rId7" Type="http://schemas.openxmlformats.org/officeDocument/2006/relationships/hyperlink" Target="https://eur-lex.europa.eu/legal-content/PL/ALL/?uri=CELEX%3A52020DC0152" TargetMode="External" /><Relationship Id="rId8" Type="http://schemas.openxmlformats.org/officeDocument/2006/relationships/hyperlink" Target="https://eur-lex.europa.eu/legal-content/PL/ALL/?uri=CELEX:52025DC0097" TargetMode="External" /><Relationship Id="rId9" Type="http://schemas.openxmlformats.org/officeDocument/2006/relationships/footer" Target="footer1.xml" /></Relationships>
</file>

<file path=word/_rels/footnotes.xml.rels><?xml version="1.0" encoding="utf-8" standalone="yes"?><Relationships xmlns="http://schemas.openxmlformats.org/package/2006/relationships"><Relationship Id="rId1" Type="http://schemas.openxmlformats.org/officeDocument/2006/relationships/hyperlink" Target="http://data.europa.eu/eli/dir/1979/7/oj" TargetMode="External" /><Relationship Id="rId10" Type="http://schemas.openxmlformats.org/officeDocument/2006/relationships/hyperlink" Target="http://data.europa.eu/eli/dir/2024/1385/oj" TargetMode="External" /><Relationship Id="rId11" Type="http://schemas.openxmlformats.org/officeDocument/2006/relationships/hyperlink" Target="http://data.europa.eu/eli/dir/2024/1500/oj" TargetMode="External" /><Relationship Id="rId12" Type="http://schemas.openxmlformats.org/officeDocument/2006/relationships/hyperlink" Target="http://data.europa.eu/eli/dir/2024/1712/oj" TargetMode="External" /><Relationship Id="rId13" Type="http://schemas.openxmlformats.org/officeDocument/2006/relationships/hyperlink" Target="http://data.europa.eu/eli/C/2023/1224/oj" TargetMode="External" /><Relationship Id="rId14" Type="http://schemas.openxmlformats.org/officeDocument/2006/relationships/hyperlink" Target="http://data.europa.eu/eli/C/2025/1279/oj" TargetMode="External" /><Relationship Id="rId15" Type="http://schemas.openxmlformats.org/officeDocument/2006/relationships/hyperlink" Target="https://eige.europa.eu/gender-based-violence" TargetMode="External" /><Relationship Id="rId2" Type="http://schemas.openxmlformats.org/officeDocument/2006/relationships/hyperlink" Target="http://data.europa.eu/eli/dir/1986/613/oj" TargetMode="External" /><Relationship Id="rId3" Type="http://schemas.openxmlformats.org/officeDocument/2006/relationships/hyperlink" Target="http://data.europa.eu/eli/dir/1992/85/oj" TargetMode="External" /><Relationship Id="rId4" Type="http://schemas.openxmlformats.org/officeDocument/2006/relationships/hyperlink" Target="http://data.europa.eu/eli/dir/2004/113/oj" TargetMode="External" /><Relationship Id="rId5" Type="http://schemas.openxmlformats.org/officeDocument/2006/relationships/hyperlink" Target="http://data.europa.eu/eli/dir/2006/54/oj" TargetMode="External" /><Relationship Id="rId6" Type="http://schemas.openxmlformats.org/officeDocument/2006/relationships/hyperlink" Target="http://data.europa.eu/eli/dir/2010/41/oj" TargetMode="External" /><Relationship Id="rId7" Type="http://schemas.openxmlformats.org/officeDocument/2006/relationships/hyperlink" Target="http://data.europa.eu/eli/dir/2019/1158/oj" TargetMode="External" /><Relationship Id="rId8" Type="http://schemas.openxmlformats.org/officeDocument/2006/relationships/hyperlink" Target="http://data.europa.eu/eli/dir/2022/2381/oj" TargetMode="External" /><Relationship Id="rId9" Type="http://schemas.openxmlformats.org/officeDocument/2006/relationships/hyperlink" Target="http://data.europa.eu/eli/dir/2023/970/oj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15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PR_INI</dc:title>
  <dc:creator>e-Parliament@europarl.europa.eu</dc:creator>
  <cp:lastModifiedBy>e-Parliament@europarl.europa.eu</cp:lastModifiedBy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&lt;Extension&gt;">
    <vt:lpwstr>PL</vt:lpwstr>
  </property>
  <property fmtid="{D5CDD505-2E9C-101B-9397-08002B2CF9AE}" pid="3" name="&lt;FdR&gt;">
    <vt:lpwstr>1316271</vt:lpwstr>
  </property>
  <property fmtid="{D5CDD505-2E9C-101B-9397-08002B2CF9AE}" pid="4" name="&lt;Model&gt;">
    <vt:lpwstr>PR_INI</vt:lpwstr>
  </property>
  <property fmtid="{D5CDD505-2E9C-101B-9397-08002B2CF9AE}" pid="5" name="&lt;Type&gt;">
    <vt:lpwstr>PR</vt:lpwstr>
  </property>
  <property fmtid="{D5CDD505-2E9C-101B-9397-08002B2CF9AE}" pid="6" name="DMXMLUID">
    <vt:lpwstr>20250404-114205-011190-758708</vt:lpwstr>
  </property>
  <property fmtid="{D5CDD505-2E9C-101B-9397-08002B2CF9AE}" pid="7" name="FooterPath">
    <vt:lpwstr>PR\1316271PL.doc</vt:lpwstr>
  </property>
  <property fmtid="{D5CDD505-2E9C-101B-9397-08002B2CF9AE}" pid="8" name="PE Number">
    <vt:lpwstr>770.090</vt:lpwstr>
  </property>
  <property fmtid="{D5CDD505-2E9C-101B-9397-08002B2CF9AE}" pid="9" name="UID">
    <vt:lpwstr>eu.europa.europarl-DIN1-2025-0000056500_01.06-pl-01.00_text-xml</vt:lpwstr>
  </property>
</Properties>
</file>