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1.0 -->
  <w:body>
    <w:tbl>
      <w:tblPr>
        <w:jc w:val="left"/>
        <w:tblLayout w:type="fixed"/>
        <w:tblCellMar>
          <w:top w:w="0" w:type="dxa"/>
          <w:left w:w="108" w:type="dxa"/>
          <w:bottom w:w="0" w:type="dxa"/>
          <w:right w:w="108" w:type="dxa"/>
        </w:tblCellMar>
      </w:tblPr>
      <w:tblGrid>
        <w:gridCol w:w="6804"/>
        <w:gridCol w:w="2488"/>
      </w:tblGrid>
      <w:tr>
        <w:tblPrEx>
          <w:jc w:val="left"/>
          <w:tblLayout w:type="fixed"/>
          <w:tblCellMar>
            <w:top w:w="0" w:type="dxa"/>
            <w:left w:w="108" w:type="dxa"/>
            <w:bottom w:w="0" w:type="dxa"/>
            <w:right w:w="108" w:type="dxa"/>
          </w:tblCellMar>
        </w:tblPrEx>
        <w:trPr>
          <w:cantSplit w:val="0"/>
          <w:trHeight w:hRule="exact" w:val="1420"/>
          <w:jc w:val="left"/>
        </w:trPr>
        <w:tc>
          <w:tcPr>
            <w:tcW w:w="6804" w:type="dxa"/>
            <w:vAlign w:val="center"/>
          </w:tcPr>
          <w:p>
            <w:pPr>
              <w:pStyle w:val="EPName"/>
            </w:pPr>
            <w:r w:rsidR="00A77B3E">
              <w:t>Ευρωπαϊκό Κοινοβούλιο</w:t>
            </w:r>
          </w:p>
          <w:p>
            <w:pPr>
              <w:pStyle w:val="EPTerm"/>
            </w:pPr>
            <w:r>
              <w:t>2024-2029</w:t>
            </w:r>
          </w:p>
        </w:tc>
        <w:tc>
          <w:tcPr>
            <w:tcW w:w="2488" w:type="dxa"/>
            <w:vAlign w:val="top"/>
          </w:tcPr>
          <w:p>
            <w:pPr>
              <w:pStyle w:val="EPLogo"/>
            </w:pPr>
            <w:r>
              <w:drawing>
                <wp:inline>
                  <wp:extent cx="1162812" cy="647954"/>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5"/>
                          <a:stretch>
                            <a:fillRect/>
                          </a:stretch>
                        </pic:blipFill>
                        <pic:spPr>
                          <a:xfrm>
                            <a:off x="0" y="0"/>
                            <a:ext cx="1162812" cy="647954"/>
                          </a:xfrm>
                          <a:prstGeom prst="rect">
                            <a:avLst/>
                          </a:prstGeom>
                        </pic:spPr>
                      </pic:pic>
                    </a:graphicData>
                  </a:graphic>
                </wp:inline>
              </w:drawing>
            </w:r>
          </w:p>
        </w:tc>
      </w:tr>
    </w:tbl>
    <w:p>
      <w:pPr>
        <w:pStyle w:val="LineTop"/>
      </w:pPr>
    </w:p>
    <w:p>
      <w:pPr>
        <w:pStyle w:val="EPBody"/>
      </w:pPr>
      <w:r>
        <w:rPr>
          <w:rStyle w:val="HideTWBExt"/>
        </w:rPr>
        <w:t>&lt;</w:t>
      </w:r>
      <w:r>
        <w:rPr>
          <w:rStyle w:val="HideTWBExt"/>
        </w:rPr>
        <w:t>Commission</w:t>
      </w:r>
      <w:r>
        <w:rPr>
          <w:rStyle w:val="HideTWBExt"/>
        </w:rPr>
        <w:t>&gt;</w:t>
      </w:r>
      <w:r>
        <w:rPr>
          <w:rStyle w:val="HideTWBInt"/>
        </w:rPr>
        <w:t>{</w:t>
      </w:r>
      <w:r>
        <w:rPr>
          <w:rStyle w:val="HideTWBInt"/>
        </w:rPr>
        <w:t>FEMM</w:t>
      </w:r>
      <w:r>
        <w:rPr>
          <w:rStyle w:val="HideTWBInt"/>
        </w:rPr>
        <w:t>}</w:t>
      </w:r>
      <w:r>
        <w:t>Επιτροπή Δικαιωμάτων των Γυναικών και Ισότητας των Φύλων</w:t>
      </w:r>
      <w:r>
        <w:rPr>
          <w:rStyle w:val="HideTWBExt"/>
        </w:rPr>
        <w:t>&lt;/</w:t>
      </w:r>
      <w:r>
        <w:rPr>
          <w:rStyle w:val="HideTWBExt"/>
        </w:rPr>
        <w:t>Commission</w:t>
      </w:r>
      <w:r>
        <w:rPr>
          <w:rStyle w:val="HideTWBExt"/>
        </w:rPr>
        <w:t>&gt;</w:t>
      </w:r>
    </w:p>
    <w:p>
      <w:pPr>
        <w:pStyle w:val="LineBottom"/>
      </w:pPr>
    </w:p>
    <w:p>
      <w:pPr>
        <w:pStyle w:val="CoverReference"/>
      </w:pPr>
      <w:r>
        <w:rPr>
          <w:rStyle w:val="HideTWBExt"/>
        </w:rPr>
        <w:t>&lt;</w:t>
      </w:r>
      <w:r>
        <w:rPr>
          <w:rStyle w:val="HideTWBExt"/>
        </w:rPr>
        <w:t>RefProc</w:t>
      </w:r>
      <w:r>
        <w:rPr>
          <w:rStyle w:val="HideTWBExt"/>
        </w:rPr>
        <w:t>&gt;</w:t>
      </w:r>
      <w:r>
        <w:t>2024/2124</w:t>
      </w:r>
      <w:r>
        <w:rPr>
          <w:rStyle w:val="HideTWBExt"/>
        </w:rPr>
        <w:t>&lt;/</w:t>
      </w:r>
      <w:r>
        <w:rPr>
          <w:rStyle w:val="HideTWBExt"/>
        </w:rPr>
        <w:t>RefProc</w:t>
      </w:r>
      <w:r>
        <w:rPr>
          <w:rStyle w:val="HideTWBExt"/>
        </w:rPr>
        <w:t>&gt;</w:t>
      </w:r>
      <w:r>
        <w:rPr>
          <w:rStyle w:val="HideTWBExt"/>
        </w:rPr>
        <w:t>&lt;</w:t>
      </w:r>
      <w:r>
        <w:rPr>
          <w:rStyle w:val="HideTWBExt"/>
        </w:rPr>
        <w:t>RefTypeProc</w:t>
      </w:r>
      <w:r>
        <w:rPr>
          <w:rStyle w:val="HideTWBExt"/>
        </w:rPr>
        <w:t>&gt;</w:t>
      </w:r>
      <w:r>
        <w:t>(INI)</w:t>
      </w:r>
      <w:r>
        <w:rPr>
          <w:rStyle w:val="HideTWBExt"/>
        </w:rPr>
        <w:t>&lt;/</w:t>
      </w:r>
      <w:r>
        <w:rPr>
          <w:rStyle w:val="HideTWBExt"/>
        </w:rPr>
        <w:t>RefTypeProc</w:t>
      </w:r>
      <w:r>
        <w:rPr>
          <w:rStyle w:val="HideTWBExt"/>
        </w:rPr>
        <w:t>&gt;</w:t>
      </w:r>
    </w:p>
    <w:p>
      <w:pPr>
        <w:pStyle w:val="CoverDate"/>
      </w:pPr>
      <w:r>
        <w:rPr>
          <w:rStyle w:val="HideTWBExt"/>
        </w:rPr>
        <w:t>&lt;</w:t>
      </w:r>
      <w:r>
        <w:rPr>
          <w:rStyle w:val="HideTWBExt"/>
        </w:rPr>
        <w:t>Date</w:t>
      </w:r>
      <w:r>
        <w:rPr>
          <w:rStyle w:val="HideTWBExt"/>
        </w:rPr>
        <w:t>&gt;</w:t>
      </w:r>
      <w:r>
        <w:rPr>
          <w:rStyle w:val="HideTWBInt"/>
        </w:rPr>
        <w:t>{</w:t>
      </w:r>
      <w:r>
        <w:rPr>
          <w:rStyle w:val="HideTWBInt"/>
        </w:rPr>
        <w:t>16/07/2025</w:t>
      </w:r>
      <w:r>
        <w:rPr>
          <w:rStyle w:val="HideTWBInt"/>
        </w:rPr>
        <w:t>}</w:t>
      </w:r>
      <w:r>
        <w:t>16.07.2025</w:t>
      </w:r>
      <w:r>
        <w:rPr>
          <w:rStyle w:val="HideTWBExt"/>
        </w:rPr>
        <w:t>&lt;/</w:t>
      </w:r>
      <w:r>
        <w:rPr>
          <w:rStyle w:val="HideTWBExt"/>
        </w:rPr>
        <w:t>Date</w:t>
      </w:r>
      <w:r>
        <w:rPr>
          <w:rStyle w:val="HideTWBExt"/>
        </w:rPr>
        <w:t>&gt;</w:t>
      </w:r>
    </w:p>
    <w:p>
      <w:pPr>
        <w:pStyle w:val="CoverDocType24a"/>
      </w:pPr>
      <w:r>
        <w:rPr>
          <w:rStyle w:val="HideTWBExt"/>
        </w:rPr>
        <w:t>&lt;</w:t>
      </w:r>
      <w:r>
        <w:rPr>
          <w:rStyle w:val="HideTWBExt"/>
        </w:rPr>
        <w:t>TitreType</w:t>
      </w:r>
      <w:r>
        <w:rPr>
          <w:rStyle w:val="HideTWBExt"/>
        </w:rPr>
        <w:t>&gt;</w:t>
      </w:r>
      <w:r>
        <w:t>ΣΧΕΔΙΟ ΕΚΘΕΣΗΣ</w:t>
      </w:r>
      <w:r>
        <w:rPr>
          <w:rStyle w:val="HideTWBExt"/>
        </w:rPr>
        <w:t>&lt;/</w:t>
      </w:r>
      <w:r>
        <w:rPr>
          <w:rStyle w:val="HideTWBExt"/>
        </w:rPr>
        <w:t>TitreType</w:t>
      </w:r>
      <w:r>
        <w:rPr>
          <w:rStyle w:val="HideTWBExt"/>
        </w:rPr>
        <w:t>&gt;</w:t>
      </w:r>
    </w:p>
    <w:p>
      <w:pPr>
        <w:pStyle w:val="CoverNormal"/>
      </w:pPr>
      <w:r>
        <w:rPr>
          <w:rStyle w:val="HideTWBExt"/>
        </w:rPr>
        <w:t>&lt;</w:t>
      </w:r>
      <w:r>
        <w:rPr>
          <w:rStyle w:val="HideTWBExt"/>
        </w:rPr>
        <w:t>Titre</w:t>
      </w:r>
      <w:r>
        <w:rPr>
          <w:rStyle w:val="HideTWBExt"/>
        </w:rPr>
        <w:t>&gt;</w:t>
      </w:r>
      <w:r>
        <w:t>σχετικά με τη γυναικεία επιχειρηματικότητα σε αγροτικές, νησιωτικές και εξόχως απόκεντρες περιοχές</w:t>
      </w:r>
      <w:r>
        <w:rPr>
          <w:rStyle w:val="HideTWBExt"/>
        </w:rPr>
        <w:t>&lt;/</w:t>
      </w:r>
      <w:r>
        <w:rPr>
          <w:rStyle w:val="HideTWBExt"/>
        </w:rPr>
        <w:t>Titre</w:t>
      </w:r>
      <w:r>
        <w:rPr>
          <w:rStyle w:val="HideTWBExt"/>
        </w:rPr>
        <w:t>&gt;</w:t>
      </w:r>
    </w:p>
    <w:p>
      <w:pPr>
        <w:pStyle w:val="CoverNormal24a"/>
      </w:pPr>
      <w:r>
        <w:rPr>
          <w:rStyle w:val="HideTWBExt"/>
        </w:rPr>
        <w:t>&lt;</w:t>
      </w:r>
      <w:r>
        <w:rPr>
          <w:rStyle w:val="HideTWBExt"/>
        </w:rPr>
        <w:t>DocRef</w:t>
      </w:r>
      <w:r>
        <w:rPr>
          <w:rStyle w:val="HideTWBExt"/>
        </w:rPr>
        <w:t>&gt;</w:t>
      </w:r>
      <w:r>
        <w:t>(2024/2124(INI))</w:t>
      </w:r>
      <w:r>
        <w:rPr>
          <w:rStyle w:val="HideTWBExt"/>
        </w:rPr>
        <w:t>&lt;/</w:t>
      </w:r>
      <w:r>
        <w:rPr>
          <w:rStyle w:val="HideTWBExt"/>
        </w:rPr>
        <w:t>DocRef</w:t>
      </w:r>
      <w:r>
        <w:rPr>
          <w:rStyle w:val="HideTWBExt"/>
        </w:rPr>
        <w:t>&gt;</w:t>
      </w:r>
    </w:p>
    <w:p>
      <w:pPr>
        <w:pStyle w:val="CoverNormal24a"/>
      </w:pPr>
      <w:r>
        <w:rPr>
          <w:rStyle w:val="HideTWBExt"/>
        </w:rPr>
        <w:t>&lt;</w:t>
      </w:r>
      <w:r>
        <w:rPr>
          <w:rStyle w:val="HideTWBExt"/>
        </w:rPr>
        <w:t>Commission</w:t>
      </w:r>
      <w:r>
        <w:rPr>
          <w:rStyle w:val="HideTWBExt"/>
        </w:rPr>
        <w:t>&gt;</w:t>
      </w:r>
      <w:r>
        <w:rPr>
          <w:rStyle w:val="HideTWBInt"/>
        </w:rPr>
        <w:t>{</w:t>
      </w:r>
      <w:r>
        <w:rPr>
          <w:rStyle w:val="HideTWBInt"/>
        </w:rPr>
        <w:t>FEMM</w:t>
      </w:r>
      <w:r>
        <w:rPr>
          <w:rStyle w:val="HideTWBInt"/>
        </w:rPr>
        <w:t>}</w:t>
      </w:r>
      <w:r>
        <w:t>Επιτροπή Δικαιωμάτων των Γυναικών και Ισότητας των Φύλων</w:t>
      </w:r>
      <w:r>
        <w:rPr>
          <w:rStyle w:val="HideTWBExt"/>
        </w:rPr>
        <w:t>&lt;/</w:t>
      </w:r>
      <w:r>
        <w:rPr>
          <w:rStyle w:val="HideTWBExt"/>
        </w:rPr>
        <w:t>Commission</w:t>
      </w:r>
      <w:r>
        <w:rPr>
          <w:rStyle w:val="HideTWBExt"/>
        </w:rPr>
        <w:t>&gt;</w:t>
      </w:r>
    </w:p>
    <w:p>
      <w:pPr>
        <w:pStyle w:val="CoverNormal24a"/>
      </w:pPr>
      <w:r>
        <w:t>Εισηγήτρια</w:t>
      </w:r>
      <w:r>
        <w:t xml:space="preserve">: </w:t>
      </w:r>
      <w:r>
        <w:rPr>
          <w:rStyle w:val="HideTWBExt"/>
        </w:rPr>
        <w:t>&lt;</w:t>
      </w:r>
      <w:r>
        <w:rPr>
          <w:rStyle w:val="HideTWBExt"/>
        </w:rPr>
        <w:t>Depute</w:t>
      </w:r>
      <w:r>
        <w:rPr>
          <w:rStyle w:val="HideTWBExt"/>
        </w:rPr>
        <w:t>&gt;</w:t>
      </w:r>
      <w:r>
        <w:t>Elżbieta Katarzyna Łukacijewska</w:t>
      </w:r>
      <w:r>
        <w:rPr>
          <w:rStyle w:val="HideTWBExt"/>
        </w:rPr>
        <w:t>&lt;/</w:t>
      </w:r>
      <w:r>
        <w:rPr>
          <w:rStyle w:val="HideTWBExt"/>
        </w:rPr>
        <w:t>Depute</w:t>
      </w:r>
      <w:r>
        <w:rPr>
          <w:rStyle w:val="HideTWBExt"/>
        </w:rPr>
        <w:t>&gt;</w:t>
      </w:r>
    </w:p>
    <w:p>
      <w:r>
        <w:br w:type="page"/>
      </w:r>
      <w:r>
        <w:t>PR_INI</w:t>
      </w:r>
    </w:p>
    <w:p>
      <w:pPr>
        <w:pStyle w:val="TOCHeading"/>
      </w:pPr>
      <w:r>
        <w:t>ΠΕΡΙΕΧΟΜΕNA</w:t>
      </w:r>
    </w:p>
    <w:p>
      <w:pPr>
        <w:pStyle w:val="TOCPage"/>
      </w:pPr>
      <w:r>
        <w:t>Σελίδα</w:t>
      </w:r>
    </w:p>
    <w:p>
      <w:pPr>
        <w:pStyle w:val="TOC1"/>
        <w:tabs>
          <w:tab w:val="right" w:leader="dot" w:pos="9062"/>
        </w:tabs>
        <w:rPr>
          <w:rFonts w:ascii="Calibri" w:hAnsi="Calibri"/>
          <w:noProof/>
          <w:sz w:val="22"/>
        </w:rPr>
      </w:pPr>
      <w:r>
        <w:fldChar w:fldCharType="begin"/>
      </w:r>
      <w:r>
        <w:instrText>TOC \t "PageHeading"</w:instrText>
      </w:r>
      <w:r>
        <w:fldChar w:fldCharType="separate"/>
      </w:r>
      <w:r>
        <w:t>ΠΡΟΤΑΣΗ ΨΗΦΙΣΜΑΤΟΣ ΤΟΥ ΕΥΡΩΠΑΪΚΟΥ ΚΟΙΝΟΒΟΥΛΙΟΥ</w:t>
      </w:r>
      <w:r>
        <w:tab/>
      </w:r>
      <w:r>
        <w:fldChar w:fldCharType="begin"/>
      </w:r>
      <w:r>
        <w:instrText xml:space="preserve"> PAGEREF _Toc256000003 \h </w:instrText>
      </w:r>
      <w:r>
        <w:fldChar w:fldCharType="separate"/>
      </w:r>
      <w:r>
        <w:t>3</w:t>
      </w:r>
      <w:r>
        <w:fldChar w:fldCharType="end"/>
      </w:r>
    </w:p>
    <w:p>
      <w:pPr>
        <w:pStyle w:val="TOC1"/>
        <w:tabs>
          <w:tab w:val="right" w:leader="dot" w:pos="9062"/>
        </w:tabs>
        <w:rPr>
          <w:rFonts w:ascii="Calibri" w:hAnsi="Calibri"/>
          <w:noProof/>
          <w:sz w:val="22"/>
        </w:rPr>
      </w:pPr>
      <w:r>
        <w:t>ΑΙΤΙΟΛΟΓΙΚΗ ΕΚΘΕΣΗ</w:t>
      </w:r>
      <w:r>
        <w:tab/>
      </w:r>
      <w:r>
        <w:fldChar w:fldCharType="begin"/>
      </w:r>
      <w:r>
        <w:instrText xml:space="preserve"> PAGEREF _Toc256000004 \h </w:instrText>
      </w:r>
      <w:r>
        <w:fldChar w:fldCharType="separate"/>
      </w:r>
      <w:r>
        <w:t>8</w:t>
      </w:r>
      <w:r>
        <w:fldChar w:fldCharType="end"/>
      </w:r>
    </w:p>
    <w:p>
      <w:pPr>
        <w:pStyle w:val="TOC1"/>
        <w:tabs>
          <w:tab w:val="right" w:leader="dot" w:pos="9062"/>
        </w:tabs>
        <w:rPr>
          <w:rFonts w:ascii="Calibri" w:hAnsi="Calibri"/>
          <w:noProof/>
          <w:sz w:val="22"/>
        </w:rPr>
      </w:pPr>
      <w:r>
        <w:t>ΠΑΡΑΡΤΗΜΑ: ΔΗΛΩΣΗ ΕΙΣΗΓΗΣΕΩΝ</w:t>
      </w:r>
      <w:r>
        <w:tab/>
      </w:r>
      <w:r>
        <w:fldChar w:fldCharType="begin"/>
      </w:r>
      <w:r>
        <w:instrText xml:space="preserve"> PAGEREF _Toc256000005 \h </w:instrText>
      </w:r>
      <w:r>
        <w:fldChar w:fldCharType="separate"/>
      </w:r>
      <w:r>
        <w:t>10</w:t>
      </w:r>
      <w:r>
        <w:fldChar w:fldCharType="end"/>
      </w:r>
    </w:p>
    <w:p>
      <w:pPr>
        <w:pStyle w:val="Normal12b"/>
      </w:pPr>
      <w:r>
        <w:fldChar w:fldCharType="end"/>
      </w:r>
    </w:p>
    <w:p>
      <w:pPr>
        <w:pStyle w:val="CoverNormalLeft"/>
      </w:pPr>
    </w:p>
    <w:p>
      <w:pPr>
        <w:pStyle w:val="PageHeading"/>
      </w:pPr>
      <w:r>
        <w:br w:type="page"/>
      </w:r>
      <w:bookmarkStart w:id="0" w:name="_Toc256000003"/>
      <w:r>
        <w:t>ΠΡΟΤΑΣΗ ΨΗΦΙΣΜΑΤΟΣ ΤΟΥ ΕΥΡΩΠΑΪΚΟΥ ΚΟΙΝΟΒΟΥΛΙΟΥ</w:t>
      </w:r>
      <w:bookmarkEnd w:id="0"/>
    </w:p>
    <w:p>
      <w:pPr>
        <w:pStyle w:val="NormalBold"/>
      </w:pPr>
      <w:r>
        <w:t>σχετικά με τη γυναικεία επιχειρηματικότητα σε αγροτικές, νησιωτικές και εξόχως απόκεντρες περιοχές</w:t>
      </w:r>
    </w:p>
    <w:p>
      <w:pPr>
        <w:pStyle w:val="NormalBold"/>
      </w:pPr>
      <w:r>
        <w:t>(2024/2124(INI))</w:t>
      </w:r>
    </w:p>
    <w:p>
      <w:pPr>
        <w:pStyle w:val="EPComma"/>
      </w:pPr>
      <w:r>
        <w:rPr>
          <w:rStyle w:val="Italic"/>
        </w:rPr>
        <w:t>Το Ευρωπαϊκό Κοινοβούλιο</w:t>
      </w:r>
      <w:r>
        <w:t>,</w:t>
      </w:r>
    </w:p>
    <w:p>
      <w:pPr>
        <w:pStyle w:val="NormalHanging12a"/>
      </w:pPr>
      <w:r>
        <w:t>–</w:t>
      </w:r>
      <w:r>
        <w:tab/>
      </w:r>
      <w:r>
        <w:t xml:space="preserve">έχοντας υπόψη την οδηγία 2006/54/ΕΚ του </w:t>
      </w:r>
      <w:r>
        <w:t>Ευρωπαϊκού Κοινοβουλίου</w:t>
      </w:r>
      <w:r>
        <w:t xml:space="preserve"> και του Συμβουλίου, της 5ης Ιουλίου 2006, σχετικά με την εφαρμογή της αρχής των ίσων ευκαιριών και της ίσης μεταχείρισης ανδρών και γυναικών σε θέματα εργασίας και απασχόλησης</w:t>
      </w:r>
      <w:r>
        <w:rPr>
          <w:rStyle w:val="FootnoteReference"/>
        </w:rPr>
        <w:footnoteReference w:id="2"/>
      </w:r>
      <w:r>
        <w:t>,</w:t>
      </w:r>
    </w:p>
    <w:p>
      <w:pPr>
        <w:pStyle w:val="NormalHanging12a"/>
      </w:pPr>
      <w:r>
        <w:t>–</w:t>
      </w:r>
      <w:r>
        <w:tab/>
      </w:r>
      <w:r>
        <w:t xml:space="preserve">έχοντας υπόψη την οδηγία (ΕΕ) 2023/970 του </w:t>
      </w:r>
      <w:r>
        <w:t>Ευρωπαϊκού Κοινοβουλίου</w:t>
      </w:r>
      <w:r>
        <w:t xml:space="preserve"> και του Συμβουλίου, της 10ης Μαΐου 2023, σχετικά με την ενίσχυση της εφαρμογής της αρχής της ισότητας της αμοιβής μεταξύ ανδρών και γυναικών για όμοια εργασία ή για εργασία της αυτής αξίας, μέσω της μισθολογικής διαφάνειας και μηχανισμών επιβολής</w:t>
      </w:r>
      <w:r>
        <w:rPr>
          <w:rStyle w:val="FootnoteReference"/>
        </w:rPr>
        <w:footnoteReference w:id="3"/>
      </w:r>
      <w:r>
        <w:t>,</w:t>
      </w:r>
    </w:p>
    <w:p>
      <w:pPr>
        <w:pStyle w:val="NormalHanging12a"/>
      </w:pPr>
      <w:r>
        <w:t>–</w:t>
      </w:r>
      <w:r>
        <w:tab/>
      </w:r>
      <w:r>
        <w:t>έχοντας υπόψη την οδηγία (ΕΕ) 2019/1158 του Ευρωπαϊκού Κοινοβουλίου και του Συμβουλίου, της 20ής Ιουνίου 2019, σχετικά με την ισορροπία μεταξύ επαγγελματικής και ιδιωτικής ζωής για τους γονείς και τους φροντιστές και την κατάργηση της οδηγίας 2010/18/ΕΕ του Συμβουλίου</w:t>
      </w:r>
      <w:r>
        <w:rPr>
          <w:rStyle w:val="FootnoteReference"/>
        </w:rPr>
        <w:footnoteReference w:id="4"/>
      </w:r>
      <w:r>
        <w:t>,</w:t>
      </w:r>
    </w:p>
    <w:p>
      <w:pPr>
        <w:pStyle w:val="NormalHanging12a"/>
      </w:pPr>
      <w:r>
        <w:t>–</w:t>
      </w:r>
      <w:r>
        <w:tab/>
      </w:r>
      <w:r>
        <w:t>έχοντας υπόψη τη στρατηγική της ΕΕ για την ισότητα των φύλων 2020-2025,</w:t>
      </w:r>
    </w:p>
    <w:p>
      <w:pPr>
        <w:pStyle w:val="NormalHanging12a"/>
      </w:pPr>
      <w:r>
        <w:t>–</w:t>
      </w:r>
      <w:r>
        <w:tab/>
      </w:r>
      <w:r>
        <w:t xml:space="preserve">έχοντας υπόψη τη στρατηγική του </w:t>
      </w:r>
      <w:r>
        <w:t>Ευρωπαϊκού Ταμείου Επενδύσεων</w:t>
      </w:r>
      <w:r>
        <w:t xml:space="preserve"> και του </w:t>
      </w:r>
      <w:r>
        <w:t>Ομίλου της Ευρωπαϊκής Τράπεζας Επενδύσεων</w:t>
      </w:r>
      <w:r>
        <w:t xml:space="preserve"> για την ισότητα των φύλων</w:t>
      </w:r>
      <w:r>
        <w:rPr>
          <w:rStyle w:val="FootnoteReference"/>
        </w:rPr>
        <w:footnoteReference w:id="5"/>
      </w:r>
      <w:r>
        <w:t>,</w:t>
      </w:r>
    </w:p>
    <w:p>
      <w:pPr>
        <w:pStyle w:val="NormalHanging12a"/>
      </w:pPr>
      <w:r>
        <w:t>–</w:t>
      </w:r>
      <w:r>
        <w:tab/>
      </w:r>
      <w:r>
        <w:t xml:space="preserve">έχοντας υπόψη τον κανονισμό (ΕΕ) 2021/1060 του </w:t>
      </w:r>
      <w:r>
        <w:t>Ευρωπαϊκού Κοινοβουλίου</w:t>
      </w:r>
      <w:r>
        <w:t xml:space="preserve"> και του Συμβουλίου, της 24ης Ιουνίου 2021, για τον καθορισμό κοινών διατάξεων για το Ευρωπαϊκό Ταμείο Περιφερειακής Ανάπτυξης, το Ευρωπαϊκό Κοινωνικό Ταμείο+, το Ταμείο Συνοχής, το Ταμείο Δίκαιης Μετάβασης και το Ευρωπαϊκό Ταμείο Θάλασσας, Αλιείας και Υδατοκαλλιέργειας, και δημοσιονομικών κανόνων για τα εν λόγω Ταμεία και για το Ταμείο Ασύλου, Μετανάστευσης και Ένταξης, το Ταμείο Εσωτερικής Ασφάλειας και το Μέσο για τη Χρηματοδοτική Στήριξη της Διαχείρισης των Συνόρων και την Πολιτική των Θεωρήσεων</w:t>
      </w:r>
      <w:r>
        <w:rPr>
          <w:rStyle w:val="FootnoteReference"/>
        </w:rPr>
        <w:footnoteReference w:id="6"/>
      </w:r>
      <w:r>
        <w:t>,</w:t>
      </w:r>
    </w:p>
    <w:p>
      <w:pPr>
        <w:pStyle w:val="NormalHanging12a"/>
      </w:pPr>
      <w:r>
        <w:t>–</w:t>
      </w:r>
      <w:r>
        <w:tab/>
      </w:r>
      <w:r>
        <w:t>έχοντας υπόψη το πρόγραμμα του Ευρωπαϊκού Συμβουλίου Καινοτομίας και του Ευρωπαϊκού Ινστιτούτου Καινοτομίας και Τεχνολογίας για την ανάληψη ηγετικών θέσεων από γυναίκες</w:t>
      </w:r>
      <w:r>
        <w:rPr>
          <w:rStyle w:val="FootnoteReference"/>
        </w:rPr>
        <w:footnoteReference w:id="7"/>
      </w:r>
      <w:r>
        <w:t>,</w:t>
      </w:r>
    </w:p>
    <w:p>
      <w:pPr>
        <w:pStyle w:val="NormalHanging12a"/>
      </w:pPr>
      <w:r>
        <w:t>–</w:t>
      </w:r>
      <w:r>
        <w:tab/>
      </w:r>
      <w:r>
        <w:t>έχοντας υπόψη τα προγράμματα για την ισότητα των φύλων του Ευρωπαϊκού Χώρου Έρευνας</w:t>
      </w:r>
      <w:r>
        <w:rPr>
          <w:rStyle w:val="FootnoteReference"/>
        </w:rPr>
        <w:footnoteReference w:id="8"/>
      </w:r>
      <w:r>
        <w:t>,</w:t>
      </w:r>
    </w:p>
    <w:p>
      <w:pPr>
        <w:pStyle w:val="NormalHanging12a"/>
      </w:pPr>
      <w:r>
        <w:t>–</w:t>
      </w:r>
      <w:r>
        <w:tab/>
      </w:r>
      <w:r>
        <w:t>έχοντας υπόψη το ψήφισμά του, της 3ης Μαΐου 2022, σχετικά με την επίτευξη της οικονομικής ανεξαρτησίας των γυναικών μέσω της επιχειρηματικότητας και της αυτοαπασχόλησης</w:t>
      </w:r>
      <w:r>
        <w:rPr>
          <w:rStyle w:val="FootnoteReference"/>
        </w:rPr>
        <w:footnoteReference w:id="9"/>
      </w:r>
      <w:r>
        <w:t>,</w:t>
      </w:r>
    </w:p>
    <w:p>
      <w:pPr>
        <w:pStyle w:val="NormalHanging12a"/>
      </w:pPr>
      <w:r>
        <w:t>–</w:t>
      </w:r>
      <w:r>
        <w:tab/>
      </w:r>
      <w:r>
        <w:t>έχοντας υπόψη το άρθρο 55 του Κανονισμού του,</w:t>
      </w:r>
    </w:p>
    <w:p>
      <w:pPr>
        <w:pStyle w:val="NormalHanging12a"/>
      </w:pPr>
      <w:r>
        <w:t>–</w:t>
      </w:r>
      <w:r>
        <w:tab/>
      </w:r>
      <w:r>
        <w:t>έχοντας υπόψη τη γνωμοδότηση της Επιτροπής Γεωργίας και Ανάπτυξης της Υπαίθρου,</w:t>
      </w:r>
    </w:p>
    <w:p>
      <w:pPr>
        <w:pStyle w:val="NormalHanging12a"/>
      </w:pPr>
      <w:r>
        <w:t>–</w:t>
      </w:r>
      <w:r>
        <w:tab/>
      </w:r>
      <w:r>
        <w:t>έχοντας υπόψη την έκθεση της Επιτροπής Δικαιωμάτων των Γυναικών και Ισότητας των Φύλων (Α10-0000/2025),</w:t>
      </w:r>
    </w:p>
    <w:p>
      <w:pPr>
        <w:pStyle w:val="NormalHanging12a"/>
      </w:pPr>
      <w:r>
        <w:t>Α.</w:t>
      </w:r>
      <w:r>
        <w:tab/>
      </w:r>
      <w:r>
        <w:t>λαμβάνοντας υπόψη ότι οι γυναίκες διαδραματίζουν καίριο ρόλο στις αγροτικές οικονομίες, αλλά εξακολουθούν να αντιμετωπίζουν νομικά, οικονομικά, πολιτιστικά εμπόδια και φραγμούς στις υποδομές όσον αφορά την επιχειρηματικότητα και την οικονομική ανεξαρτησία· λαμβάνοντας υπόψη ότι οι αγροτικές περιοχές αποτελούν αναπόσπαστο μέρος του ευρωπαϊκού τρόπου ζωής, καθώς αποτυπώνουν την ισορροπία μεταξύ παράδοσης και προόδου·</w:t>
      </w:r>
    </w:p>
    <w:p>
      <w:pPr>
        <w:pStyle w:val="NormalHanging12a"/>
      </w:pPr>
      <w:r>
        <w:t>Β.</w:t>
      </w:r>
      <w:r>
        <w:tab/>
      </w:r>
      <w:r>
        <w:t>λαμβάνοντας υπόψη ότι η στοχευμένη πρακτική στήριξη, π.χ. με μικροδάνεια, μεντορία και απλουστευμένες διαδικασίες, μπορεί να ενδυναμώσει τις γυναίκες επιχειρηματίες που δραστηριοποιούνται για πρώτη φορά·</w:t>
      </w:r>
    </w:p>
    <w:p>
      <w:pPr>
        <w:pStyle w:val="NormalHanging12a"/>
      </w:pPr>
      <w:r>
        <w:t>Γ.</w:t>
      </w:r>
      <w:r>
        <w:tab/>
      </w:r>
      <w:r>
        <w:t>λαμβάνοντας υπόψη ότι οι γυναίκες σε εξόχως απόκεντρες και απομακρυσμένες περιοχές αντιμετωπίζουν εντεινόμενες προκλήσεις και εμπόδια λόγω της απομόνωσης, της πληθυσμιακής γήρανσης και των περιορισμένων υπηρεσιών·</w:t>
      </w:r>
    </w:p>
    <w:p>
      <w:pPr>
        <w:pStyle w:val="NormalHanging12a"/>
      </w:pPr>
      <w:r>
        <w:t>Δ.</w:t>
      </w:r>
      <w:r>
        <w:tab/>
      </w:r>
      <w:r>
        <w:t>λαμβάνοντας υπόψη ότι ο συνδυασμός της επιχειρηματικότητας με την οικογενειακή ζωή εξακολουθεί να είναι δύσκολος, ιδίως στις αγροτικές περιοχές όπου οι δημόσιες υπηρεσίες είναι περιορισμένες·</w:t>
      </w:r>
    </w:p>
    <w:p>
      <w:pPr>
        <w:pStyle w:val="NormalHanging12a"/>
      </w:pPr>
      <w:r>
        <w:t>Ε.</w:t>
      </w:r>
      <w:r>
        <w:tab/>
      </w:r>
      <w:r>
        <w:t>λαμβάνοντας υπόψη ότι η έμφυλη βία, ο στιγματισμός και η έλλειψη στήριξης υπονομεύουν τη συμμετοχή των γυναικών στην κοινωνική και οικονομική ζωή στις αγροτικές περιοχές λόγω της έλλειψης δικτύων στήριξης και των πιο έντονων παραδοσιακών ρόλων των φύλων·</w:t>
      </w:r>
    </w:p>
    <w:p>
      <w:pPr>
        <w:pStyle w:val="NormalHanging12a"/>
      </w:pPr>
      <w:r>
        <w:t>ΣΤ.</w:t>
      </w:r>
      <w:r>
        <w:tab/>
      </w:r>
      <w:r>
        <w:t>λαμβάνοντας υπόψη ότι η ψηφιακή ένταξη είναι απαραίτητη για την πρόσβαση των γυναικών σε κατάρτιση, αγορές και εξ αποστάσεως εργασία και ευκαιρίες καινοτομίας· λαμβάνοντας υπόψη ότι η εκπαίδευση των κοριτσιών στους τομείς των θετικών επιστημών, της τεχνολογίας, της μηχανικής και των μαθηματικών (STEM) μπορεί να συμβάλει στη γεφύρωση του χάσματος μεταξύ των φύλων·</w:t>
      </w:r>
    </w:p>
    <w:p>
      <w:pPr>
        <w:pStyle w:val="NormalHanging12a"/>
      </w:pPr>
      <w:r>
        <w:t>Ζ.</w:t>
      </w:r>
      <w:r>
        <w:tab/>
      </w:r>
      <w:r>
        <w:t>λαμβάνοντας υπόψη ότι η στήριξη των γυναικών στη γεωργία, την παραδοσιακή βιοτεχνία και τους δημιουργικούς τομείς συμβάλλει στην τοπική οικονομική ανθεκτικότητα, τη διαφύλαξη του πολιτισμού και την ανανέωση των γενεών·</w:t>
      </w:r>
    </w:p>
    <w:p>
      <w:pPr>
        <w:pStyle w:val="NormalHanging12a"/>
      </w:pPr>
      <w:r>
        <w:t>Η.</w:t>
      </w:r>
      <w:r>
        <w:tab/>
      </w:r>
      <w:r>
        <w:t>λαμβάνοντας υπόψη ότι τα δεδομένα ανά φύλο είναι απαραίτητα για την ανάπτυξη πολιτικών αγροτικής επιχειρηματικότητας που ανταποκρίνονται αποτελεσματικά στις ειδικές ανάγκες των γυναικών·</w:t>
      </w:r>
    </w:p>
    <w:p>
      <w:pPr>
        <w:pStyle w:val="Normal12a24b"/>
      </w:pPr>
      <w:r>
        <w:rPr>
          <w:rStyle w:val="BoldItalic"/>
        </w:rPr>
        <w:t>Συνεκτίμηση της διάστασης της ανταγωνιστικότητας</w:t>
      </w:r>
    </w:p>
    <w:p>
      <w:pPr>
        <w:pStyle w:val="NormalHanging12a"/>
      </w:pPr>
      <w:r>
        <w:t>1.</w:t>
      </w:r>
      <w:r>
        <w:tab/>
      </w:r>
      <w:r>
        <w:t>τονίζει ότι οι γυναίκες επιχειρηματίες αποτελούν βασική κινητήρια δύναμη για την καινοτομία, τη συνοχή και την ανταγωνιστικότητα στις αγροτικές περιοχές· ζητεί να βελτιωθεί η πρόσβαση στη χρηματοδότηση της καινοτομίας, σε ειδικά προσαρμοσμένα προγράμματα στήριξης για τις μικρές και μεσαίες επιχειρήσεις και σε ευκαιρίες στο πλαίσιο της πράσινης και της ψηφιακής οικονομίας, διασφαλίζοντας ότι οι γυναίκες επιχειρηματίες μπορούν να συμμετέχουν πλήρως στις αναδυόμενες αγορές·</w:t>
      </w:r>
    </w:p>
    <w:p>
      <w:pPr>
        <w:pStyle w:val="NormalHanging12a"/>
      </w:pPr>
      <w:r>
        <w:t>2.</w:t>
      </w:r>
      <w:r>
        <w:tab/>
      </w:r>
      <w:r>
        <w:t>ζητεί την ανάπτυξη δομημένων δικτύων μεντορίας και πλατφορμών αλληλοδιδαχής από ομοτίμους, ιδίως σε τομείς όπως η ψηφιοποίηση, η χρηματοδότηση και η διοίκηση·</w:t>
      </w:r>
    </w:p>
    <w:p>
      <w:pPr>
        <w:pStyle w:val="NormalHanging12a"/>
      </w:pPr>
      <w:r>
        <w:t>3.</w:t>
      </w:r>
      <w:r>
        <w:tab/>
      </w:r>
      <w:r>
        <w:t>παροτρύνει τα κράτη μέλη να προωθήσουν επιτυχημένα παραδείγματα γυναικών επιχειρηματιών σε αγροτικές περιοχές μέσω εκστρατειών ευαισθητοποίησης για την ενίσχυση της προβολής, της εμπιστοσύνης και της συμμετοχής της κοινότητας·</w:t>
      </w:r>
    </w:p>
    <w:p>
      <w:pPr>
        <w:pStyle w:val="NormalHanging12a"/>
      </w:pPr>
      <w:r>
        <w:t>4.</w:t>
      </w:r>
      <w:r>
        <w:tab/>
      </w:r>
      <w:r>
        <w:t>καλεί την Επιτροπή και το Ευρωπαϊκό Ινστιτούτο για την Ισότητα των Φύλων, σε συνεργασία με τους κοινωνικούς εταίρους, να αναλύσουν τα βασικά εμπόδια στην απασχόληση και την επιχειρηματικότητα των γυναικών, μεταξύ άλλων στις εξόχως απόκεντρες και απομακρυσμένες περιοχές·</w:t>
      </w:r>
    </w:p>
    <w:p>
      <w:pPr>
        <w:pStyle w:val="NormalHanging12a"/>
      </w:pPr>
      <w:r>
        <w:t>5.</w:t>
      </w:r>
      <w:r>
        <w:tab/>
      </w:r>
      <w:r>
        <w:t>υποστηρίζει τη στρατηγική της Επιτροπής για την ένωση αποταμιεύσεων και επενδύσεων και τη δημιουργία και επέκταση χρηματοδοτικών μέσων χωρίς αποκλεισμούς, συμπεριλαμβανομένου ενός επώνυμου ενωσιακού λογαριασμό αποταμίευσης και επενδύσεων για τη βελτίωση και τη διευκόλυνση της πρόσβασης των εταιρειών της ΕΕ σε χρηματοδότηση·</w:t>
      </w:r>
    </w:p>
    <w:p>
      <w:pPr>
        <w:pStyle w:val="NormalHanging12a"/>
      </w:pPr>
      <w:r>
        <w:t>6.</w:t>
      </w:r>
      <w:r>
        <w:tab/>
      </w:r>
      <w:r>
        <w:t>ζητεί στοχευμένες επενδύσεις σε ψηφιακές υποδομές, ανάπτυξη δεξιοτήτων και συμπεριληπτικά ψηφιακά πλαίσια πολιτικής που διασφαλίζουν ότι οι γυναίκες της υπαίθρου δεν θα μείνουν στο περιθώριο κατά την ψηφιακή μετάβαση·</w:t>
      </w:r>
    </w:p>
    <w:p>
      <w:pPr>
        <w:pStyle w:val="NormalHanging12a"/>
      </w:pPr>
      <w:r>
        <w:t>7.</w:t>
      </w:r>
      <w:r>
        <w:tab/>
      </w:r>
      <w:r>
        <w:t>ζητεί τη λήψη στοχευμένων μέτρων για τη βελτίωση της πρόσβασης των γυναικών σε γη, σε χρηματοδότηση, σε εκπαίδευση και σε κατάρτιση, ιδίως για τις επίδοξες γυναίκες αγρότισσες και ιδιοκτήτριες επιχειρήσεων·</w:t>
      </w:r>
    </w:p>
    <w:p>
      <w:pPr>
        <w:pStyle w:val="NormalHanging12a"/>
      </w:pPr>
      <w:r>
        <w:t>8.</w:t>
      </w:r>
      <w:r>
        <w:tab/>
      </w:r>
      <w:r>
        <w:t>καλεί την Επιτροπή να διαθέσει επαρκή χρηματοδότηση στο πλαίσιο των σχετικών προγραμμάτων για τη στήριξη επιχειρήσεων που διευθύνονται από γυναίκες σε αγροτικές και απομακρυσμένες περιοχές, ιδίως σε καινοτόμους τομείς και στον τομέα του τουρισμού·</w:t>
      </w:r>
    </w:p>
    <w:p>
      <w:pPr>
        <w:pStyle w:val="Normal12a24b"/>
      </w:pPr>
      <w:r>
        <w:rPr>
          <w:rStyle w:val="BoldItalic"/>
        </w:rPr>
        <w:t>Συνεκτίμηση της διάστασης της ετοιμότητας</w:t>
      </w:r>
    </w:p>
    <w:p>
      <w:pPr>
        <w:pStyle w:val="NormalHanging12a"/>
      </w:pPr>
      <w:r>
        <w:t>9.</w:t>
      </w:r>
      <w:r>
        <w:tab/>
      </w:r>
      <w:r>
        <w:t>καλεί τα κράτη μέλη να διασφαλίσουν ότι η απόκτηση ψηφιακών δεξιοτήτων και η διδασκαλία μαθημάτων STEM θα ενσωματωθούν στην εκπαίδευση κατά τρόπο που να καταπολεμά τα επιβλαβή έμφυλα στερεότυπα και να προωθεί την ολοκληρωμένη διδασκαλία σχετικά με τη συναίνεση και τα δικαιώματα·</w:t>
      </w:r>
    </w:p>
    <w:p>
      <w:pPr>
        <w:pStyle w:val="NormalHanging12a"/>
      </w:pPr>
      <w:r>
        <w:t>10.</w:t>
      </w:r>
      <w:r>
        <w:tab/>
      </w:r>
      <w:r>
        <w:t>προτρέπει τα κράτη μέλη να παρέχουν εκπαίδευση που να λαμβάνει υπόψη τη διάσταση του φύλου, υπηρεσίες έκτακτης ανάγκης και υποδομές για τον μετριασμό των επιπτώσεων των κρίσεων στις αγροτικές κοινότητες·</w:t>
      </w:r>
    </w:p>
    <w:p>
      <w:pPr>
        <w:pStyle w:val="Normal12a24b"/>
      </w:pPr>
      <w:r>
        <w:rPr>
          <w:rStyle w:val="BoldItalic"/>
        </w:rPr>
        <w:t xml:space="preserve">Πολιτισμικές παραδόσεις και παραδοσιακή βιοτεχνία </w:t>
      </w:r>
    </w:p>
    <w:p>
      <w:pPr>
        <w:pStyle w:val="NormalHanging12a"/>
      </w:pPr>
      <w:r>
        <w:t>11.</w:t>
      </w:r>
      <w:r>
        <w:tab/>
      </w:r>
      <w:r>
        <w:t>επαινεί τις κοινότητες που ασπάζονται πρόθυμα την τοπική γεωργία με επικεφαλής τις γυναίκες και τις παραδοσιακές χειροτεχνίες, οι οποίες προστατεύονται από τοπικές ενώσεις νοικοκυρών, μνημεία και μουσεία, τα οποία ενισχύουν τον τουρισμό και την κοινωνική υπερηφάνεια εντός της τοπικής κοινότητας·</w:t>
      </w:r>
    </w:p>
    <w:p>
      <w:pPr>
        <w:pStyle w:val="NormalHanging12a"/>
      </w:pPr>
      <w:r>
        <w:t>12.</w:t>
      </w:r>
      <w:r>
        <w:tab/>
      </w:r>
      <w:r>
        <w:t>επισημαίνει το κοινωνικοοικονομικό δυναμικό των παραδοσιακών βιοτεχνιών και των κυκλικών τοπικών οικονομιών, ιδίως για τις ηλικιωμένες γυναίκες· καλεί την Επιτροπή και τα κράτη μέλη να στηρίξουν τη διαγενεακή επιχειρηματικότητα και τις βιοτεχνικές αλυσίδες αξίας μέσω δράσεων κατάρτισης, χρηματοδότησης και προβολής·</w:t>
      </w:r>
    </w:p>
    <w:p>
      <w:pPr>
        <w:pStyle w:val="NormalHanging12a"/>
      </w:pPr>
      <w:r>
        <w:t>13.</w:t>
      </w:r>
      <w:r>
        <w:tab/>
      </w:r>
      <w:r>
        <w:t>ενθαρρύνει την προώθηση της διά βίου μάθησης, την αναγνώριση προηγούμενων και εμπειρικών γνώσεων και την ψηφιακή ένταξη των ηλικιωμένων γυναικών στις αγροτικές περιοχές·</w:t>
      </w:r>
    </w:p>
    <w:p>
      <w:pPr>
        <w:pStyle w:val="NormalHanging12a"/>
      </w:pPr>
      <w:r>
        <w:t>14.</w:t>
      </w:r>
      <w:r>
        <w:tab/>
      </w:r>
      <w:r>
        <w:t>ζητεί μεγαλύτερη υποστήριξη για τη διατήρηση μακραίωνων χειροτεχνικών παραδόσεων, όπως η υφαντική, το κέντημα και η κεραμική, οι οποίες προωθούνται από πολυάριθμες ενώσεις νοικοκυρών της υπαίθρου·</w:t>
      </w:r>
    </w:p>
    <w:p>
      <w:pPr>
        <w:pStyle w:val="Normal12a24b"/>
      </w:pPr>
      <w:r>
        <w:rPr>
          <w:rStyle w:val="BoldItalic"/>
        </w:rPr>
        <w:t>Γεωργία</w:t>
      </w:r>
    </w:p>
    <w:p>
      <w:pPr>
        <w:pStyle w:val="NormalHanging12a"/>
      </w:pPr>
      <w:r>
        <w:t>15.</w:t>
      </w:r>
      <w:r>
        <w:tab/>
      </w:r>
      <w:r>
        <w:t>τονίζει τη σημασία της προβολής, της αναγνώρισης και της αποτίμησης της συμβολής των γυναικών στη γεωργία, συμπεριλαμβανομένων των οικογενειακών αγροκτημάτων· ζητεί ισότιμη ως προς το φύλο πρόσβαση στη γη, στα κονδύλια της κοινής γεωργικής πολιτικής (ΚΓΠ), στις συμβουλευτικές υπηρεσίες, στη στήριξη της καινοτομίας και στα κληρονομικά δικαιώματα·</w:t>
      </w:r>
    </w:p>
    <w:p>
      <w:pPr>
        <w:pStyle w:val="NormalHanging12a"/>
      </w:pPr>
      <w:r>
        <w:t>16.</w:t>
      </w:r>
      <w:r>
        <w:tab/>
      </w:r>
      <w:r>
        <w:t>καλεί τα κράτη μέλη να συλλέγουν δεδομένα ανά φύλο σχετικά με την ιδιοκτησία γης, τη γεωργική διαχείριση και την άτυπη συμβολή των γυναικών·</w:t>
      </w:r>
    </w:p>
    <w:p>
      <w:pPr>
        <w:pStyle w:val="NormalHanging12a"/>
      </w:pPr>
      <w:r>
        <w:t>17.</w:t>
      </w:r>
      <w:r>
        <w:tab/>
      </w:r>
      <w:r>
        <w:t>ζητεί τη λήψη μέτρων για την υποστήριξη των νέων γυναικών στη γεωργία, καθώς η ανανέωση των γενεών είναι απαραίτητη για τη διατήρηση της γεωργικής δραστηριότητας, η οποία διασφαλίζει τόσο την επισιτιστική ασφάλεια όσο και τις δυναμικές αγροτικές κοινότητες·</w:t>
      </w:r>
    </w:p>
    <w:p>
      <w:pPr>
        <w:pStyle w:val="NormalHanging12a"/>
      </w:pPr>
      <w:r>
        <w:t>18.</w:t>
      </w:r>
      <w:r>
        <w:tab/>
      </w:r>
      <w:r>
        <w:t>ζητεί μεγαλύτερη συμπεριληπτικότητα στις αγροτικές περιοχές και στις ανθεκτικές και καλά συνδεδεμένες περιοχές που παρέχουν ασφαλή, υψηλής ποιότητας προϊόντα και υπηρεσίες στον γενικό πληθυσμό·</w:t>
      </w:r>
    </w:p>
    <w:p>
      <w:pPr>
        <w:pStyle w:val="Normal12a24b"/>
      </w:pPr>
      <w:r>
        <w:rPr>
          <w:rStyle w:val="Italic"/>
        </w:rPr>
        <w:t>Ισότιμη πρόσβαση σε υποδομές και υπηρεσίες</w:t>
      </w:r>
    </w:p>
    <w:p>
      <w:pPr>
        <w:pStyle w:val="NormalHanging12a"/>
      </w:pPr>
      <w:r>
        <w:t>19.</w:t>
      </w:r>
      <w:r>
        <w:tab/>
      </w:r>
      <w:r>
        <w:t>τονίζει ότι η ισότιμη πρόσβαση σε υποδομές, όπως το διαδίκτυο υψηλής ταχύτητας και οι αξιόπιστες μεταφορές, αποτελεί τη βάση για να μπορέσουν οι γυναίκες στις αγροτικές περιοχές να συμμετέχουν στην οικονομική, εκπαιδευτική και κοινωνική ζωή·</w:t>
      </w:r>
    </w:p>
    <w:p>
      <w:pPr>
        <w:pStyle w:val="NormalHanging12a"/>
      </w:pPr>
      <w:r>
        <w:t>20.</w:t>
      </w:r>
      <w:r>
        <w:tab/>
      </w:r>
      <w:r>
        <w:t>ζητεί επενδύσεις σε κοινωνικές επιχειρήσεις, συνεταιρισμούς και επιχειρηματικά μοντέλα που σχετίζονται με τη φροντίδα, τα οποία ενδυναμώνουν τις γυναίκες στις αγροτικές περιοχές, ενώ παράλληλα αντιμετωπίζουν τις τοπικές ανάγκες, όπως η φροντίδα των παιδιών ή των ηλικιωμένων και η ευημερία της κοινότητας·</w:t>
      </w:r>
    </w:p>
    <w:p>
      <w:pPr>
        <w:pStyle w:val="NormalHanging12a"/>
      </w:pPr>
      <w:r>
        <w:t>21.</w:t>
      </w:r>
      <w:r>
        <w:tab/>
      </w:r>
      <w:r>
        <w:t>τονίζει ότι η περιορισμένη πρόσβαση σε υγειονομική περίθαλψη —συμπεριλαμβανομένης της μητρικής περίθαλψης και των υπηρεσιών ψυχικής υγείας— επηρεάζει δυσανάλογα τις γυναίκες στις αγροτικές, νησιωτικές και εξόχως απόκεντρες περιοχές· καλεί τα κράτη μέλη να διασφαλίσουν τη διαθεσιμότητα, την οικονομική προσιτότητα και τη συνέχεια των βασικών υπηρεσιών υγείας, μέσω κινητών κλινικών και τηλεϊατρικής·</w:t>
      </w:r>
    </w:p>
    <w:p>
      <w:pPr>
        <w:pStyle w:val="Normal12a24b"/>
      </w:pPr>
      <w:r>
        <w:rPr>
          <w:rStyle w:val="BoldItalic"/>
        </w:rPr>
        <w:t>Βία</w:t>
      </w:r>
    </w:p>
    <w:p>
      <w:pPr>
        <w:pStyle w:val="NormalHanging12a"/>
      </w:pPr>
      <w:r>
        <w:t>22.</w:t>
      </w:r>
      <w:r>
        <w:tab/>
      </w:r>
      <w:r>
        <w:t>αναγνωρίζει ότι η έμφυλη βία, συμπεριλαμβανομένης της ενδοοικογενειακής, οικονομικής, σεξουαλικής και ψυχολογικής κακοποίησης, αποτελεί σοβαρό εμπόδιο για την αυτονομία και τη συμμετοχή των γυναικών στην οικονομική ζωή σε αγροτικές και νησιωτικές περιοχές·</w:t>
      </w:r>
    </w:p>
    <w:p>
      <w:pPr>
        <w:pStyle w:val="NormalHanging12a"/>
      </w:pPr>
      <w:r>
        <w:t>23.</w:t>
      </w:r>
      <w:r>
        <w:tab/>
      </w:r>
      <w:r>
        <w:t>καλεί την Επιτροπή και τα κράτη μέλη να διασφαλίσουν ότι η γυναικεία επιχειρηματικότητα στις αγροτικές, νησιωτικές και εξόχως απόκεντρες περιοχές υποστηρίζεται επαρκώς στο πλαίσιο του πολυετούς δημοσιονομικού πλαισίου για την περίοδο μετά το 2027, συμπεριλαμβανομένης της χρηματοδότησης μέσω σχετικών προγραμμάτων όπως η ΚΓΠ, το πρόγραμμα «Ορίζων Ευρώπη» και το πρόγραμμα «Ψηφιακή Ευρώπη»· υπογραμμίζει ότι είναι σημαντικό να διευκολυνθεί η πρόσβαση σε χρηματοδότηση της ΕΕ για αγροτικές επιχειρήσεις, συνεταιρισμούς και έργα σε επίπεδο κοινότητας που διευθύνονται από γυναίκες·</w:t>
      </w:r>
    </w:p>
    <w:p>
      <w:pPr>
        <w:pStyle w:val="NormalHanging12a"/>
      </w:pPr>
      <w:r>
        <w:t>24.</w:t>
      </w:r>
      <w:r>
        <w:tab/>
      </w:r>
      <w:r>
        <w:t>επαναλαμβάνει την ανάγκη για μια ολοκληρωμένη στρατηγική της ΕΕ για τη γυναικεία επιχειρηματικότητα στις αγροτικές, νησιωτικές και εξόχως απόκεντρες περιοχές και ζητεί να διατεθούν ρητά πόροι και μηχανισμοί χρηματοδότησης για τη στρατηγική αυτή·</w:t>
      </w:r>
    </w:p>
    <w:p>
      <w:pPr>
        <w:pStyle w:val="NormalCenter12a"/>
      </w:pPr>
      <w:r>
        <w:t>°</w:t>
      </w:r>
    </w:p>
    <w:p>
      <w:pPr>
        <w:pStyle w:val="NormalCenter12a"/>
      </w:pPr>
      <w:r>
        <w:t>°</w:t>
      </w:r>
      <w:r>
        <w:tab/>
      </w:r>
      <w:r>
        <w:t>°</w:t>
      </w:r>
    </w:p>
    <w:p>
      <w:pPr>
        <w:pStyle w:val="NormalHanging12a"/>
      </w:pPr>
      <w:r>
        <w:t>25.</w:t>
      </w:r>
      <w:r>
        <w:tab/>
      </w:r>
      <w:r>
        <w:t>αναθέτει στην Πρόεδρό του να διαβιβάσει το παρόν ψήφισμα στο Συμβούλιο και στην Επιτροπή.</w:t>
      </w:r>
    </w:p>
    <w:p>
      <w:pPr>
        <w:pStyle w:val="NormalHanging12a"/>
        <w:sectPr>
          <w:footerReference w:type="even" r:id="rId6"/>
          <w:footerReference w:type="default" r:id="rId7"/>
          <w:footerReference w:type="first" r:id="rId8"/>
          <w:footnotePr>
            <w:numRestart w:val="eachSect"/>
          </w:footnotePr>
          <w:pgSz w:w="11906" w:h="16838"/>
          <w:pgMar w:top="1134" w:right="1417" w:bottom="1417" w:left="1417" w:header="1134" w:footer="567" w:gutter="0"/>
          <w:cols w:num="1" w:space="708"/>
          <w:titlePg/>
          <w:docGrid w:linePitch="360"/>
        </w:sectPr>
      </w:pPr>
    </w:p>
    <w:p>
      <w:pPr>
        <w:pStyle w:val="PageHeading"/>
      </w:pPr>
      <w:bookmarkStart w:id="1" w:name="_Toc256000004"/>
      <w:r>
        <w:t>ΑΙΤΙΟΛΟΓΙΚΗ ΕΚΘΕΣΗ</w:t>
      </w:r>
      <w:bookmarkEnd w:id="1"/>
    </w:p>
    <w:p>
      <w:pPr>
        <w:pStyle w:val="Normal12a"/>
      </w:pPr>
      <w:r>
        <w:t>Οι γυναίκες στις αγροτικές, νησιωτικές και εξόχως απόκεντρες περιοχές αποτελούν βασική κινητήρια δύναμη της ευημερίας των κοινοτήτων, της οικονομικής ανθεκτικότητας και της κοινωνικής συνοχής. Ωστόσο, κοινωνικά, οικονομικά και νομικά εμπόδια τις περιορίζουν από το να συμμετέχουν πλήρως σε οικονομικές δραστηριότητες σε ολόκληρη την ΕΕ, μεταξύ άλλων σε χώρες όπως η Πολωνία. Η παρούσα έκθεση έχει ως στόχο να αποσαφηνίσει αυτές τις προκλήσεις και παράλληλα να διατυπώσει πρακτικές και στοχευμένες συστάσεις για την ενίσχυση της επιχειρηματικότητας, της κοινωνικής ένταξης και της μακροπρόθεσμης οικονομικής ανεξαρτησίας των γυναικών στις αγροτικές περιοχές.</w:t>
      </w:r>
    </w:p>
    <w:p>
      <w:pPr>
        <w:pStyle w:val="Normal12a"/>
      </w:pPr>
      <w:r>
        <w:t>Σε πολλά κράτη μέλη, οι γυναίκες της υπαίθρου πλήττονται δυσανάλογα από την έλλειψη πρόσβασης σε χρηματοδότηση, οικονομικά προσιτή παιδική μέριμνα, επαρκείς μεταφορικές συνδέσεις, ψηφιακές υποδομές και συστήματα στήριξης που είναι ευαίσθητα ως προς τη διάσταση του φύλου. Παρόλο που το μισθολογικό χάσμα μεταξύ των φύλων και τα παραδοσιακά βάρη φροντίδας εξακολουθούν να υφίστανται και σε αστικά πλαίσια, συχνά μεγεθύνονται στις αγροτικές περιοχές. Στην Πολωνία, για παράδειγμα, οι γυναίκες σε απομακρυσμένες και αραιοκατοικημένες κοινότητες συχνά απασχολούνται σε μη αμειβόμενη εργασία φροντίδας, σε άτυπη εργασία ή εργάζονται σε οικογενειακές εκμεταλλεύσεις χωρίς να λαμβάνουν αναγνώριση ή να επωφελούνται από κοινωνική ασφάλιση. Ωστόσο, πρωτοβουλίες βάσης, όπως τοπικές ενώσεις νοικοκυρών ή αγροτικοί συνεταιρισμοί, έχουν καταδείξει ότι, με την κατάλληλη θεσμική στήριξη, οι γυναίκες μπορούν να ηγηθούν επιτυχημένων τοπικών οικονομιών, να διατηρήσουν την πολιτιστική κληρονομιά και να οικοδομήσουν οικοσυστήματα καινοτομίας χωρίς αποκλεισμούς.</w:t>
      </w:r>
    </w:p>
    <w:p>
      <w:pPr>
        <w:pStyle w:val="Normal12a"/>
      </w:pPr>
      <w:r>
        <w:t>Η παρούσα έκθεση τονίζει την ανάγκη μετάβασης από μεμονωμένες παρεμβάσεις σε μια πιο ολοκληρωμένη και ευαισθητοποιημένη ως προς τη διάσταση του φύλου προσέγγιση. Ζητεί την συνεκτίμηση της ισότητας των φύλων σε όλες τις πολιτικές αγροτικής ανάπτυξης, συνοχής, ψηφιακής και γεωργικής πολιτικής. Το έγγραφο τονίζει επίσης τη σημασία της συλλογής δεδομένων ανά φύλο, της ευαισθητοποίησης σχετικά με τη συμβολή των γυναικών στις τοπικές οικονομίες και της στήριξης της συμμετοχής τους στους τομείς STEM και στην ψηφιακή μετάβαση. Τα μέτρα αυτά είναι απαραίτητα για να διασφαλιστεί ότι οι γυναίκες δεν θα μείνουν στο περιθώριο κατά τον μετασχηματισμό των αγροτικών περιοχών.</w:t>
      </w:r>
    </w:p>
    <w:p>
      <w:pPr>
        <w:pStyle w:val="Normal12a"/>
      </w:pPr>
      <w:r>
        <w:t>Ιδιαίτερη έμφαση δίνεται στη διαθεσιμότητα οικονομικών πόρων. Οι γυναίκες επιχειρηματίες στις αγροτικές περιοχές, ιδίως οι επιχειρηματίες που δραστηριοποιούνται για πρώτη φορά ή οι εργαζόμενες στους τομείς της φροντίδας, του τουρισμού ή της παραδοσιακής βιοτεχνίας, εξακολουθούν να αντιμετωπίζουν δυσανάλογες δυσκολίες όσον αφορά την πρόσβαση σε πιστώσεις και επιχειρηματική στήριξη. Στο πλαίσιο αυτό, η έκθεση χαιρετίζει την πρωτοβουλία της ΕΕ για τον ενωσιακό λογαριασμό αποταμίευσης και επενδύσεων (ISA) και ζητεί ειδική έκδοση προσαρμοσμένη στις γυναίκες της υπαίθρου. Επιπλέον, καλεί την Επιτροπή και τα κράτη μέλη να διασφαλίσουν ότι το πολυετές δημοσιονομικό πλαίσιο (ΠΔΠ) για την περίοδο μετά το 2027 περιλαμβάνει ειδική χρηματοδότηση για τη γυναικεία επιχειρηματικότητα στο πλαίσιο της ΚΓΠ, του προγράμματος «Ορίζων Ευρώπη» και του προγράμματος «Ψηφιακή Ευρώπη».</w:t>
      </w:r>
    </w:p>
    <w:p>
      <w:pPr>
        <w:pStyle w:val="Normal12a"/>
      </w:pPr>
      <w:r>
        <w:t xml:space="preserve">Η έκθεση εξετάζει επίσης τη φύση του αγροτικού εργατικού δυναμικού στη γεωργία σε σχέση με την ισότητα των φύλων. Παρά τον κεντρικό ρόλο που διαδραματίζουν οι γυναίκες στη γεωργική παραγωγή και τη διαχείριση των γεωργικών εκμεταλλεύσεων, συχνά δεν είναι ορατές στις επίσημες στατιστικές και στον σχεδιασμό πολιτικής. Η πρόσβαση σε γη, η δίκαιη αμοιβή, τα κληρονομικά δικαιώματα και η πρόσβαση σε κονδύλια της ΚΓΠ εξακολουθούν να αποτελούν πρόκληση. Όπως προκύπτει από έρευνα που παρουσιάστηκε στην επιτροπή </w:t>
      </w:r>
      <w:r>
        <w:t>FEMM</w:t>
      </w:r>
      <w:r>
        <w:t>, πρότυπα όπως η έννοια του γιου ως κληρονόμου και η υποτίμηση της γυναικείας συμβολής εξακολουθούν να επικρατούν σε πολλά κράτη μέλη, συμπεριλαμβανομένης της Πολωνίας.</w:t>
      </w:r>
    </w:p>
    <w:p>
      <w:pPr>
        <w:pStyle w:val="Normal12a"/>
      </w:pPr>
      <w:r>
        <w:t>Πέραν των οικονομικών πτυχών, η έκθεση εξετάζει τη συσχέτιση της πρόσβασης σε υπηρεσίες, της βίας και του αποκλεισμού. Η έμφυλη βία είναι ένα διαδεδομένο φαινόμενο που συχνά δεν καταγγέλλεται στις αγροτικές περιοχές λόγω στιγματισμού και έλλειψης υπηρεσιών και λόγω ισχυρών παραδοσιακών έμφυλων ρόλων. Η έκθεση υπογραμμίζει την επείγουσα ανάγκη για προσβάσιμα, εμπιστευτικά και καλά χρηματοδοτούμενα συστήματα στήριξης, καθώς και για μέτρα ευαισθητοποίησης και πρόληψης σε επίπεδο κοινότητας.</w:t>
      </w:r>
    </w:p>
    <w:p>
      <w:pPr>
        <w:pStyle w:val="Normal12a"/>
      </w:pPr>
      <w:r>
        <w:t>Είναι σημαντικό η πρωτοβουλία αυτή όχι μόνο να αντιμετωπίσει τις υπάρχουσες ανισότητες, αλλά να προσφέρει και μια προοπτική. Μια προοπτική για την ανάπτυξη της υπαίθρου χωρίς αποκλεισμούς, όπου οι γυναίκες αποτελούν κεντρικό παράγοντα και όχι δευτερεύοντα ρόλο· όπου η παραδοσιακή βιοτεχνία, η γεωργία, οι κυκλικές οικονομίες και η ψηφιακή καινοτομία δεν αλληλοαποκλείονται αλλά αλληλοσυνδέονται· όπου η εργασία των γυναικών είναι ορατή, αναγνωρίζεται και υποστηρίζεται.</w:t>
      </w:r>
    </w:p>
    <w:p>
      <w:pPr>
        <w:pStyle w:val="Normal12a"/>
      </w:pPr>
      <w:r>
        <w:t>Η έκθεση βασίζεται στην ισχύουσα νομοθεσία και τις στρατηγικές της ΕΕ, συμπεριλαμβανομένης της οδηγίας για τη μισθολογική διαφάνεια, της οδηγίας για την ισορροπία μεταξύ επαγγελματικής και ιδιωτικής ζωής ή της στρατηγικής για την ισότητα των φύλων 2020-2025. Ευθυγραμμίζεται με τους στόχους του κανονισμού περί κοινών διατάξεων και τις αρχές της ενσωμάτωσης της διάστασης του φύλου και της εδαφικής συνοχής.</w:t>
      </w:r>
    </w:p>
    <w:p>
      <w:pPr>
        <w:pStyle w:val="Normal12a"/>
      </w:pPr>
      <w:r>
        <w:t xml:space="preserve">Κατά τη σύνταξη της παρούσας έκθεσης, ελήφθησαν υπόψη οι εισηγήσεις ακαδημαϊκών εμπειρογνωμόνων, της κοινωνίας των πολιτών και βουλευτών του </w:t>
      </w:r>
      <w:r>
        <w:t>Ευρωπαϊκού Κοινοβουλίου</w:t>
      </w:r>
      <w:r>
        <w:t>. Η εισηγήτρια επιθυμεί να ευχαριστήσει όλους όσοι μοιράστηκαν τις εμπειρίες τους, τις αναλύσεις τους και τα πρακτικά τους παραδείγματα. Με τη συμβολή τους, έχουν συμβάλει στη διαμόρφωση ενός σχεδίου πολιτικής που είναι ταυτόχρονα φιλόδοξο και ρεαλιστικό.</w:t>
      </w:r>
    </w:p>
    <w:p>
      <w:pPr>
        <w:pStyle w:val="Normal12a"/>
      </w:pPr>
      <w:r>
        <w:t>Η γυναικεία επιχειρηματικότητα στις αγροτικές περιοχές δεν αποτελεί μεμονωμένο ζήτημα· πρόκειται για ζήτημα δικαιοσύνης, συνοχής και βιώσιμης ανάπτυξης. Τώρα είναι η στιγμή να αναλάβουμε δράση.</w:t>
      </w:r>
    </w:p>
    <w:p>
      <w:pPr>
        <w:pStyle w:val="Normal12a"/>
        <w:sectPr>
          <w:footnotePr>
            <w:numRestart w:val="eachSect"/>
          </w:footnotePr>
          <w:type w:val="nextPage"/>
          <w:pgSz w:w="11906" w:h="16838"/>
          <w:pgMar w:top="1134" w:right="1417" w:bottom="1417" w:left="1417" w:header="1134" w:footer="567" w:gutter="0"/>
          <w:cols w:num="1" w:space="708"/>
          <w:titlePg w:val="0"/>
          <w:docGrid w:linePitch="360"/>
        </w:sectPr>
      </w:pPr>
    </w:p>
    <w:p>
      <w:pPr>
        <w:pStyle w:val="PageHeading"/>
      </w:pPr>
      <w:bookmarkStart w:id="2" w:name="_Toc256000005"/>
      <w:r>
        <w:t>ΠΑΡΑΡΤΗΜΑ: ΔΗΛΩΣΗ ΕΙΣΗΓΗΣΕΩΝ</w:t>
      </w:r>
      <w:bookmarkEnd w:id="2"/>
    </w:p>
    <w:p>
      <w:pPr>
        <w:pStyle w:val="Normal12a"/>
      </w:pPr>
      <w:r>
        <w:rPr>
          <w:rStyle w:val="HideTWBExt"/>
        </w:rPr>
        <w:t>&lt;</w:t>
      </w:r>
      <w:r>
        <w:rPr>
          <w:rStyle w:val="HideTWBExt"/>
        </w:rPr>
        <w:t>FootprintIntro</w:t>
      </w:r>
      <w:r>
        <w:rPr>
          <w:rStyle w:val="HideTWBExt"/>
        </w:rPr>
        <w:t>&gt;</w:t>
      </w:r>
      <w:r>
        <w:rPr>
          <w:rStyle w:val="HideTWBExt"/>
        </w:rPr>
        <w:t>&lt;/</w:t>
      </w:r>
      <w:r>
        <w:rPr>
          <w:rStyle w:val="HideTWBExt"/>
        </w:rPr>
        <w:t>FootprintIntro</w:t>
      </w:r>
      <w:r>
        <w:rPr>
          <w:rStyle w:val="HideTWBExt"/>
        </w:rPr>
        <w:t>&gt;</w:t>
      </w:r>
    </w:p>
    <w:p>
      <w:pPr>
        <w:pStyle w:val="Normal12a"/>
      </w:pPr>
      <w:r>
        <w:t>Σύμφωνα με το άρθρο 8 του παραρτήματος Ι του Κανονισμού, η εισηγήτρια δηλώνει ότι έχει συμπεριλάβει στην έκθεσή της εισηγήσεις για θέματα που αφορούν το αντικείμενο του φακέλου που έλαβε κατά την εκπόνηση του σχεδίου έκθεσης, από τους ακόλουθους εκπροσώπους συμφερόντων που εμπίπτουν στο πεδίο εφαρμογής της διοργανικής συμφωνίας για ένα υποχρεωτικό μητρώο διαφάνειας</w:t>
      </w:r>
      <w:r>
        <w:rPr>
          <w:rStyle w:val="FootnoteReference"/>
        </w:rPr>
        <w:footnoteReference w:id="10"/>
      </w:r>
      <w:r>
        <w:t xml:space="preserve"> ή από τους ακόλουθους εκπροσώπους δημόσιων αρχών τρίτων χωρών, συμπεριλαμβανομένων των διπλωματικών αποστολών και πρεσβειών τους:</w:t>
      </w:r>
    </w:p>
    <w:tbl>
      <w:tblPr>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Pr>
      <w:tblGrid>
        <w:gridCol w:w="9060"/>
      </w:tblGrid>
      <w:tr>
        <w:tblPrEx>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PrEx>
        <w:trPr>
          <w:cantSplit w:val="0"/>
          <w:trHeight w:hRule="auto" w:val="0"/>
          <w:jc w:val="center"/>
        </w:trPr>
        <w:tc>
          <w:tcPr>
            <w:tcW w:w="9060" w:type="dxa"/>
            <w:vAlign w:val="top"/>
          </w:tcPr>
          <w:p>
            <w:pPr>
              <w:pStyle w:val="NormalCenter"/>
            </w:pPr>
            <w:r>
              <w:rPr>
                <w:rStyle w:val="Bold"/>
              </w:rPr>
              <w:t>1. Εκπρόσωποι συμφερόντων που εμπίπτουν στο πεδίο εφαρμογής της διοργανικής συμφωνίας για ένα υποχρεωτικό μητρώο διαφάνειας</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South East Technological University-Ireland</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Yolo - you only live once</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Vereniging Universiteiten van Nederland</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University of Galway</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rPr>
                <w:rStyle w:val="Bold"/>
              </w:rPr>
              <w:t>2. Εκπρόσωποι δημόσιων αρχών τρίτων χωρών, συμπεριλαμβανομένων των διπλωματικών αποστολών και πρεσβειών τους</w:t>
            </w:r>
          </w:p>
        </w:tc>
      </w:tr>
    </w:tbl>
    <w:p/>
    <w:p>
      <w:pPr>
        <w:pStyle w:val="Normal12a"/>
      </w:pPr>
      <w:r>
        <w:t>Ο ανωτέρω κατάλογος συντάσσεται υπό την αποκλειστική ευθύνη της εισηγήτριας.</w:t>
      </w:r>
    </w:p>
    <w:p>
      <w:pPr>
        <w:pStyle w:val="Normal12a"/>
      </w:pPr>
      <w:r>
        <w:t>Όταν φυσικά πρόσωπα προσδιορίζονται στον κατάλογο με το όνομά τους, με τα καθήκοντά τους ή και με τα δύο, η εισηγήτρια δηλώνει ότι έχει υποβάλει στα ενδιαφερόμενα φυσικά πρόσωπα την Ανακοίνωση περί προστασίας δεδομένων αριθ. 484 του Ευρωπαϊκού Κοινοβουλίου (</w:t>
      </w:r>
      <w:hyperlink r:id="rId9" w:history="1">
        <w:r>
          <w:rPr>
            <w:rStyle w:val="Hyperlink"/>
          </w:rPr>
          <w:t>https://www.europarl.europa.eu/data-protect/index.do</w:t>
        </w:r>
      </w:hyperlink>
      <w:r>
        <w:rPr>
          <w:rStyle w:val="DefaultParagraphFont"/>
          <w:b w:val="0"/>
          <w:i w:val="0"/>
          <w:u w:val="none"/>
        </w:rPr>
        <w:t>), η οποία ρυθμίζει τους όρους που ισχύουν για την επεξεργασία των προσωπικών τους δεδομένων και τα δικαιώματα που συνδέονται με την εν λόγω επεξεργασία.</w:t>
      </w:r>
    </w:p>
    <w:p>
      <w:pPr>
        <w:pStyle w:val="Normal12a"/>
      </w:pPr>
    </w:p>
    <w:sectPr>
      <w:footnotePr>
        <w:numRestart w:val="eachSect"/>
      </w:footnotePr>
      <w:type w:val="nextPage"/>
      <w:pgSz w:w="11906" w:h="16838"/>
      <w:pgMar w:top="1134" w:right="1417" w:bottom="1417" w:left="1417" w:header="1134" w:footer="567" w:gutter="0"/>
      <w:cols w:num="1" w:space="708"/>
      <w:titlePg w:val="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w:t>
    </w:r>
    <w:r>
      <w:rPr>
        <w:rStyle w:val="HideTWBExt"/>
      </w:rPr>
      <w:t>NoPE</w:t>
    </w:r>
    <w:r>
      <w:rPr>
        <w:rStyle w:val="HideTWBExt"/>
      </w:rPr>
      <w:t>&gt;</w:t>
    </w:r>
    <w:r>
      <w:t>775.387</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r>
      <w:tab/>
    </w:r>
    <w:r>
      <w:fldChar w:fldCharType="begin"/>
    </w:r>
    <w:r>
      <w:instrText>PAGE</w:instrText>
    </w:r>
    <w:r>
      <w:fldChar w:fldCharType="separate"/>
    </w:r>
    <w:r>
      <w:t>10</w:t>
    </w:r>
    <w:r>
      <w:fldChar w:fldCharType="end"/>
    </w:r>
    <w:r>
      <w:t>/</w:t>
    </w:r>
    <w:r>
      <w:fldChar w:fldCharType="begin"/>
    </w:r>
    <w:r>
      <w:instrText>NUMPAGES</w:instrText>
    </w:r>
    <w:r>
      <w:fldChar w:fldCharType="separate"/>
    </w:r>
    <w:r>
      <w:t>10</w:t>
    </w:r>
    <w:r>
      <w:fldChar w:fldCharType="end"/>
    </w:r>
    <w:r>
      <w:tab/>
    </w:r>
    <w:r>
      <w:rPr>
        <w:rStyle w:val="HideTWBExt"/>
      </w:rPr>
      <w:t>&lt;</w:t>
    </w:r>
    <w:r>
      <w:rPr>
        <w:rStyle w:val="HideTWBExt"/>
      </w:rPr>
      <w:t>PathFdR</w:t>
    </w:r>
    <w:r>
      <w:rPr>
        <w:rStyle w:val="HideTWBExt"/>
      </w:rPr>
      <w:t>&gt;</w:t>
    </w:r>
    <w:r>
      <w:t>PR\1323595EL.docx</w:t>
    </w:r>
    <w:r>
      <w:rPr>
        <w:rStyle w:val="HideTWBExt"/>
      </w:rPr>
      <w:t>&lt;/</w:t>
    </w:r>
    <w:r>
      <w:rPr>
        <w:rStyle w:val="HideTWBExt"/>
      </w:rPr>
      <w:t>PathFdR</w:t>
    </w:r>
    <w:r>
      <w:rPr>
        <w:rStyle w:val="HideTWBExt"/>
      </w:rPr>
      <w:t>&gt;</w:t>
    </w:r>
  </w:p>
  <w:p>
    <w:pPr>
      <w:pStyle w:val="EPFooter2"/>
    </w:pPr>
    <w:r>
      <w:t>EL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PR\1323595EL.docx</w:t>
    </w:r>
    <w:r>
      <w:rPr>
        <w:rStyle w:val="HideTWBExt"/>
      </w:rPr>
      <w:t>&lt;/</w:t>
    </w:r>
    <w:r>
      <w:rPr>
        <w:rStyle w:val="HideTWBExt"/>
      </w:rPr>
      <w:t>PathFdR</w:t>
    </w:r>
    <w:r>
      <w:rPr>
        <w:rStyle w:val="HideTWBExt"/>
      </w:rPr>
      <w:t>&gt;</w:t>
    </w:r>
    <w:r>
      <w:tab/>
    </w:r>
    <w:r>
      <w:fldChar w:fldCharType="begin"/>
    </w:r>
    <w:r>
      <w:instrText>PAGE</w:instrText>
    </w:r>
    <w:r>
      <w:fldChar w:fldCharType="separate"/>
    </w:r>
    <w:r>
      <w:t>9</w:t>
    </w:r>
    <w:r>
      <w:fldChar w:fldCharType="end"/>
    </w:r>
    <w:r>
      <w:t>/</w:t>
    </w:r>
    <w:r>
      <w:fldChar w:fldCharType="begin"/>
    </w:r>
    <w:r>
      <w:instrText>NUMPAGES</w:instrText>
    </w:r>
    <w:r>
      <w:fldChar w:fldCharType="separate"/>
    </w:r>
    <w:r>
      <w:t>10</w:t>
    </w:r>
    <w:r>
      <w:fldChar w:fldCharType="end"/>
    </w:r>
    <w:r>
      <w:tab/>
    </w:r>
    <w:r>
      <w:t>PE</w:t>
    </w:r>
    <w:r>
      <w:rPr>
        <w:rStyle w:val="HideTWBExt"/>
      </w:rPr>
      <w:t>&lt;</w:t>
    </w:r>
    <w:r>
      <w:rPr>
        <w:rStyle w:val="HideTWBExt"/>
      </w:rPr>
      <w:t>NoPE</w:t>
    </w:r>
    <w:r>
      <w:rPr>
        <w:rStyle w:val="HideTWBExt"/>
      </w:rPr>
      <w:t>&gt;</w:t>
    </w:r>
    <w:r>
      <w:t>775.387</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ab/>
    </w:r>
    <w:r>
      <w:tab/>
    </w:r>
    <w:r>
      <w:t>EL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PR\1323595EL.docx</w:t>
    </w:r>
    <w:r>
      <w:rPr>
        <w:rStyle w:val="HideTWBExt"/>
      </w:rPr>
      <w:t>&lt;/</w:t>
    </w:r>
    <w:r>
      <w:rPr>
        <w:rStyle w:val="HideTWBExt"/>
      </w:rPr>
      <w:t>PathFdR</w:t>
    </w:r>
    <w:r>
      <w:rPr>
        <w:rStyle w:val="HideTWBExt"/>
      </w:rPr>
      <w:t>&gt;</w:t>
    </w:r>
    <w:r>
      <w:tab/>
    </w:r>
    <w:r>
      <w:tab/>
    </w:r>
    <w:r>
      <w:t>PE</w:t>
    </w:r>
    <w:r>
      <w:rPr>
        <w:rStyle w:val="HideTWBExt"/>
      </w:rPr>
      <w:t>&lt;</w:t>
    </w:r>
    <w:r>
      <w:rPr>
        <w:rStyle w:val="HideTWBExt"/>
      </w:rPr>
      <w:t>NoPE</w:t>
    </w:r>
    <w:r>
      <w:rPr>
        <w:rStyle w:val="HideTWBExt"/>
      </w:rPr>
      <w:t>&gt;</w:t>
    </w:r>
    <w:r>
      <w:t>775.387</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EL</w:t>
    </w:r>
    <w:r>
      <w:tab/>
    </w:r>
    <w:r>
      <w:rPr>
        <w:rStyle w:val="EPFooter2Motto"/>
      </w:rPr>
      <w:t>Ενωμένη στην πολυμορφία</w:t>
    </w:r>
    <w:r>
      <w:tab/>
    </w:r>
    <w:r>
      <w:t>EL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rStyle w:val="FootnoteReference"/>
        </w:rPr>
        <w:footnoteRef/>
      </w:r>
      <w:r>
        <w:t xml:space="preserve"> </w:t>
      </w:r>
      <w:r>
        <w:t>ΕΕ L 204 της 26.7.2006, σ. 23, ELI: https://eur-lex.europa.eu/eli/dir/2006/54/oj?eliuri=eli%3Adir%3A2006%3A54%3Aoj&amp;locale=el.</w:t>
      </w:r>
    </w:p>
  </w:footnote>
  <w:footnote w:id="3">
    <w:p>
      <w:pPr>
        <w:pStyle w:val="FootnoteText"/>
      </w:pPr>
      <w:r>
        <w:rPr>
          <w:rStyle w:val="FootnoteReference"/>
        </w:rPr>
        <w:footnoteRef/>
      </w:r>
      <w:r>
        <w:t xml:space="preserve"> </w:t>
      </w:r>
      <w:r>
        <w:t>ΕΕ L 132 της 17.5.2023, σ. 21, ELI: http://data.europa.eu/eli/dir/2023/970/oj.</w:t>
      </w:r>
    </w:p>
  </w:footnote>
  <w:footnote w:id="4">
    <w:p>
      <w:pPr>
        <w:pStyle w:val="FootnoteText"/>
      </w:pPr>
      <w:r>
        <w:rPr>
          <w:rStyle w:val="FootnoteReference"/>
        </w:rPr>
        <w:footnoteRef/>
      </w:r>
      <w:r>
        <w:t xml:space="preserve"> </w:t>
      </w:r>
      <w:r>
        <w:t>ΕΕ L 188 της 12.7.2019, σ. 79, ELI: http://data.europa.eu/eli/dir/2019/1158/oj.</w:t>
      </w:r>
    </w:p>
  </w:footnote>
  <w:footnote w:id="5">
    <w:p>
      <w:pPr>
        <w:pStyle w:val="FootnoteText"/>
      </w:pPr>
      <w:r>
        <w:rPr>
          <w:rStyle w:val="FootnoteReference"/>
        </w:rPr>
        <w:footnoteRef/>
      </w:r>
      <w:r>
        <w:t xml:space="preserve"> </w:t>
      </w:r>
      <w:r>
        <w:t>https://www.eib.org/en/publications/online/all/eib-evaluation-gender-strategy.</w:t>
      </w:r>
    </w:p>
  </w:footnote>
  <w:footnote w:id="6">
    <w:p>
      <w:pPr>
        <w:pStyle w:val="FootnoteText"/>
      </w:pPr>
      <w:r>
        <w:rPr>
          <w:rStyle w:val="FootnoteReference"/>
        </w:rPr>
        <w:footnoteRef/>
      </w:r>
      <w:r>
        <w:t xml:space="preserve"> </w:t>
      </w:r>
      <w:r>
        <w:t>ΕΕ L 231 της 30.6.2021, σ. 159, ELI: http://data.europa.eu/eli/reg/2021/1060/oj.</w:t>
      </w:r>
    </w:p>
  </w:footnote>
  <w:footnote w:id="7">
    <w:p>
      <w:pPr>
        <w:pStyle w:val="FootnoteText"/>
      </w:pPr>
      <w:r>
        <w:rPr>
          <w:rStyle w:val="FootnoteReference"/>
        </w:rPr>
        <w:footnoteRef/>
      </w:r>
      <w:r>
        <w:t xml:space="preserve"> </w:t>
      </w:r>
      <w:r>
        <w:t>https://www.eit.europa.eu/our-activities/opportunities/eic-women-leadership-programme.</w:t>
      </w:r>
    </w:p>
  </w:footnote>
  <w:footnote w:id="8">
    <w:p>
      <w:pPr>
        <w:pStyle w:val="FootnoteText"/>
      </w:pPr>
      <w:r>
        <w:rPr>
          <w:rStyle w:val="FootnoteReference"/>
        </w:rPr>
        <w:footnoteRef/>
      </w:r>
      <w:r>
        <w:t xml:space="preserve"> </w:t>
      </w:r>
      <w:r>
        <w:t>https://rea.ec.europa.eu/publications/impact-gender-equality-plans-across-european-research-area-0_en.</w:t>
      </w:r>
    </w:p>
  </w:footnote>
  <w:footnote w:id="9">
    <w:p>
      <w:pPr>
        <w:pStyle w:val="FootnoteText"/>
      </w:pPr>
      <w:r>
        <w:rPr>
          <w:rStyle w:val="FootnoteReference"/>
        </w:rPr>
        <w:footnoteRef/>
      </w:r>
      <w:r>
        <w:t xml:space="preserve"> </w:t>
      </w:r>
      <w:r>
        <w:t>ΕΕ C 465 της 6.12.2022, σ. 54.</w:t>
      </w:r>
    </w:p>
  </w:footnote>
  <w:footnote w:id="10">
    <w:p>
      <w:pPr>
        <w:pStyle w:val="FootnoteText"/>
      </w:pPr>
      <w:r>
        <w:rPr>
          <w:rStyle w:val="FootnoteReference"/>
        </w:rPr>
        <w:footnoteRef/>
      </w:r>
      <w:r>
        <w:t xml:space="preserve"> </w:t>
      </w:r>
      <w:r>
        <w:t>Διοργανική συμφωνία, της 20ής Μαΐου 2021, μεταξύ του Ευρωπαϊκού Κοινοβουλίου, του Συμβουλίου της Ευρωπαϊκής Ένωσης και της Ευρωπαϊκής Επιτροπής για ένα υποχρεωτικό Μητρώο Διαφάνειας (ΕΕ L 207 της 11.6.2021, σ. 1, ELI: http://data.europa.eu/eli/agree_interinstit/2021/611/oj).</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654581"/>
    <w:multiLevelType w:val="hybridMultilevel"/>
    <w:tmpl w:val="F16C6036"/>
    <w:lvl w:ilvl="0">
      <w:start w:val="1"/>
      <w:numFmt w:val="bullet"/>
      <w:pStyle w:val="Normal12aBullet1"/>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6D6C09CF"/>
    <w:multiLevelType w:val="hybridMultilevel"/>
    <w:tmpl w:val="0DAA9F68"/>
    <w:lvl w:ilvl="0">
      <w:start w:val="1"/>
      <w:numFmt w:val="bullet"/>
      <w:pStyle w:val="Normal12aBullet2"/>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grammar="clean"/>
  <w:stylePaneFormatFilter w:val="3F01"/>
  <w:defaultTabStop w:val="720"/>
  <w:evenAndOddHeaders/>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pPr>
      <w:widowControl w:val="0"/>
    </w:pPr>
    <w:rPr>
      <w:snapToGrid w:val="0"/>
      <w:sz w:val="24"/>
      <w:lang w:eastAsia="en-US"/>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ideTWBExt">
    <w:name w:val="HideTWBExt"/>
    <w:rPr>
      <w:rFonts w:ascii="Arial" w:hAnsi="Arial"/>
      <w:noProof/>
      <w:vanish/>
      <w:color w:val="000080"/>
      <w:sz w:val="20"/>
    </w:rPr>
  </w:style>
  <w:style w:type="paragraph" w:customStyle="1" w:styleId="EPComma">
    <w:name w:val="EPComma"/>
    <w:basedOn w:val="Normal"/>
    <w:rsid w:val="006A5366"/>
    <w:pPr>
      <w:spacing w:before="480" w:after="240"/>
    </w:pPr>
  </w:style>
  <w:style w:type="paragraph" w:customStyle="1" w:styleId="CoverNormal">
    <w:name w:val="CoverNormal"/>
    <w:basedOn w:val="Normal"/>
    <w:pPr>
      <w:ind w:left="1418"/>
    </w:pPr>
  </w:style>
  <w:style w:type="paragraph" w:customStyle="1" w:styleId="TOCRight">
    <w:name w:val="TOC Right"/>
    <w:basedOn w:val="Normal"/>
    <w:rsid w:val="00E839D9"/>
    <w:pPr>
      <w:spacing w:after="240"/>
      <w:jc w:val="right"/>
    </w:pPr>
  </w:style>
  <w:style w:type="paragraph" w:customStyle="1" w:styleId="CoverDateRefPart">
    <w:name w:val="CoverDateRefPart"/>
    <w:basedOn w:val="Normal"/>
    <w:rsid w:val="00C5424C"/>
    <w:pPr>
      <w:spacing w:after="1200"/>
    </w:pPr>
  </w:style>
  <w:style w:type="paragraph" w:customStyle="1" w:styleId="EPName">
    <w:name w:val="EPName"/>
    <w:basedOn w:val="Normal"/>
    <w:rsid w:val="00D16E15"/>
    <w:pPr>
      <w:spacing w:before="80" w:after="80"/>
    </w:pPr>
    <w:rPr>
      <w:rFonts w:ascii="Arial Narrow" w:hAnsi="Arial Narrow" w:cs="Arial"/>
      <w:b/>
      <w:snapToGrid/>
      <w:sz w:val="32"/>
      <w:szCs w:val="22"/>
      <w:lang w:eastAsia="en-GB"/>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FootnoteText">
    <w:name w:val="footnote text"/>
    <w:basedOn w:val="Normal"/>
    <w:semiHidden/>
    <w:rPr>
      <w:sz w:val="20"/>
    </w:rPr>
  </w:style>
  <w:style w:type="paragraph" w:customStyle="1" w:styleId="NormalBold">
    <w:name w:val="NormalBold"/>
    <w:basedOn w:val="Normal"/>
    <w:rsid w:val="006A5366"/>
    <w:rPr>
      <w:b/>
    </w:rPr>
  </w:style>
  <w:style w:type="paragraph" w:customStyle="1" w:styleId="CoverReference">
    <w:name w:val="CoverReference"/>
    <w:basedOn w:val="Normal"/>
    <w:rsid w:val="00791131"/>
    <w:pPr>
      <w:spacing w:before="1080"/>
      <w:jc w:val="right"/>
    </w:pPr>
    <w:rPr>
      <w:rFonts w:ascii="Arial" w:hAnsi="Arial" w:cs="Arial"/>
      <w:b/>
    </w:rPr>
  </w:style>
  <w:style w:type="paragraph" w:customStyle="1" w:styleId="CoverNormal24a">
    <w:name w:val="CoverNormal24a"/>
    <w:basedOn w:val="Normal"/>
    <w:rsid w:val="00D20BEB"/>
    <w:pPr>
      <w:spacing w:after="480"/>
      <w:ind w:left="1417"/>
    </w:pPr>
  </w:style>
  <w:style w:type="paragraph" w:styleId="TOC1">
    <w:name w:val="toc 1"/>
    <w:basedOn w:val="Normal"/>
    <w:next w:val="Normal"/>
    <w:autoRedefine/>
    <w:uiPriority w:val="39"/>
    <w:rsid w:val="00E57F92"/>
    <w:pPr>
      <w:spacing w:after="240"/>
    </w:pPr>
  </w:style>
  <w:style w:type="paragraph" w:customStyle="1" w:styleId="TOCPage">
    <w:name w:val="TOC Page"/>
    <w:basedOn w:val="Normal"/>
    <w:next w:val="TOC1"/>
    <w:rsid w:val="004302F8"/>
    <w:pPr>
      <w:keepNext/>
      <w:spacing w:after="240"/>
      <w:jc w:val="right"/>
    </w:pPr>
    <w:rPr>
      <w:rFonts w:ascii="Arial" w:hAnsi="Arial"/>
      <w:b/>
    </w:rPr>
  </w:style>
  <w:style w:type="paragraph" w:customStyle="1" w:styleId="CoverDocType24a">
    <w:name w:val="CoverDocType24a"/>
    <w:basedOn w:val="Normal"/>
    <w:rsid w:val="00F03FCA"/>
    <w:pPr>
      <w:spacing w:after="480"/>
      <w:ind w:left="1418"/>
    </w:pPr>
    <w:rPr>
      <w:rFonts w:ascii="Arial" w:hAnsi="Arial"/>
      <w:b/>
      <w:sz w:val="48"/>
    </w:rPr>
  </w:style>
  <w:style w:type="character" w:customStyle="1" w:styleId="HideTWBInt">
    <w:name w:val="HideTWBInt"/>
    <w:rPr>
      <w:rFonts w:ascii="Arial" w:hAnsi="Arial" w:cs="Arial"/>
      <w:vanish/>
      <w:color w:val="808080"/>
      <w:sz w:val="20"/>
    </w:rPr>
  </w:style>
  <w:style w:type="paragraph" w:styleId="TOC2">
    <w:name w:val="toc 2"/>
    <w:basedOn w:val="Normal"/>
    <w:next w:val="Normal"/>
    <w:autoRedefine/>
    <w:semiHidden/>
    <w:pPr>
      <w:ind w:left="240"/>
    </w:pPr>
  </w:style>
  <w:style w:type="paragraph" w:customStyle="1" w:styleId="NormalHanging12a">
    <w:name w:val="NormalHanging12a"/>
    <w:basedOn w:val="Normal"/>
    <w:rsid w:val="00572801"/>
    <w:pPr>
      <w:widowControl/>
      <w:spacing w:after="240"/>
      <w:ind w:left="567" w:hanging="567"/>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customStyle="1" w:styleId="PageHeading">
    <w:name w:val="PageHeading"/>
    <w:basedOn w:val="Normal"/>
    <w:rsid w:val="00F03FCA"/>
    <w:pPr>
      <w:keepNext/>
      <w:spacing w:after="480"/>
      <w:jc w:val="center"/>
    </w:pPr>
    <w:rPr>
      <w:rFonts w:ascii="Arial" w:hAnsi="Arial" w:cs="Arial"/>
      <w:b/>
    </w:r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TOCSubHeading">
    <w:name w:val="TOC SubHeading"/>
    <w:basedOn w:val="Normal"/>
    <w:rsid w:val="00F03FCA"/>
    <w:pPr>
      <w:spacing w:before="480" w:after="240"/>
    </w:pPr>
    <w:rPr>
      <w:b/>
    </w:rPr>
  </w:style>
  <w:style w:type="paragraph" w:customStyle="1" w:styleId="TOCTabLeader">
    <w:name w:val="TOC TabLeader"/>
    <w:basedOn w:val="Normal"/>
    <w:rsid w:val="00E839D9"/>
    <w:pPr>
      <w:tabs>
        <w:tab w:val="left" w:leader="dot" w:pos="5954"/>
      </w:tabs>
      <w:spacing w:after="240"/>
    </w:pPr>
  </w:style>
  <w:style w:type="paragraph" w:customStyle="1" w:styleId="CoverNormalHanging">
    <w:name w:val="CoverNormalHanging"/>
    <w:basedOn w:val="Normal"/>
    <w:rsid w:val="00BF1100"/>
    <w:pPr>
      <w:ind w:left="3686" w:hanging="2268"/>
    </w:pPr>
  </w:style>
  <w:style w:type="paragraph" w:styleId="TOCHeading">
    <w:name w:val="TOC Heading"/>
    <w:basedOn w:val="Normal"/>
    <w:next w:val="TOCPage"/>
    <w:rsid w:val="007F2104"/>
    <w:pPr>
      <w:keepNext/>
      <w:spacing w:before="240" w:after="240"/>
      <w:jc w:val="center"/>
    </w:pPr>
    <w:rPr>
      <w:rFonts w:ascii="Arial" w:hAnsi="Arial"/>
      <w:b/>
      <w:snapToGrid/>
      <w:lang w:eastAsia="en-GB"/>
    </w:rPr>
  </w:style>
  <w:style w:type="table" w:styleId="TableGrid">
    <w:name w:val="Table Grid"/>
    <w:basedOn w:val="TableNormal"/>
    <w:rsid w:val="00F732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F03FCA"/>
    <w:pPr>
      <w:jc w:val="center"/>
    </w:pPr>
    <w:rPr>
      <w:rFonts w:ascii="Arial" w:hAnsi="Arial" w:cs="Arial"/>
      <w:i/>
      <w:snapToGrid/>
      <w:sz w:val="22"/>
      <w:szCs w:val="22"/>
      <w:lang w:eastAsia="en-GB"/>
    </w:rPr>
  </w:style>
  <w:style w:type="paragraph" w:customStyle="1" w:styleId="LineTop">
    <w:name w:val="LineTop"/>
    <w:basedOn w:val="Normal"/>
    <w:next w:val="Normal"/>
    <w:rsid w:val="00F732B6"/>
    <w:pPr>
      <w:pBdr>
        <w:top w:val="single" w:sz="4" w:space="1" w:color="auto"/>
      </w:pBdr>
      <w:jc w:val="center"/>
    </w:pPr>
    <w:rPr>
      <w:rFonts w:ascii="Arial" w:hAnsi="Arial" w:cs="Arial"/>
      <w:snapToGrid/>
      <w:sz w:val="16"/>
      <w:szCs w:val="16"/>
      <w:lang w:eastAsia="en-GB"/>
    </w:rPr>
  </w:style>
  <w:style w:type="paragraph" w:customStyle="1" w:styleId="LineBottom">
    <w:name w:val="LineBottom"/>
    <w:basedOn w:val="Normal"/>
    <w:next w:val="Normal"/>
    <w:rsid w:val="00791131"/>
    <w:pPr>
      <w:pBdr>
        <w:bottom w:val="single" w:sz="4" w:space="1" w:color="auto"/>
      </w:pBdr>
      <w:spacing w:after="240"/>
      <w:jc w:val="center"/>
    </w:pPr>
    <w:rPr>
      <w:rFonts w:ascii="Arial" w:hAnsi="Arial" w:cs="Arial"/>
      <w:snapToGrid/>
      <w:sz w:val="16"/>
      <w:szCs w:val="16"/>
      <w:lang w:eastAsia="en-GB"/>
    </w:rPr>
  </w:style>
  <w:style w:type="paragraph" w:customStyle="1" w:styleId="EPTerm">
    <w:name w:val="EPTerm"/>
    <w:basedOn w:val="Normal"/>
    <w:next w:val="Normal"/>
    <w:rsid w:val="00D16E15"/>
    <w:pPr>
      <w:spacing w:after="80"/>
    </w:pPr>
    <w:rPr>
      <w:rFonts w:ascii="Arial" w:hAnsi="Arial" w:cs="Arial"/>
      <w:snapToGrid/>
      <w:sz w:val="20"/>
      <w:szCs w:val="22"/>
      <w:lang w:eastAsia="en-GB"/>
    </w:rPr>
  </w:style>
  <w:style w:type="paragraph" w:customStyle="1" w:styleId="EPLogo">
    <w:name w:val="EPLogo"/>
    <w:basedOn w:val="Normal"/>
    <w:qFormat/>
    <w:rsid w:val="00D16E15"/>
    <w:pPr>
      <w:jc w:val="right"/>
    </w:pPr>
    <w:rPr>
      <w:snapToGrid/>
      <w:lang w:eastAsia="en-GB"/>
    </w:rPr>
  </w:style>
  <w:style w:type="paragraph" w:customStyle="1" w:styleId="CoverRefPart">
    <w:name w:val="CoverRefPart"/>
    <w:basedOn w:val="Normal"/>
    <w:rsid w:val="00577455"/>
    <w:pPr>
      <w:jc w:val="right"/>
    </w:pPr>
    <w:rPr>
      <w:rFonts w:ascii="Arial" w:hAnsi="Arial"/>
    </w:rPr>
  </w:style>
  <w:style w:type="paragraph" w:customStyle="1" w:styleId="Subheading">
    <w:name w:val="Subheading"/>
    <w:basedOn w:val="Normal"/>
    <w:rsid w:val="0065571D"/>
    <w:pPr>
      <w:spacing w:before="480" w:after="240"/>
    </w:pPr>
    <w:rPr>
      <w:b/>
      <w:bCs/>
      <w:i/>
      <w:iCs/>
    </w:rPr>
  </w:style>
  <w:style w:type="paragraph" w:customStyle="1" w:styleId="EPFooter">
    <w:name w:val="EPFooter"/>
    <w:basedOn w:val="Normal"/>
    <w:rsid w:val="007C663F"/>
    <w:pPr>
      <w:tabs>
        <w:tab w:val="center" w:pos="4535"/>
        <w:tab w:val="right" w:pos="9071"/>
      </w:tabs>
      <w:spacing w:before="240" w:after="240"/>
    </w:pPr>
    <w:rPr>
      <w:sz w:val="22"/>
    </w:rPr>
  </w:style>
  <w:style w:type="paragraph" w:styleId="Header">
    <w:name w:val="header"/>
    <w:basedOn w:val="Normal"/>
    <w:link w:val="HeaderChar"/>
    <w:semiHidden/>
    <w:rsid w:val="007C663F"/>
    <w:pPr>
      <w:tabs>
        <w:tab w:val="center" w:pos="4513"/>
        <w:tab w:val="right" w:pos="9026"/>
      </w:tabs>
    </w:pPr>
  </w:style>
  <w:style w:type="character" w:customStyle="1" w:styleId="HeaderChar">
    <w:name w:val="Header Char"/>
    <w:basedOn w:val="DefaultParagraphFont"/>
    <w:link w:val="Header"/>
    <w:semiHidden/>
    <w:rsid w:val="00791131"/>
    <w:rPr>
      <w:snapToGrid w:val="0"/>
      <w:sz w:val="24"/>
      <w:lang w:eastAsia="en-US"/>
    </w:rPr>
  </w:style>
  <w:style w:type="character" w:styleId="PageNumber">
    <w:name w:val="page number"/>
    <w:basedOn w:val="DefaultParagraphFont"/>
    <w:semiHidden/>
    <w:rsid w:val="00131752"/>
  </w:style>
  <w:style w:type="paragraph" w:customStyle="1" w:styleId="AmColumnHeading">
    <w:name w:val="AmColumnHeading"/>
    <w:basedOn w:val="Normal"/>
    <w:rsid w:val="00B47478"/>
    <w:pPr>
      <w:spacing w:after="240"/>
      <w:jc w:val="center"/>
    </w:pPr>
    <w:rPr>
      <w:i/>
      <w:snapToGrid/>
      <w:lang w:eastAsia="en-GB"/>
    </w:rPr>
  </w:style>
  <w:style w:type="paragraph" w:customStyle="1" w:styleId="AmCrossRef">
    <w:name w:val="AmCrossRef"/>
    <w:basedOn w:val="Normal"/>
    <w:rsid w:val="00B47478"/>
    <w:pPr>
      <w:spacing w:before="240" w:after="240"/>
      <w:jc w:val="center"/>
    </w:pPr>
    <w:rPr>
      <w:i/>
      <w:snapToGrid/>
      <w:lang w:eastAsia="en-GB"/>
    </w:rPr>
  </w:style>
  <w:style w:type="paragraph" w:customStyle="1" w:styleId="AmJustText">
    <w:name w:val="AmJustText"/>
    <w:basedOn w:val="Normal"/>
    <w:rsid w:val="00B47478"/>
    <w:pPr>
      <w:spacing w:after="240"/>
    </w:pPr>
    <w:rPr>
      <w:i/>
      <w:snapToGrid/>
      <w:lang w:eastAsia="en-GB"/>
    </w:rPr>
  </w:style>
  <w:style w:type="paragraph" w:customStyle="1" w:styleId="AmJustTitle">
    <w:name w:val="AmJustTitle"/>
    <w:basedOn w:val="Normal"/>
    <w:next w:val="AmJustText"/>
    <w:rsid w:val="00B47478"/>
    <w:pPr>
      <w:keepNext/>
      <w:spacing w:before="240" w:after="240"/>
      <w:jc w:val="center"/>
    </w:pPr>
    <w:rPr>
      <w:i/>
      <w:snapToGrid/>
      <w:lang w:eastAsia="en-GB"/>
    </w:rPr>
  </w:style>
  <w:style w:type="paragraph" w:customStyle="1" w:styleId="AmNumberTabs">
    <w:name w:val="AmNumberTabs"/>
    <w:basedOn w:val="Normal"/>
    <w:rsid w:val="00B4747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napToGrid/>
      <w:lang w:eastAsia="en-GB"/>
    </w:rPr>
  </w:style>
  <w:style w:type="paragraph" w:customStyle="1" w:styleId="AmOrLang">
    <w:name w:val="AmOrLang"/>
    <w:basedOn w:val="Normal"/>
    <w:rsid w:val="00B47478"/>
    <w:pPr>
      <w:spacing w:before="240" w:after="240"/>
      <w:jc w:val="right"/>
    </w:pPr>
    <w:rPr>
      <w:snapToGrid/>
      <w:lang w:eastAsia="en-GB"/>
    </w:rPr>
  </w:style>
  <w:style w:type="paragraph" w:customStyle="1" w:styleId="AnnexWPDate">
    <w:name w:val="AnnexWPDate"/>
    <w:basedOn w:val="Normal"/>
    <w:rsid w:val="00B47478"/>
    <w:pPr>
      <w:spacing w:before="240" w:after="480"/>
      <w:jc w:val="right"/>
    </w:pPr>
    <w:rPr>
      <w:snapToGrid/>
      <w:lang w:eastAsia="en-GB"/>
    </w:rPr>
  </w:style>
  <w:style w:type="paragraph" w:customStyle="1" w:styleId="AnnexWPDocType">
    <w:name w:val="AnnexWPDocType"/>
    <w:basedOn w:val="Normal"/>
    <w:rsid w:val="00B47478"/>
    <w:pPr>
      <w:spacing w:after="240"/>
      <w:jc w:val="center"/>
    </w:pPr>
    <w:rPr>
      <w:b/>
      <w:snapToGrid/>
      <w:lang w:eastAsia="en-GB"/>
    </w:rPr>
  </w:style>
  <w:style w:type="paragraph" w:customStyle="1" w:styleId="AnnexWPLogo">
    <w:name w:val="AnnexWPLogo"/>
    <w:basedOn w:val="Normal"/>
    <w:rsid w:val="00B47478"/>
    <w:pPr>
      <w:spacing w:before="120" w:after="120"/>
    </w:pPr>
    <w:rPr>
      <w:snapToGrid/>
      <w:lang w:eastAsia="en-GB"/>
    </w:rPr>
  </w:style>
  <w:style w:type="paragraph" w:customStyle="1" w:styleId="AnnexWPSmall">
    <w:name w:val="AnnexWPSmall"/>
    <w:basedOn w:val="Normal"/>
    <w:rsid w:val="00B47478"/>
    <w:rPr>
      <w:smallCaps/>
      <w:snapToGrid/>
      <w:sz w:val="20"/>
      <w:lang w:eastAsia="en-GB"/>
    </w:rPr>
  </w:style>
  <w:style w:type="paragraph" w:customStyle="1" w:styleId="AnnexWPTabs">
    <w:name w:val="AnnexWPTabs"/>
    <w:basedOn w:val="Normal"/>
    <w:rsid w:val="00B47478"/>
    <w:pPr>
      <w:tabs>
        <w:tab w:val="right" w:pos="3686"/>
        <w:tab w:val="left" w:pos="3827"/>
      </w:tabs>
    </w:pPr>
    <w:rPr>
      <w:b/>
      <w:snapToGrid/>
      <w:lang w:eastAsia="en-GB"/>
    </w:rPr>
  </w:style>
  <w:style w:type="paragraph" w:customStyle="1" w:styleId="AnnexWPTitle">
    <w:name w:val="AnnexWPTitle"/>
    <w:basedOn w:val="Normal"/>
    <w:rsid w:val="00B47478"/>
    <w:pPr>
      <w:spacing w:before="480"/>
    </w:pPr>
    <w:rPr>
      <w:b/>
      <w:snapToGrid/>
      <w:lang w:eastAsia="en-GB"/>
    </w:rPr>
  </w:style>
  <w:style w:type="paragraph" w:customStyle="1" w:styleId="AmHeadingConsam">
    <w:name w:val="AmHeadingConsam"/>
    <w:basedOn w:val="Normal"/>
    <w:next w:val="Normal"/>
    <w:rsid w:val="00B47478"/>
    <w:pPr>
      <w:spacing w:before="720" w:after="240"/>
      <w:jc w:val="center"/>
    </w:pPr>
    <w:rPr>
      <w:snapToGrid/>
      <w:lang w:eastAsia="en-GB"/>
    </w:rPr>
  </w:style>
  <w:style w:type="paragraph" w:customStyle="1" w:styleId="CoverNormal12a">
    <w:name w:val="CoverNormal12a"/>
    <w:basedOn w:val="Normal"/>
    <w:rsid w:val="00B47478"/>
    <w:pPr>
      <w:spacing w:after="240"/>
      <w:ind w:left="1418"/>
    </w:pPr>
    <w:rPr>
      <w:snapToGrid/>
      <w:lang w:eastAsia="en-GB"/>
    </w:rPr>
  </w:style>
  <w:style w:type="paragraph" w:customStyle="1" w:styleId="Confidential">
    <w:name w:val="Confidential"/>
    <w:basedOn w:val="Normal"/>
    <w:rsid w:val="00B47478"/>
    <w:pPr>
      <w:spacing w:before="120" w:after="120"/>
      <w:jc w:val="center"/>
    </w:pPr>
    <w:rPr>
      <w:rFonts w:ascii="Arial" w:hAnsi="Arial"/>
      <w:caps/>
      <w:snapToGrid/>
      <w:lang w:eastAsia="en-GB"/>
    </w:rPr>
  </w:style>
  <w:style w:type="paragraph" w:customStyle="1" w:styleId="CoverReferenceIMM">
    <w:name w:val="CoverReferenceIMM"/>
    <w:basedOn w:val="Normal"/>
    <w:rsid w:val="00B47478"/>
    <w:pPr>
      <w:spacing w:before="360"/>
      <w:jc w:val="right"/>
    </w:pPr>
    <w:rPr>
      <w:rFonts w:ascii="Arial" w:hAnsi="Arial"/>
      <w:b/>
      <w:snapToGrid/>
      <w:lang w:eastAsia="en-GB"/>
    </w:rPr>
  </w:style>
  <w:style w:type="paragraph" w:customStyle="1" w:styleId="CoverDate">
    <w:name w:val="CoverDate"/>
    <w:basedOn w:val="Normal"/>
    <w:rsid w:val="00B47478"/>
    <w:pPr>
      <w:spacing w:before="240" w:after="1200"/>
    </w:pPr>
    <w:rPr>
      <w:snapToGrid/>
      <w:lang w:eastAsia="en-GB"/>
    </w:rPr>
  </w:style>
  <w:style w:type="paragraph" w:customStyle="1" w:styleId="CoverDocType">
    <w:name w:val="CoverDocType"/>
    <w:basedOn w:val="Normal"/>
    <w:rsid w:val="00B47478"/>
    <w:pPr>
      <w:ind w:left="1418"/>
    </w:pPr>
    <w:rPr>
      <w:rFonts w:ascii="Arial" w:hAnsi="Arial"/>
      <w:b/>
      <w:snapToGrid/>
      <w:sz w:val="48"/>
      <w:lang w:eastAsia="en-GB"/>
    </w:rPr>
  </w:style>
  <w:style w:type="character" w:styleId="FootnoteReference">
    <w:name w:val="footnote reference"/>
    <w:rsid w:val="00B47478"/>
    <w:rPr>
      <w:vertAlign w:val="superscript"/>
    </w:rPr>
  </w:style>
  <w:style w:type="paragraph" w:customStyle="1" w:styleId="NormalBold12a">
    <w:name w:val="NormalBold12a"/>
    <w:basedOn w:val="Normal"/>
    <w:rsid w:val="00B47478"/>
    <w:pPr>
      <w:spacing w:after="240"/>
    </w:pPr>
    <w:rPr>
      <w:b/>
      <w:snapToGrid/>
      <w:lang w:eastAsia="en-GB"/>
    </w:rPr>
  </w:style>
  <w:style w:type="paragraph" w:customStyle="1" w:styleId="NormalCenter12a">
    <w:name w:val="NormalCenter12a"/>
    <w:basedOn w:val="Normal"/>
    <w:rsid w:val="00B47478"/>
    <w:pPr>
      <w:spacing w:after="240"/>
      <w:jc w:val="center"/>
    </w:pPr>
    <w:rPr>
      <w:snapToGrid/>
      <w:lang w:eastAsia="en-GB"/>
    </w:rPr>
  </w:style>
  <w:style w:type="paragraph" w:customStyle="1" w:styleId="Normal6a">
    <w:name w:val="Normal6a"/>
    <w:basedOn w:val="Normal"/>
    <w:rsid w:val="00B47478"/>
    <w:pPr>
      <w:spacing w:after="120"/>
    </w:pPr>
    <w:rPr>
      <w:snapToGrid/>
      <w:lang w:eastAsia="en-GB"/>
    </w:rPr>
  </w:style>
  <w:style w:type="paragraph" w:customStyle="1" w:styleId="NormalBold12b">
    <w:name w:val="NormalBold12b"/>
    <w:basedOn w:val="Normal"/>
    <w:rsid w:val="00B47478"/>
    <w:pPr>
      <w:spacing w:before="240"/>
    </w:pPr>
    <w:rPr>
      <w:b/>
      <w:snapToGrid/>
      <w:lang w:eastAsia="en-GB"/>
    </w:rPr>
  </w:style>
  <w:style w:type="paragraph" w:customStyle="1" w:styleId="Arial14CentreBold">
    <w:name w:val="Arial14CentreBold"/>
    <w:basedOn w:val="Normal"/>
    <w:qFormat/>
    <w:rsid w:val="00A75A20"/>
    <w:pPr>
      <w:jc w:val="center"/>
    </w:pPr>
    <w:rPr>
      <w:rFonts w:ascii="Arial" w:hAnsi="Arial" w:cs="Arial"/>
      <w:b/>
      <w:snapToGrid/>
      <w:sz w:val="28"/>
      <w:szCs w:val="28"/>
      <w:lang w:eastAsia="en-GB"/>
    </w:rPr>
  </w:style>
  <w:style w:type="character" w:customStyle="1" w:styleId="Bold">
    <w:name w:val="Bold"/>
    <w:uiPriority w:val="1"/>
    <w:rsid w:val="0065571D"/>
    <w:rPr>
      <w:b/>
    </w:rPr>
  </w:style>
  <w:style w:type="character" w:customStyle="1" w:styleId="BoldItalic">
    <w:name w:val="BoldItalic"/>
    <w:uiPriority w:val="1"/>
    <w:rsid w:val="0065571D"/>
    <w:rPr>
      <w:b/>
      <w:i/>
      <w:u w:val="none"/>
    </w:rPr>
  </w:style>
  <w:style w:type="character" w:customStyle="1" w:styleId="BoldItalicUnderline">
    <w:name w:val="BoldItalicUnderline"/>
    <w:uiPriority w:val="1"/>
    <w:rsid w:val="0065571D"/>
    <w:rPr>
      <w:b/>
      <w:i/>
      <w:u w:val="single"/>
    </w:rPr>
  </w:style>
  <w:style w:type="character" w:customStyle="1" w:styleId="BoldUnderline">
    <w:name w:val="BoldUnderline"/>
    <w:uiPriority w:val="1"/>
    <w:rsid w:val="0065571D"/>
    <w:rPr>
      <w:b/>
      <w:u w:val="single"/>
    </w:rPr>
  </w:style>
  <w:style w:type="paragraph" w:customStyle="1" w:styleId="CoverNormalLeft">
    <w:name w:val="CoverNormalLeft"/>
    <w:basedOn w:val="CoverNormal"/>
    <w:qFormat/>
    <w:rsid w:val="00A75A20"/>
    <w:pPr>
      <w:ind w:left="0"/>
    </w:pPr>
    <w:rPr>
      <w:snapToGrid/>
      <w:lang w:eastAsia="en-GB"/>
    </w:rPr>
  </w:style>
  <w:style w:type="paragraph" w:customStyle="1" w:styleId="EPFooter2Landscape">
    <w:name w:val="EPFooter2Landscape"/>
    <w:qFormat/>
    <w:rsid w:val="00A75A20"/>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2707F5"/>
    <w:rPr>
      <w:rFonts w:ascii="Arial" w:hAnsi="Arial"/>
      <w:b/>
      <w:i/>
      <w:color w:val="C0C0C0"/>
      <w:sz w:val="22"/>
    </w:rPr>
  </w:style>
  <w:style w:type="paragraph" w:customStyle="1" w:styleId="EPFooterLandscape">
    <w:name w:val="EPFooterLandscape"/>
    <w:qFormat/>
    <w:rsid w:val="00A75A20"/>
    <w:pPr>
      <w:tabs>
        <w:tab w:val="center" w:pos="6804"/>
        <w:tab w:val="right" w:pos="15026"/>
      </w:tabs>
    </w:pPr>
    <w:rPr>
      <w:sz w:val="22"/>
    </w:rPr>
  </w:style>
  <w:style w:type="character" w:customStyle="1" w:styleId="Italic">
    <w:name w:val="Italic"/>
    <w:uiPriority w:val="1"/>
    <w:rsid w:val="0065571D"/>
    <w:rPr>
      <w:i/>
    </w:rPr>
  </w:style>
  <w:style w:type="character" w:customStyle="1" w:styleId="ItalicUnderline">
    <w:name w:val="ItalicUnderline"/>
    <w:uiPriority w:val="1"/>
    <w:rsid w:val="0065571D"/>
    <w:rPr>
      <w:i/>
      <w:u w:val="single"/>
    </w:rPr>
  </w:style>
  <w:style w:type="paragraph" w:customStyle="1" w:styleId="LegendSign">
    <w:name w:val="LegendSign"/>
    <w:basedOn w:val="Normal"/>
    <w:qFormat/>
    <w:rsid w:val="00A75A20"/>
    <w:pPr>
      <w:tabs>
        <w:tab w:val="right" w:pos="454"/>
        <w:tab w:val="left" w:pos="737"/>
      </w:tabs>
      <w:ind w:left="737" w:hanging="737"/>
    </w:pPr>
    <w:rPr>
      <w:snapToGrid/>
      <w:sz w:val="18"/>
      <w:lang w:eastAsia="en-GB"/>
    </w:rPr>
  </w:style>
  <w:style w:type="paragraph" w:customStyle="1" w:styleId="LegendStandard">
    <w:name w:val="LegendStandard"/>
    <w:basedOn w:val="LegendSign"/>
    <w:qFormat/>
    <w:rsid w:val="00A75A20"/>
    <w:pPr>
      <w:ind w:left="0" w:firstLine="0"/>
    </w:pPr>
  </w:style>
  <w:style w:type="paragraph" w:customStyle="1" w:styleId="LegendTitle">
    <w:name w:val="LegendTitle"/>
    <w:basedOn w:val="Normal"/>
    <w:qFormat/>
    <w:rsid w:val="00A75A20"/>
    <w:pPr>
      <w:spacing w:before="240" w:after="240"/>
    </w:pPr>
    <w:rPr>
      <w:b/>
      <w:i/>
      <w:snapToGrid/>
      <w:lang w:eastAsia="en-GB"/>
    </w:rPr>
  </w:style>
  <w:style w:type="character" w:customStyle="1" w:styleId="HideTermComment">
    <w:name w:val="HideTermComment"/>
    <w:uiPriority w:val="1"/>
    <w:qFormat/>
    <w:rsid w:val="00A75A20"/>
    <w:rPr>
      <w:rFonts w:ascii="Arial" w:hAnsi="Arial"/>
      <w:vanish/>
      <w:color w:val="0066CC"/>
      <w:sz w:val="18"/>
    </w:rPr>
  </w:style>
  <w:style w:type="character" w:customStyle="1" w:styleId="HideTerminTermComment">
    <w:name w:val="HideTerminTermComment"/>
    <w:basedOn w:val="HideTermComment"/>
    <w:uiPriority w:val="1"/>
    <w:qFormat/>
    <w:rsid w:val="00A75A20"/>
    <w:rPr>
      <w:rFonts w:ascii="Arial" w:hAnsi="Arial"/>
      <w:vanish/>
      <w:color w:val="538135" w:themeColor="accent6" w:themeShade="BF"/>
      <w:sz w:val="18"/>
    </w:rPr>
  </w:style>
  <w:style w:type="paragraph" w:customStyle="1" w:styleId="Normal12a">
    <w:name w:val="Normal12a"/>
    <w:basedOn w:val="Normal"/>
    <w:rsid w:val="00031EA2"/>
    <w:pPr>
      <w:spacing w:after="240"/>
    </w:pPr>
    <w:rPr>
      <w:snapToGrid/>
      <w:lang w:eastAsia="en-GB"/>
    </w:rPr>
  </w:style>
  <w:style w:type="paragraph" w:customStyle="1" w:styleId="Normal12b">
    <w:name w:val="Normal12b"/>
    <w:basedOn w:val="Normal"/>
    <w:qFormat/>
    <w:rsid w:val="00A75A20"/>
    <w:pPr>
      <w:spacing w:before="240"/>
    </w:pPr>
    <w:rPr>
      <w:snapToGrid/>
      <w:lang w:eastAsia="en-GB"/>
    </w:rPr>
  </w:style>
  <w:style w:type="paragraph" w:customStyle="1" w:styleId="NormalBoldUnderline24b">
    <w:name w:val="NormalBoldUnderline24b"/>
    <w:basedOn w:val="Normal"/>
    <w:qFormat/>
    <w:rsid w:val="001038F2"/>
    <w:pPr>
      <w:spacing w:before="480"/>
    </w:pPr>
    <w:rPr>
      <w:b/>
      <w:snapToGrid/>
      <w:u w:val="single"/>
      <w:lang w:eastAsia="en-GB"/>
    </w:rPr>
  </w:style>
  <w:style w:type="paragraph" w:customStyle="1" w:styleId="NormalBoldUnderline24b12a">
    <w:name w:val="NormalBoldUnderline24b12a"/>
    <w:basedOn w:val="NormalBoldUnderline24b"/>
    <w:qFormat/>
    <w:rsid w:val="00A75A20"/>
    <w:pPr>
      <w:spacing w:after="240"/>
    </w:pPr>
  </w:style>
  <w:style w:type="paragraph" w:customStyle="1" w:styleId="Normal12aBullet1">
    <w:name w:val="Normal12aBullet1"/>
    <w:basedOn w:val="Normal"/>
    <w:qFormat/>
    <w:rsid w:val="00A75A20"/>
    <w:pPr>
      <w:widowControl/>
      <w:numPr>
        <w:numId w:val="1"/>
      </w:numPr>
    </w:pPr>
    <w:rPr>
      <w:snapToGrid/>
      <w:lang w:eastAsia="en-GB"/>
    </w:rPr>
  </w:style>
  <w:style w:type="paragraph" w:customStyle="1" w:styleId="Normal12aBullet2">
    <w:name w:val="Normal12aBullet2"/>
    <w:basedOn w:val="Normal"/>
    <w:qFormat/>
    <w:rsid w:val="00A75A20"/>
    <w:pPr>
      <w:numPr>
        <w:numId w:val="2"/>
      </w:numPr>
    </w:pPr>
    <w:rPr>
      <w:snapToGrid/>
      <w:lang w:eastAsia="en-GB"/>
    </w:rPr>
  </w:style>
  <w:style w:type="paragraph" w:customStyle="1" w:styleId="NormalHanging12a1">
    <w:name w:val="NormalHanging12a1"/>
    <w:basedOn w:val="Normal"/>
    <w:qFormat/>
    <w:rsid w:val="00C668A5"/>
    <w:pPr>
      <w:spacing w:after="240"/>
      <w:ind w:left="992" w:hanging="425"/>
    </w:pPr>
    <w:rPr>
      <w:snapToGrid/>
      <w:lang w:eastAsia="en-GB"/>
    </w:rPr>
  </w:style>
  <w:style w:type="paragraph" w:customStyle="1" w:styleId="NormalHanging12a2">
    <w:name w:val="NormalHanging12a2"/>
    <w:basedOn w:val="NormalHanging12a1"/>
    <w:qFormat/>
    <w:rsid w:val="00A75A20"/>
    <w:pPr>
      <w:ind w:left="1417"/>
    </w:pPr>
  </w:style>
  <w:style w:type="paragraph" w:customStyle="1" w:styleId="NormalHanging12a3">
    <w:name w:val="NormalHanging12a3"/>
    <w:basedOn w:val="NormalHanging12a2"/>
    <w:qFormat/>
    <w:rsid w:val="00A75A20"/>
    <w:pPr>
      <w:ind w:left="1843"/>
    </w:pPr>
  </w:style>
  <w:style w:type="paragraph" w:customStyle="1" w:styleId="NormalHanging12a4">
    <w:name w:val="NormalHanging12a4"/>
    <w:basedOn w:val="NormalHanging12a3"/>
    <w:qFormat/>
    <w:rsid w:val="00A75A20"/>
    <w:pPr>
      <w:ind w:left="2268"/>
    </w:pPr>
  </w:style>
  <w:style w:type="paragraph" w:customStyle="1" w:styleId="NormalHanging12a5">
    <w:name w:val="NormalHanging12a5"/>
    <w:basedOn w:val="NormalHanging12a4"/>
    <w:qFormat/>
    <w:rsid w:val="00A75A20"/>
    <w:pPr>
      <w:ind w:left="2693"/>
    </w:pPr>
  </w:style>
  <w:style w:type="paragraph" w:customStyle="1" w:styleId="NormalHanging12a6">
    <w:name w:val="NormalHanging12a6"/>
    <w:basedOn w:val="NormalHanging12a5"/>
    <w:qFormat/>
    <w:rsid w:val="00A75A20"/>
    <w:pPr>
      <w:ind w:left="3118"/>
    </w:pPr>
  </w:style>
  <w:style w:type="paragraph" w:customStyle="1" w:styleId="NormalHanging12a7">
    <w:name w:val="NormalHanging12a7"/>
    <w:basedOn w:val="NormalHanging12a6"/>
    <w:qFormat/>
    <w:rsid w:val="00A75A20"/>
    <w:pPr>
      <w:ind w:left="3544"/>
    </w:pPr>
  </w:style>
  <w:style w:type="paragraph" w:customStyle="1" w:styleId="NormalHangingCenter">
    <w:name w:val="NormalHangingCenter"/>
    <w:basedOn w:val="Normal"/>
    <w:qFormat/>
    <w:rsid w:val="00BC0B6B"/>
    <w:pPr>
      <w:spacing w:after="240"/>
      <w:ind w:left="567" w:hanging="567"/>
      <w:jc w:val="center"/>
    </w:pPr>
    <w:rPr>
      <w:snapToGrid/>
      <w:lang w:eastAsia="en-GB"/>
    </w:rPr>
  </w:style>
  <w:style w:type="paragraph" w:customStyle="1" w:styleId="NormalHangingJustified">
    <w:name w:val="NormalHangingJustified"/>
    <w:basedOn w:val="Normal"/>
    <w:qFormat/>
    <w:rsid w:val="00BC0B6B"/>
    <w:pPr>
      <w:spacing w:after="240"/>
      <w:ind w:left="714" w:hanging="357"/>
      <w:jc w:val="both"/>
    </w:pPr>
    <w:rPr>
      <w:snapToGrid/>
      <w:lang w:eastAsia="en-GB"/>
    </w:rPr>
  </w:style>
  <w:style w:type="paragraph" w:customStyle="1" w:styleId="NormalUnderline24b12a">
    <w:name w:val="NormalUnderline24b12a"/>
    <w:basedOn w:val="EPComma"/>
    <w:qFormat/>
    <w:rsid w:val="00A75A20"/>
    <w:rPr>
      <w:snapToGrid/>
      <w:u w:val="single"/>
      <w:lang w:eastAsia="en-GB"/>
    </w:rPr>
  </w:style>
  <w:style w:type="paragraph" w:customStyle="1" w:styleId="Normal2">
    <w:name w:val="Normal2"/>
    <w:next w:val="Normal"/>
    <w:qFormat/>
    <w:rsid w:val="00A75A20"/>
    <w:pPr>
      <w:spacing w:line="120" w:lineRule="auto"/>
    </w:pPr>
    <w:rPr>
      <w:color w:val="000000"/>
      <w:sz w:val="4"/>
      <w:szCs w:val="24"/>
    </w:rPr>
  </w:style>
  <w:style w:type="character" w:customStyle="1" w:styleId="NormalBI">
    <w:name w:val="NormalBI"/>
    <w:basedOn w:val="DefaultParagraphFont"/>
    <w:uiPriority w:val="1"/>
    <w:qFormat/>
    <w:rsid w:val="00A75A20"/>
    <w:rPr>
      <w:rFonts w:ascii="Times New Roman" w:hAnsi="Times New Roman"/>
      <w:b/>
      <w:i/>
      <w:sz w:val="24"/>
    </w:rPr>
  </w:style>
  <w:style w:type="paragraph" w:customStyle="1" w:styleId="NormalBoldItalic6a">
    <w:name w:val="NormalBoldItalic6a"/>
    <w:basedOn w:val="Normal6a"/>
    <w:qFormat/>
    <w:rsid w:val="00A75A20"/>
    <w:rPr>
      <w:b/>
      <w:i/>
    </w:rPr>
  </w:style>
  <w:style w:type="paragraph" w:customStyle="1" w:styleId="NormalBoldItalicCenter6a">
    <w:name w:val="NormalBoldItalicCenter6a"/>
    <w:basedOn w:val="Normal6a"/>
    <w:qFormat/>
    <w:rsid w:val="00A75A20"/>
    <w:pPr>
      <w:jc w:val="center"/>
    </w:pPr>
    <w:rPr>
      <w:b/>
      <w:i/>
    </w:rPr>
  </w:style>
  <w:style w:type="paragraph" w:customStyle="1" w:styleId="NormalItalic6a">
    <w:name w:val="NormalItalic6a"/>
    <w:basedOn w:val="Normal6a"/>
    <w:qFormat/>
    <w:rsid w:val="00A75A20"/>
    <w:rPr>
      <w:i/>
    </w:rPr>
  </w:style>
  <w:style w:type="paragraph" w:customStyle="1" w:styleId="PageHeadingNotTOC">
    <w:name w:val="PageHeadingNotTOC"/>
    <w:basedOn w:val="PageHeading"/>
    <w:rsid w:val="00A75A20"/>
    <w:rPr>
      <w:rFonts w:cs="Times New Roman"/>
      <w:snapToGrid/>
      <w:lang w:eastAsia="en-GB"/>
    </w:rPr>
  </w:style>
  <w:style w:type="character" w:customStyle="1" w:styleId="Sub">
    <w:name w:val="Sub"/>
    <w:uiPriority w:val="1"/>
    <w:qFormat/>
    <w:rsid w:val="0065571D"/>
    <w:rPr>
      <w:vertAlign w:val="subscript"/>
    </w:rPr>
  </w:style>
  <w:style w:type="character" w:customStyle="1" w:styleId="SubBold">
    <w:name w:val="SubBold"/>
    <w:uiPriority w:val="1"/>
    <w:qFormat/>
    <w:rsid w:val="0065571D"/>
    <w:rPr>
      <w:b/>
      <w:vertAlign w:val="subscript"/>
    </w:rPr>
  </w:style>
  <w:style w:type="character" w:customStyle="1" w:styleId="SubBoldItalic">
    <w:name w:val="SubBoldItalic"/>
    <w:uiPriority w:val="1"/>
    <w:rsid w:val="0065571D"/>
    <w:rPr>
      <w:b/>
      <w:i/>
      <w:vertAlign w:val="subscript"/>
    </w:rPr>
  </w:style>
  <w:style w:type="character" w:customStyle="1" w:styleId="SubItalic">
    <w:name w:val="SubItalic"/>
    <w:uiPriority w:val="1"/>
    <w:qFormat/>
    <w:rsid w:val="0065571D"/>
    <w:rPr>
      <w:b/>
      <w:i/>
      <w:vertAlign w:val="subscript"/>
    </w:rPr>
  </w:style>
  <w:style w:type="character" w:customStyle="1" w:styleId="Sup">
    <w:name w:val="Sup"/>
    <w:uiPriority w:val="1"/>
    <w:rsid w:val="0065571D"/>
    <w:rPr>
      <w:vertAlign w:val="superscript"/>
    </w:rPr>
  </w:style>
  <w:style w:type="character" w:customStyle="1" w:styleId="SupBoldItalic">
    <w:name w:val="SupBoldItalic"/>
    <w:uiPriority w:val="1"/>
    <w:qFormat/>
    <w:rsid w:val="0065571D"/>
    <w:rPr>
      <w:b/>
      <w:i/>
      <w:vertAlign w:val="superscript"/>
    </w:rPr>
  </w:style>
  <w:style w:type="character" w:customStyle="1" w:styleId="Underline">
    <w:name w:val="Underline"/>
    <w:uiPriority w:val="1"/>
    <w:rsid w:val="0065571D"/>
    <w:rPr>
      <w:u w:val="single"/>
    </w:rPr>
  </w:style>
  <w:style w:type="paragraph" w:customStyle="1" w:styleId="NormalBoldCenter">
    <w:name w:val="NormalBoldCenter"/>
    <w:basedOn w:val="Normal"/>
    <w:rsid w:val="00880359"/>
    <w:pPr>
      <w:jc w:val="center"/>
    </w:pPr>
    <w:rPr>
      <w:b/>
      <w:snapToGrid/>
      <w:lang w:eastAsia="en-GB"/>
    </w:rPr>
  </w:style>
  <w:style w:type="paragraph" w:customStyle="1" w:styleId="ProcedureTable">
    <w:name w:val="ProcedureTable"/>
    <w:basedOn w:val="Normal"/>
    <w:rsid w:val="008572D4"/>
    <w:rPr>
      <w:snapToGrid/>
      <w:sz w:val="20"/>
      <w:lang w:eastAsia="en-GB"/>
    </w:rPr>
  </w:style>
  <w:style w:type="paragraph" w:customStyle="1" w:styleId="ProcedureTableBold">
    <w:name w:val="ProcedureTableBold"/>
    <w:basedOn w:val="Normal"/>
    <w:rsid w:val="008572D4"/>
    <w:rPr>
      <w:b/>
      <w:snapToGrid/>
      <w:sz w:val="20"/>
      <w:lang w:eastAsia="en-GB"/>
    </w:rPr>
  </w:style>
  <w:style w:type="paragraph" w:customStyle="1" w:styleId="NormalCenter">
    <w:name w:val="NormalCenter"/>
    <w:basedOn w:val="Normal"/>
    <w:rsid w:val="00314D1A"/>
    <w:pPr>
      <w:jc w:val="center"/>
    </w:pPr>
    <w:rPr>
      <w:snapToGrid/>
      <w:lang w:eastAsia="en-GB"/>
    </w:rPr>
  </w:style>
  <w:style w:type="character" w:customStyle="1" w:styleId="SubBoldItalicUnderline">
    <w:name w:val="SubBoldItalicUnderline"/>
    <w:uiPriority w:val="1"/>
    <w:rsid w:val="0065571D"/>
    <w:rPr>
      <w:b/>
      <w:i/>
      <w:u w:val="single"/>
      <w:vertAlign w:val="subscript"/>
    </w:rPr>
  </w:style>
  <w:style w:type="character" w:customStyle="1" w:styleId="SubBoldUnderline">
    <w:name w:val="SubBoldUnderline"/>
    <w:uiPriority w:val="1"/>
    <w:rsid w:val="0065571D"/>
    <w:rPr>
      <w:b/>
      <w:u w:val="single"/>
      <w:vertAlign w:val="subscript"/>
    </w:rPr>
  </w:style>
  <w:style w:type="character" w:customStyle="1" w:styleId="SubItalicUnderline">
    <w:name w:val="SubItalicUnderline"/>
    <w:uiPriority w:val="1"/>
    <w:rsid w:val="0065571D"/>
    <w:rPr>
      <w:i/>
      <w:u w:val="single"/>
      <w:vertAlign w:val="subscript"/>
    </w:rPr>
  </w:style>
  <w:style w:type="character" w:customStyle="1" w:styleId="SubUnderline">
    <w:name w:val="SubUnderline"/>
    <w:uiPriority w:val="1"/>
    <w:rsid w:val="0065571D"/>
    <w:rPr>
      <w:u w:val="single"/>
      <w:vertAlign w:val="subscript"/>
    </w:rPr>
  </w:style>
  <w:style w:type="character" w:customStyle="1" w:styleId="SupBold">
    <w:name w:val="SupBold"/>
    <w:uiPriority w:val="1"/>
    <w:rsid w:val="0065571D"/>
    <w:rPr>
      <w:b/>
      <w:vertAlign w:val="superscript"/>
    </w:rPr>
  </w:style>
  <w:style w:type="character" w:customStyle="1" w:styleId="SupBoldItalicUnderline">
    <w:name w:val="SupBoldItalicUnderline"/>
    <w:uiPriority w:val="1"/>
    <w:rsid w:val="0065571D"/>
    <w:rPr>
      <w:b/>
      <w:i/>
      <w:u w:val="single"/>
      <w:vertAlign w:val="superscript"/>
    </w:rPr>
  </w:style>
  <w:style w:type="character" w:customStyle="1" w:styleId="SupBoldUnderline">
    <w:name w:val="SupBoldUnderline"/>
    <w:uiPriority w:val="1"/>
    <w:rsid w:val="0065571D"/>
    <w:rPr>
      <w:b/>
      <w:u w:val="single"/>
      <w:vertAlign w:val="superscript"/>
    </w:rPr>
  </w:style>
  <w:style w:type="character" w:customStyle="1" w:styleId="SupItalic">
    <w:name w:val="SupItalic"/>
    <w:uiPriority w:val="1"/>
    <w:rsid w:val="0065571D"/>
    <w:rPr>
      <w:i/>
      <w:vertAlign w:val="superscript"/>
    </w:rPr>
  </w:style>
  <w:style w:type="character" w:customStyle="1" w:styleId="SupItalicUnderline">
    <w:name w:val="SupItalicUnderline"/>
    <w:uiPriority w:val="1"/>
    <w:rsid w:val="0065571D"/>
    <w:rPr>
      <w:i/>
      <w:u w:val="single"/>
      <w:vertAlign w:val="superscript"/>
    </w:rPr>
  </w:style>
  <w:style w:type="character" w:customStyle="1" w:styleId="SupUnderline">
    <w:name w:val="SupUnderline"/>
    <w:uiPriority w:val="1"/>
    <w:rsid w:val="0065571D"/>
    <w:rPr>
      <w:u w:val="single"/>
      <w:vertAlign w:val="superscript"/>
    </w:rPr>
  </w:style>
  <w:style w:type="paragraph" w:customStyle="1" w:styleId="Normal24a">
    <w:name w:val="Normal24a"/>
    <w:basedOn w:val="Normal"/>
    <w:rsid w:val="00B140D0"/>
    <w:pPr>
      <w:spacing w:after="480"/>
    </w:pPr>
    <w:rPr>
      <w:snapToGrid/>
      <w:lang w:eastAsia="en-GB"/>
    </w:rPr>
  </w:style>
  <w:style w:type="paragraph" w:customStyle="1" w:styleId="Normal12a24b">
    <w:name w:val="Normal12a24b"/>
    <w:basedOn w:val="Normal"/>
    <w:rsid w:val="00D46F6C"/>
    <w:pPr>
      <w:spacing w:before="360" w:after="240"/>
    </w:pPr>
  </w:style>
  <w:style w:type="paragraph" w:customStyle="1" w:styleId="NormalTab">
    <w:name w:val="NormalTab"/>
    <w:basedOn w:val="Normal"/>
    <w:rsid w:val="00CC6F1E"/>
    <w:pPr>
      <w:tabs>
        <w:tab w:val="center" w:pos="284"/>
        <w:tab w:val="left" w:pos="425"/>
      </w:tabs>
    </w:pPr>
    <w:rPr>
      <w:snapToGrid/>
      <w:lang w:eastAsia="en-GB"/>
    </w:rPr>
  </w:style>
  <w:style w:type="character" w:styleId="Hyperlink">
    <w:name w:val="Hyperlink"/>
    <w:basedOn w:val="DefaultParagraphFont"/>
    <w:rsid w:val="00EF7B96"/>
    <w:rPr>
      <w:color w:val="0000FF"/>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hyperlink" Target="https://www.europarl.europa.eu/data-protect/index.d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10</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1323595</vt:lpwstr>
  </property>
  <property fmtid="{D5CDD505-2E9C-101B-9397-08002B2CF9AE}" pid="4" name="&lt;Model&gt;">
    <vt:lpwstr>PR_INI</vt:lpwstr>
  </property>
  <property fmtid="{D5CDD505-2E9C-101B-9397-08002B2CF9AE}" pid="5" name="&lt;Type&gt;">
    <vt:lpwstr>PR</vt:lpwstr>
  </property>
  <property fmtid="{D5CDD505-2E9C-101B-9397-08002B2CF9AE}" pid="6" name="DMXMLUID">
    <vt:lpwstr>20250801-083605-001488-415150</vt:lpwstr>
  </property>
  <property fmtid="{D5CDD505-2E9C-101B-9397-08002B2CF9AE}" pid="7" name="FooterPath">
    <vt:lpwstr>PR\1323595EL.doc</vt:lpwstr>
  </property>
  <property fmtid="{D5CDD505-2E9C-101B-9397-08002B2CF9AE}" pid="8" name="PE Number">
    <vt:lpwstr>775.387</vt:lpwstr>
  </property>
  <property fmtid="{D5CDD505-2E9C-101B-9397-08002B2CF9AE}" pid="9" name="UID">
    <vt:lpwstr>eu.europa.europarl-DIN1-2025-0000149368_01.06-el-02.00_text-xml</vt:lpwstr>
  </property>
</Properties>
</file>