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1.0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Europejski</w:t>
            </w:r>
          </w:p>
          <w:p>
            <w:pPr>
              <w:pStyle w:val="EPTerm"/>
            </w:pPr>
            <w:r>
              <w:t>2024-2029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Komisja Praw Kobiet i Równouprawnienia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2024/2124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16/07/2025</w:t>
      </w:r>
      <w:r>
        <w:rPr>
          <w:rStyle w:val="HideTWBInt"/>
        </w:rPr>
        <w:t>}</w:t>
      </w:r>
      <w:r>
        <w:t>16.07.2025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PROJEKT SPRAWOZDANIA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w sprawie przedsiębiorczości kobiet na obszarach wiejskich i wyspiarskich oraz w regionach najbardziej oddalonych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(2024/2124(INI))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Komisja Praw Kobiet i Równouprawnienia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Sprawozdawczyni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Elżbieta Katarzyna Łukacijewska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SPIS TREŚCI</w:t>
      </w:r>
    </w:p>
    <w:p>
      <w:pPr>
        <w:pStyle w:val="TOCPage"/>
      </w:pPr>
      <w:r>
        <w:t>Strona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PROJEKT REZOLUCJI PARLAMENTU EUROPEJSKIEGO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UZASADNIENIE</w:t>
      </w:r>
      <w:r>
        <w:tab/>
      </w:r>
      <w:r>
        <w:fldChar w:fldCharType="begin"/>
      </w:r>
      <w:r>
        <w:instrText xml:space="preserve"> PAGEREF _Toc256000004 \h </w:instrText>
      </w:r>
      <w:r>
        <w:fldChar w:fldCharType="separate"/>
      </w:r>
      <w:r>
        <w:t>8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ZAŁĄCZNIK: WYKAZ PODMIOTÓW, OD KTÓRYCH SPRAWOZDAWCA OTRZYMAŁ INFORMACJE</w:t>
      </w:r>
      <w:r>
        <w:tab/>
      </w:r>
      <w:r>
        <w:fldChar w:fldCharType="begin"/>
      </w:r>
      <w:r>
        <w:instrText xml:space="preserve"> PAGEREF _Toc256000005 \h </w:instrText>
      </w:r>
      <w:r>
        <w:fldChar w:fldCharType="separate"/>
      </w:r>
      <w:r>
        <w:t>10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PageHeading"/>
      </w:pPr>
      <w:r>
        <w:br w:type="page"/>
      </w:r>
      <w:bookmarkStart w:id="0" w:name="_Toc256000003"/>
      <w:r>
        <w:t>PROJEKT REZOLUCJI PARLAMENTU EUROPEJSKIEGO</w:t>
      </w:r>
      <w:bookmarkEnd w:id="0"/>
    </w:p>
    <w:p>
      <w:pPr>
        <w:pStyle w:val="NormalBold"/>
      </w:pPr>
      <w:r>
        <w:t>w sprawie przedsiębiorczości kobiet na obszarach wiejskich i wyspiarskich oraz w regionach najbardziej oddalonych</w:t>
      </w:r>
    </w:p>
    <w:p>
      <w:pPr>
        <w:pStyle w:val="NormalBold"/>
      </w:pPr>
      <w:r>
        <w:t>(2024/2124(INI))</w:t>
      </w:r>
    </w:p>
    <w:p>
      <w:pPr>
        <w:pStyle w:val="EPComma"/>
      </w:pPr>
      <w:r>
        <w:rPr>
          <w:rStyle w:val="Italic"/>
        </w:rPr>
        <w:t>Parlament Europejski</w:t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uwzględniając dyrektywę 2006/54/WE </w:t>
      </w:r>
      <w:r>
        <w:t>Parlamentu Europejskiego</w:t>
      </w:r>
      <w:r>
        <w:t xml:space="preserve"> i Rady z 5 lipca 2006 r. w sprawie wprowadzenia w życie zasady równości szans oraz równego traktowania kobiet i mężczyzn w dziedzinie zatrudnienia i pracy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uwzględniając dyrektywę </w:t>
      </w:r>
      <w:r>
        <w:t>Parlamentu Europejskiego</w:t>
      </w:r>
      <w:r>
        <w:t xml:space="preserve"> i Rady (UE) 2023/970 z dnia 10 maja 2023 r. w sprawie wzmocnienia stosowania zasady równości wynagrodzeń dla kobiet i mężczyzn za taką samą pracę lub pracę o takiej samej wartości za pośrednictwem mechanizmów przejrzystości wynagrodzeń oraz mechanizmów egzekwowania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dyrektywę Parlamentu Europejskiego i Rady (UE) 2019/1158 z 20 czerwca 2019 r. w sprawie równowagi między życiem zawodowym a prywatnym rodziców i opiekunów oraz uchylającą dyrektywę Rady 2010/18/UE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europejską strategię na rzecz równouprawnienia płci na lata 2020–2025,</w:t>
      </w:r>
    </w:p>
    <w:p>
      <w:pPr>
        <w:pStyle w:val="NormalHanging12a"/>
      </w:pPr>
      <w:r>
        <w:t>–</w:t>
      </w:r>
      <w:r>
        <w:tab/>
      </w:r>
      <w:r>
        <w:t xml:space="preserve">uwzględniając strategię </w:t>
      </w:r>
      <w:r>
        <w:t>Europejskiego Funduszu Inwestycyjnego</w:t>
      </w:r>
      <w:r>
        <w:t xml:space="preserve"> i Grupy </w:t>
      </w:r>
      <w:r>
        <w:t>Europejskiego Banku Inwestycyjnego</w:t>
      </w:r>
      <w:r>
        <w:t xml:space="preserve"> w sprawie równości płci</w:t>
      </w:r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uwzględniając rozporządzenie </w:t>
      </w:r>
      <w:r>
        <w:t>Parlamentu Europejskiego</w:t>
      </w:r>
      <w:r>
        <w:t xml:space="preserve"> i Rady (UE) 2021/1060 z dnia 24 czerwca 2021 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>
        <w:rPr>
          <w:rStyle w:val="FootnoteReference"/>
        </w:rPr>
        <w:footnoteReference w:id="6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program „Women Leadership Programme” Europejskiego Instytutu Innowacji i Technologii oraz Europejskiej Rady ds. Innowacji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plan dotyczący równowagi płci europejskiej przestrzeni badawczej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swoją rezolucję z 3 maja 2022 r. w sprawie osiągnięcia przez kobiety niezależności ekonomicznej dzięki przedsiębiorczości i samozatrudnieniu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art. 55 Regulaminu,</w:t>
      </w:r>
    </w:p>
    <w:p>
      <w:pPr>
        <w:pStyle w:val="NormalHanging12a"/>
      </w:pPr>
      <w:r>
        <w:t>–</w:t>
      </w:r>
      <w:r>
        <w:tab/>
      </w:r>
      <w:r>
        <w:t>uwzględniając opinię przedstawioną przez Komisję Rolnictwa i Rozwoju Wsi,</w:t>
      </w:r>
    </w:p>
    <w:p>
      <w:pPr>
        <w:pStyle w:val="NormalHanging12a"/>
      </w:pPr>
      <w:r>
        <w:t>–</w:t>
      </w:r>
      <w:r>
        <w:tab/>
      </w:r>
      <w:r>
        <w:t>uwzględniając sprawozdanie Komisji Praw Kobiet i Równouprawnienia (A10-0000/2025),</w:t>
      </w:r>
    </w:p>
    <w:p>
      <w:pPr>
        <w:pStyle w:val="NormalHanging12a"/>
      </w:pPr>
      <w:r>
        <w:t>A.</w:t>
      </w:r>
      <w:r>
        <w:tab/>
      </w:r>
      <w:r>
        <w:t>mając na uwadze, że kobiety odgrywają kluczową rolę w gospodarkach wiejskich, ale nadal napotykają bariery prawne, finansowe, kulturowe i infrastrukturalne, które utrudniają im przedsiębiorczość i niezależność ekonomiczną; mając na uwadze, że obszary wiejskie stanowią nierozłączny element europejskiego stylu życia, ponieważ odzwierciedlają równowagę między tradycją a postępem;</w:t>
      </w:r>
    </w:p>
    <w:p>
      <w:pPr>
        <w:pStyle w:val="NormalHanging12a"/>
      </w:pPr>
      <w:r>
        <w:t>B.</w:t>
      </w:r>
      <w:r>
        <w:tab/>
      </w:r>
      <w:r>
        <w:t>mając na uwadze, że ukierunkowane wsparcie praktyczne, np. mikrokredyty, mentoring i uproszczone procedury, może umocnić przedsiębiorców, który dopiero rozpoczynają działalność;</w:t>
      </w:r>
    </w:p>
    <w:p>
      <w:pPr>
        <w:pStyle w:val="NormalHanging12a"/>
      </w:pPr>
      <w:r>
        <w:t>C.</w:t>
      </w:r>
      <w:r>
        <w:tab/>
      </w:r>
      <w:r>
        <w:t>mając na uwadze, że kobiety w regionach najbardziej oddalonych i oddalonych borykają się z coraz większymi wyzwaniami i barierami wynikającymi z izolacji, starzenia się społeczeństwa i ograniczonych usług;</w:t>
      </w:r>
    </w:p>
    <w:p>
      <w:pPr>
        <w:pStyle w:val="NormalHanging12a"/>
      </w:pPr>
      <w:r>
        <w:t>D.</w:t>
      </w:r>
      <w:r>
        <w:tab/>
      </w:r>
      <w:r>
        <w:t>mając na uwadze, że pogodzenie przedsiębiorczości z życiem rodzinnym jest nadal trudne, zwłaszcza na obszarach wiejskich, gdzie usługi publiczne są ograniczone;</w:t>
      </w:r>
    </w:p>
    <w:p>
      <w:pPr>
        <w:pStyle w:val="NormalHanging12a"/>
      </w:pPr>
      <w:r>
        <w:t>E.</w:t>
      </w:r>
      <w:r>
        <w:tab/>
      </w:r>
      <w:r>
        <w:t>mając na uwadze, że przemoc ze względu na płeć, stygmatyzacja i brak wsparcia osłabiają udział kobiet w życiu społecznym i gospodarczym na obszarach wiejskich ze względu na brak sieci wsparcia i wyraźniejszy tradycyjny podział ról związanych z płcią;</w:t>
      </w:r>
    </w:p>
    <w:p>
      <w:pPr>
        <w:pStyle w:val="NormalHanging12a"/>
      </w:pPr>
      <w:r>
        <w:t>F.</w:t>
      </w:r>
      <w:r>
        <w:tab/>
      </w:r>
      <w:r>
        <w:t>mając na uwadze, że włączenie cyfrowe ma zasadnicze znaczenie dla dostępu kobiet do szkoleń, rynków oraz możliwości pracy zdalnej i innowacji; mając na uwadze, że edukacja dziewcząt w zakresie nauk przyrodniczych, technologii, inżynierii i matematyki (STEM) może pomóc w zniwelowaniu różnic w traktowaniu kobiet i mężczyzn;</w:t>
      </w:r>
    </w:p>
    <w:p>
      <w:pPr>
        <w:pStyle w:val="NormalHanging12a"/>
      </w:pPr>
      <w:r>
        <w:t>G.</w:t>
      </w:r>
      <w:r>
        <w:tab/>
      </w:r>
      <w:r>
        <w:t>mając na uwadze, że wsparcie dla kobiet w rolnictwie, tradycyjnych rzemiosłach i sektorach kreatywnych zwiększa lokalną odporność gospodarczą, ochronę kultury i wymianę pokoleń;</w:t>
      </w:r>
    </w:p>
    <w:p>
      <w:pPr>
        <w:pStyle w:val="NormalHanging12a"/>
      </w:pPr>
      <w:r>
        <w:t>H.</w:t>
      </w:r>
      <w:r>
        <w:tab/>
      </w:r>
      <w:r>
        <w:t>mając na uwadze, że dane segregowane według kryterium płci mają zasadnicze znaczenie dla rozwoju takiej polityki przedsiębiorczości na obszarach wiejskich, która skutecznie zaspokaja szczególne potrzeby kobiet;</w:t>
      </w:r>
    </w:p>
    <w:p>
      <w:pPr>
        <w:pStyle w:val="Normal12a24b"/>
      </w:pPr>
      <w:r>
        <w:rPr>
          <w:rStyle w:val="BoldItalic"/>
        </w:rPr>
        <w:t>Uwzględnianie konkurencyjności w głównym nurcie polityki</w:t>
      </w:r>
    </w:p>
    <w:p>
      <w:pPr>
        <w:pStyle w:val="NormalHanging12a"/>
      </w:pPr>
      <w:r>
        <w:t>1.</w:t>
      </w:r>
      <w:r>
        <w:tab/>
      </w:r>
      <w:r>
        <w:t>podkreśla, że przedsiębiorczynie są główną siłą napędową innowacji, spójności i konkurencyjności na obszarach wiejskich; apeluje o lepszy dostęp do finansowania innowacji, dostosowanych do potrzeb programów wsparcia dla małych i średnich przedsiębiorstw oraz możliwości w ramach gospodarki ekologicznej i cyfrowej, tak aby umożliwić przedsiębiorczyniom pełny udział w rynkach wschodzących;</w:t>
      </w:r>
    </w:p>
    <w:p>
      <w:pPr>
        <w:pStyle w:val="NormalHanging12a"/>
      </w:pPr>
      <w:r>
        <w:t>2.</w:t>
      </w:r>
      <w:r>
        <w:tab/>
      </w:r>
      <w:r>
        <w:t>wzywa do rozwoju zorganizowanych sieci mentorskich i platform wzajemnego uczenia się, zwłaszcza w takich dziedzinach jak cyfryzacja, finanse i administracja;</w:t>
      </w:r>
    </w:p>
    <w:p>
      <w:pPr>
        <w:pStyle w:val="NormalHanging12a"/>
      </w:pPr>
      <w:r>
        <w:t>3.</w:t>
      </w:r>
      <w:r>
        <w:tab/>
      </w:r>
      <w:r>
        <w:t>wzywa państwa członkowskie do upowszechniania przykładów sukcesów kobiet prowadzących działalność na obszarach wiejskich za pomocą kampanii uświadamiających, tak aby zwiększyć widoczność, zaufanie i zaangażowanie społeczności;</w:t>
      </w:r>
    </w:p>
    <w:p>
      <w:pPr>
        <w:pStyle w:val="NormalHanging12a"/>
      </w:pPr>
      <w:r>
        <w:t>4.</w:t>
      </w:r>
      <w:r>
        <w:tab/>
      </w:r>
      <w:r>
        <w:t>wzywa Komisję i Europejski Instytut ds. Równości Kobiet i Mężczyzn, aby we współpracy z partnerami społecznymi przeanalizowały największe przeszkody w zatrudnianiu i przedsiębiorczości kobiet, w tym w regionach najbardziej oddalonych i oddalonych;</w:t>
      </w:r>
    </w:p>
    <w:p>
      <w:pPr>
        <w:pStyle w:val="NormalHanging12a"/>
      </w:pPr>
      <w:r>
        <w:t>5.</w:t>
      </w:r>
      <w:r>
        <w:tab/>
      </w:r>
      <w:r>
        <w:t>popiera strategię Komisji na rzecz unii oszczędności i inwestycji oraz tworzenia i rozszerzania instrumentów finansowych sprzyjających włączeniu społecznemu, w tym oznakowanego unijnego rachunku oszczędności inwestycyjnych, w celu zwiększenia i ułatwienia unijnym przedsiębiorstwom dostępu do finansowania;</w:t>
      </w:r>
    </w:p>
    <w:p>
      <w:pPr>
        <w:pStyle w:val="NormalHanging12a"/>
      </w:pPr>
      <w:r>
        <w:t>6.</w:t>
      </w:r>
      <w:r>
        <w:tab/>
      </w:r>
      <w:r>
        <w:t>apeluje o ukierunkowane inwestycje w infrastrukturę cyfrową, rozwój umiejętności i ramy polityki cyfrowej sprzyjające włączeniu społecznemu, aby zagwarantować, że kobiety na obszarach wiejskich nie będą pomijane w procesie transformacji cyfrowej;</w:t>
      </w:r>
    </w:p>
    <w:p>
      <w:pPr>
        <w:pStyle w:val="NormalHanging12a"/>
      </w:pPr>
      <w:r>
        <w:t>7.</w:t>
      </w:r>
      <w:r>
        <w:tab/>
      </w:r>
      <w:r>
        <w:t>apeluje o ukierunkowane środki mające na celu poprawę dostępu kobiet do gruntów, finansowania, edukacji i szkoleń, zwłaszcza dla rolniczek i właścicielek przedsiębiorstw na początku kariery;</w:t>
      </w:r>
    </w:p>
    <w:p>
      <w:pPr>
        <w:pStyle w:val="NormalHanging12a"/>
      </w:pPr>
      <w:r>
        <w:t>8.</w:t>
      </w:r>
      <w:r>
        <w:tab/>
      </w:r>
      <w:r>
        <w:t>wzywa Komisję do przeznaczenia wystarczających środków finansowych z odpowiednich programów na wsparcie przedsiębiorstw prowadzonych przez kobiety na obszarach wiejskich i oddalonych, zwłaszcza w sektorach innowacyjnych i w sektorze turystyki;</w:t>
      </w:r>
    </w:p>
    <w:p>
      <w:pPr>
        <w:pStyle w:val="Normal12a24b"/>
      </w:pPr>
      <w:r>
        <w:rPr>
          <w:rStyle w:val="BoldItalic"/>
        </w:rPr>
        <w:t>Uwzględnianie gotowości w głównym nurcie polityki</w:t>
      </w:r>
    </w:p>
    <w:p>
      <w:pPr>
        <w:pStyle w:val="NormalHanging12a"/>
      </w:pPr>
      <w:r>
        <w:t>9.</w:t>
      </w:r>
      <w:r>
        <w:tab/>
      </w:r>
      <w:r>
        <w:t>wzywa państwa członkowskie do dopilnowania, aby edukacja obejmowała umiejętności cyfrowe i przedmioty STEM tak, aby obalić szkodliwe stereotypy dotyczące płci i wspierać kompleksowe nauczanie o zgodzie i prawach;</w:t>
      </w:r>
    </w:p>
    <w:p>
      <w:pPr>
        <w:pStyle w:val="NormalHanging12a"/>
      </w:pPr>
      <w:r>
        <w:t>10.</w:t>
      </w:r>
      <w:r>
        <w:tab/>
      </w:r>
      <w:r>
        <w:t>wzywa państwa członkowskie do zapewnienia szkoleń uwzględniających aspekt płci, usług ratunkowych i infrastruktury w celu złagodzenia wpływu kryzysów na społeczności wiejskie;</w:t>
      </w:r>
    </w:p>
    <w:p>
      <w:pPr>
        <w:pStyle w:val="Normal12a24b"/>
      </w:pPr>
      <w:r>
        <w:rPr>
          <w:rStyle w:val="BoldItalic"/>
        </w:rPr>
        <w:t xml:space="preserve">Tradycyjna kultura i rzemiosło </w:t>
      </w:r>
    </w:p>
    <w:p>
      <w:pPr>
        <w:pStyle w:val="NormalHanging12a"/>
      </w:pPr>
      <w:r>
        <w:t>11.</w:t>
      </w:r>
      <w:r>
        <w:tab/>
      </w:r>
      <w:r>
        <w:t>pochwala społeczności, które pielęgnują tradycje lokalnego rolnictwa kierowanego przez kobiety oraz tradycyjne rzemiosło, na przykład w kołach gospodyń wiejskich, oraz zajmują się zabytkami i muzeami, ponieważ wszystkie te działania wspierają turystykę i są powodem do dumy społeczności lokalnej;</w:t>
      </w:r>
    </w:p>
    <w:p>
      <w:pPr>
        <w:pStyle w:val="NormalHanging12a"/>
      </w:pPr>
      <w:r>
        <w:t>12.</w:t>
      </w:r>
      <w:r>
        <w:tab/>
      </w:r>
      <w:r>
        <w:t>podkreśla społeczno-gospodarczy potencjał tradycyjnych rzemiosła i lokalnych gospodarek o obiegu zamkniętym, zwłaszcza w przypadku starszych kobiet; wzywa Komisję i państwa członkowskie do wspierania międzypokoleniowej przedsiębiorczości i łańcuchów wartości opartych na rzemiosłach poprzez szkolenia, finansowanie i działania na rzecz ich widoczności;</w:t>
      </w:r>
    </w:p>
    <w:p>
      <w:pPr>
        <w:pStyle w:val="NormalHanging12a"/>
      </w:pPr>
      <w:r>
        <w:t>13.</w:t>
      </w:r>
      <w:r>
        <w:tab/>
      </w:r>
      <w:r>
        <w:t>zachęca do promowania uczenia się przez całe życie, uznawania wcześniejszego uczenia się i włączenia cyfrowego starszych kobiet na obszarach wiejskich;</w:t>
      </w:r>
    </w:p>
    <w:p>
      <w:pPr>
        <w:pStyle w:val="NormalHanging12a"/>
      </w:pPr>
      <w:r>
        <w:t>14.</w:t>
      </w:r>
      <w:r>
        <w:tab/>
      </w:r>
      <w:r>
        <w:t>wzywa do większego wsparcia na rzecz utrzymania wielowiekowych tradycji rzemieślniczych, takich jak tkactwo, hafciarstwo i garncarstwo, których przetrwanie zapewniały od lat liczne koła gospodyń wiejskich;</w:t>
      </w:r>
    </w:p>
    <w:p>
      <w:pPr>
        <w:pStyle w:val="Normal12a24b"/>
      </w:pPr>
      <w:r>
        <w:rPr>
          <w:rStyle w:val="BoldItalic"/>
        </w:rPr>
        <w:t>Rolnictwo</w:t>
      </w:r>
    </w:p>
    <w:p>
      <w:pPr>
        <w:pStyle w:val="NormalHanging12a"/>
      </w:pPr>
      <w:r>
        <w:t>15.</w:t>
      </w:r>
      <w:r>
        <w:tab/>
      </w:r>
      <w:r>
        <w:t>podkreśla potrzebę promowania widoczności, uznania i docenienia wkładu kobiet w rolnictwo, w tym w gospodarstwach rodzinnych; wzywa do zapewnienia równego pod względem płci dostępu do gruntów, funduszy wspólnej polityki rolnej (WPR), usług doradczych, wsparcia innowacji i praw spadkowych;</w:t>
      </w:r>
    </w:p>
    <w:p>
      <w:pPr>
        <w:pStyle w:val="NormalHanging12a"/>
      </w:pPr>
      <w:r>
        <w:t>16.</w:t>
      </w:r>
      <w:r>
        <w:tab/>
      </w:r>
      <w:r>
        <w:t>zachęca państwa członkowskie do gromadzenia danych segregowanych według kryterium płci na temat własności gruntów, przywództwa w rolnictwie i nieformalnego wkładu kobiet;</w:t>
      </w:r>
    </w:p>
    <w:p>
      <w:pPr>
        <w:pStyle w:val="NormalHanging12a"/>
      </w:pPr>
      <w:r>
        <w:t>17.</w:t>
      </w:r>
      <w:r>
        <w:tab/>
      </w:r>
      <w:r>
        <w:t>apeluje o środki wspierające młode rolniczki, ponieważ wymiana pokoleń ma kluczowe znaczenie dla utrzymania działalności rolniczej, która zapewnia zarówno bezpieczeństwo żywnościowe, jak i dynamiczne funkcjonowanie społeczności wiejskich;</w:t>
      </w:r>
    </w:p>
    <w:p>
      <w:pPr>
        <w:pStyle w:val="NormalHanging12a"/>
      </w:pPr>
      <w:r>
        <w:t>18.</w:t>
      </w:r>
      <w:r>
        <w:tab/>
      </w:r>
      <w:r>
        <w:t>apeluje o większą inkluzywność na obszarach wiejskich oraz o odporne i dobrze połączone obszary, tak aby zagwarantować ogółowi społeczeństwa bezpieczne produkty i usługi wysokiej jakości;</w:t>
      </w:r>
    </w:p>
    <w:p>
      <w:pPr>
        <w:pStyle w:val="Normal12a24b"/>
      </w:pPr>
      <w:r>
        <w:rPr>
          <w:rStyle w:val="Italic"/>
        </w:rPr>
        <w:t>Równy dostęp do infrastruktury i usług</w:t>
      </w:r>
    </w:p>
    <w:p>
      <w:pPr>
        <w:pStyle w:val="NormalHanging12a"/>
      </w:pPr>
      <w:r>
        <w:t>19.</w:t>
      </w:r>
      <w:r>
        <w:tab/>
      </w:r>
      <w:r>
        <w:t>podkreśla, że sprawiedliwy dostęp do infrastruktury, takiej jak szybki internet i niezawodny transport, ma zasadnicze znaczenie dla umożliwienia kobietom na obszarach wiejskich udziału w życiu gospodarczym, edukacyjnym i obywatelskim;</w:t>
      </w:r>
    </w:p>
    <w:p>
      <w:pPr>
        <w:pStyle w:val="NormalHanging12a"/>
      </w:pPr>
      <w:r>
        <w:t>20.</w:t>
      </w:r>
      <w:r>
        <w:tab/>
      </w:r>
      <w:r>
        <w:t>zachęca do inwestowania w przedsiębiorstwa społeczne, spółdzielnie i modele biznesowe związane z opieką, które wzmacniają pozycję kobiet na obszarach wiejskich, a jednocześnie zaspokajają lokalne potrzeby, takie jak opieka nad dziećmi, opieka nad osobami starszymi i dobrostan społeczności;</w:t>
      </w:r>
    </w:p>
    <w:p>
      <w:pPr>
        <w:pStyle w:val="NormalHanging12a"/>
      </w:pPr>
      <w:r>
        <w:t>21.</w:t>
      </w:r>
      <w:r>
        <w:tab/>
      </w:r>
      <w:r>
        <w:t>podkreśla, że ograniczony dostęp do opieki zdrowotnej – w tym opieki nad matkami i usług zdrowia psychicznego – w nieproporcjonalny sposób wpływa na kobiety w regionach wiejskich, wyspiarskich i najbardziej oddalonych; wzywa państwa członkowskie do zapewnienia dostępności, przystępności cenowej i ciągłości podstawowych usług zdrowotnych za pośrednictwem mobilnych klinik i telemedycyny;</w:t>
      </w:r>
    </w:p>
    <w:p>
      <w:pPr>
        <w:pStyle w:val="Normal12a24b"/>
      </w:pPr>
      <w:r>
        <w:rPr>
          <w:rStyle w:val="BoldItalic"/>
        </w:rPr>
        <w:t>Przemoc</w:t>
      </w:r>
    </w:p>
    <w:p>
      <w:pPr>
        <w:pStyle w:val="NormalHanging12a"/>
      </w:pPr>
      <w:r>
        <w:t>22.</w:t>
      </w:r>
      <w:r>
        <w:tab/>
      </w:r>
      <w:r>
        <w:t>przyznaje, że przemoc ze względu na płeć – w tym przemoc domowa, ekonomiczna, seksualna i psychologiczna – stanowi poważną przeszkodę dla autonomii kobiet i ich udziału w życiu gospodarczym w regionach wiejskich i wyspiarskich;</w:t>
      </w:r>
    </w:p>
    <w:p>
      <w:pPr>
        <w:pStyle w:val="NormalHanging12a"/>
      </w:pPr>
      <w:r>
        <w:t>23.</w:t>
      </w:r>
      <w:r>
        <w:tab/>
      </w:r>
      <w:r>
        <w:t>wzywa Komisję i państwa członkowskie do zapewnienia odpowiedniego wsparcia przedsiębiorczości kobiet w regionach wiejskich, wyspiarskich i najbardziej oddalonych w wieloletnich ramach finansowych na okres po 2027 r., w tym finansowania za pośrednictwem odpowiednich programów, takich jak WPR, „Horyzont Europa” i „Cyfrowa Europa”; podkreśla znaczenie ułatwienia dostępu do finansowania UE przedsiębiorstwom wiejskim, spółdzielniom i projektom społeczności lokalnych kierowanym przez kobiety;</w:t>
      </w:r>
    </w:p>
    <w:p>
      <w:pPr>
        <w:pStyle w:val="NormalHanging12a"/>
      </w:pPr>
      <w:r>
        <w:t>24.</w:t>
      </w:r>
      <w:r>
        <w:tab/>
      </w:r>
      <w:r>
        <w:t>ponownie podkreśla potrzebę opracowania kompleksowej strategii UE na rzecz przedsiębiorczości kobiet w regionach wiejskich, wyspiarskich i najbardziej oddalonych; wzywa także do wyraźnego przeznaczenia na tę strategię specjalnych środków finansowych i mechanizmów finansowania;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25.</w:t>
      </w:r>
      <w:r>
        <w:tab/>
      </w:r>
      <w:r>
        <w:t>zobowiązuje swoją przewodniczącą do przekazania niniejszej rezolucji Radzie i Komisji.</w:t>
      </w:r>
    </w:p>
    <w:p>
      <w:pPr>
        <w:pStyle w:val="NormalHanging12a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</w:p>
    <w:p>
      <w:pPr>
        <w:pStyle w:val="PageHeading"/>
      </w:pPr>
      <w:bookmarkStart w:id="1" w:name="_Toc256000004"/>
      <w:r>
        <w:t>UZASADNIENIE</w:t>
      </w:r>
      <w:bookmarkEnd w:id="1"/>
    </w:p>
    <w:p>
      <w:pPr>
        <w:pStyle w:val="Normal12a"/>
      </w:pPr>
      <w:r>
        <w:t>Kobiety w regionach wiejskich, wyspiarskich i najbardziej oddalonych odgrywają zasadniczą rolę sprzyjającą dobrostanowi społeczności, odporności gospodarczej i spójności społecznej. W całej UE, w tym w Polsce, nadal jednak napotykają bariery społeczne, finansowe lub prawne, które ograniczają ich pełny udział w życiu gospodarczym. Sprawozdanie to ma na celu wyjaśnienie tych wyzwań, a także przedstawienie praktycznych i ukierunkowanych zaleceń, które zwiększą przedsiębiorczość kobiet oraz włączenie społeczne i długoterminową niezależność ekonomiczną kobiet na obszarach wiejskich.</w:t>
      </w:r>
    </w:p>
    <w:p>
      <w:pPr>
        <w:pStyle w:val="Normal12a"/>
      </w:pPr>
      <w:r>
        <w:t>W wielu państwach członkowskich kobiety na obszarach wiejskich znacznie bardziej odczuwają skutki braku dostępu do finansowania, przystępnej cenowo opieki nad dziećmi, odpowiednich połączeń środkami transportu oraz niedostępności infrastruktury cyfrowej i systemów wsparcia, które uwzględniałyby aspekt płci. Mimo że zróżnicowanie wynagrodzenia ze względu na płeć i tradycyjne obciążenia opiekuńcze utrzymują się również w środowisku miejskim, na obszarach wiejskich widać je często znacznie wyraźniej. Na przykład w Polsce kobiety w gminach peryferyjnych i gminach o niskiej gęstości zaludnienia często łączą nieodpłatną pracę opiekuńczą z nieformalną pracą lub rolnictwem rodzinnym, lecz nie jest to oficjalnie uznawane i nie są one objęte ochroną socjalną. Niemniej jednak inicjatywy oddolne, takie jak lokalne stowarzyszenia rodzinne lub spółdzielnie wiejskie, są dowodem na to, że przy odpowiednim wsparciu instytucjonalnym kobiety mogą z powodzeniem kierować gospodarką lokalną, chronić dziedzictwo kulturowe i budować sprzyjające włączeniu społecznemu ekosystemy innowacji.</w:t>
      </w:r>
    </w:p>
    <w:p>
      <w:pPr>
        <w:pStyle w:val="Normal12a"/>
      </w:pPr>
      <w:r>
        <w:t>W sprawozdaniu tym podkreślono potrzebę przejścia od punktowych interwencji do bardziej kompleksowego podejścia uwzględniającego aspekt płci. Zachęca ono do uwzględniania równouprawnienia płci w polityce rozwoju obszarów wiejskich, polityce spójności, polityce cyfrowej i polityce rolnej. W dokumencie tym podkreślono również znaczenie gromadzenia danych segregowanych według kryterium płci, zwiększania świadomości na temat wkładu kobiet w lokalne gospodarki oraz wspierania ich udziału w STEM i transformacji cyfrowej. Środki te odgrywają bardzo ważną rolę w zagwarantowaniu, aby kobiety nie pozostały w tyle w procesie transformacji obszarów wiejskich.</w:t>
      </w:r>
    </w:p>
    <w:p>
      <w:pPr>
        <w:pStyle w:val="Normal12a"/>
      </w:pPr>
      <w:r>
        <w:t>Szczególną uwagę zwraca się na dostępność środków finansowych. Przedsiębiorczynie na obszarach wiejskich, zwłaszcza kobiety, które dopiero rozpoczynają działalność lub pracują w sektorze opieki, turystyki lub tradycyjnego rzemiosła, nadal w znacznie większym stopniu niż mężczyźni borykają się z trudnościami w dostępie do kredytów i wsparcia biznesowego. W tym kontekście w sprawozdaniu z zadowoleniem przyjęto inicjatywę utworzenia unijnego inwestycyjnego rachunku oszczędnościowego(ISA) i wezwano do opracowania specjalnej wersji dostosowanej do potrzeb kobiet na obszarach wiejskich. Ponadto wezwano w nim Komisję i państwa członkowskie do zapewnienia, aby WRF na okres po 2027 r. obejmowały finansowanie przedsiębiorczości kobiet w ramach WPR, programu „Horyzont Europa” i programu „Cyfrowa Europa”.</w:t>
      </w:r>
    </w:p>
    <w:p>
      <w:pPr>
        <w:pStyle w:val="Normal12a"/>
      </w:pPr>
      <w:r>
        <w:t xml:space="preserve">W sprawozdaniu omówiono również charakter pracy na obszarach wiejskich w rolnictwie w kontekście równouprawnienia płci. Pomimo zasadniczej roli, jaką kobiety odgrywają w produkcji rolnej i zarządzaniu gospodarstwami rolnymi, są one często niewidoczne w oficjalnych statystykach i kształtowaniu polityki. Wyzwaniem pozostaje dostęp do gruntów, sprawiedliwe wynagrodzenie, prawa spadkowe i dostęp do funduszy WPR. Jak wynika z badań przedstawionych </w:t>
      </w:r>
      <w:r>
        <w:t>komisji FEMM</w:t>
      </w:r>
      <w:r>
        <w:t>, w wielu państwach członkowskich, w tym w Polsce, nadal dominują takie wzorce jak dziedziczenie w linii męskiej i zaniżanie wartości wkładu kobiet.</w:t>
      </w:r>
    </w:p>
    <w:p>
      <w:pPr>
        <w:pStyle w:val="Normal12a"/>
      </w:pPr>
      <w:r>
        <w:t>Oprócz kwestii ekonomicznych w sprawozdaniu przedstawiono związek między dostępem do usług, przemocą i wykluczeniem. Przemoc ze względu na płeć jest powszechnym zjawiskiem, które na obszarach wiejskich często pozostaje niezgłaszane z obawy przed stygmatyzacją oraz ze względu na brak usług i silne tradycyjne role związane z płcią. W sprawozdaniu podkreślono pilną potrzebę dostępnych, poufnych i dobrze finansowanych systemów wsparcia, a także lokalnych środków uświadamiających i zapobiegawczych.</w:t>
      </w:r>
    </w:p>
    <w:p>
      <w:pPr>
        <w:pStyle w:val="Normal12a"/>
      </w:pPr>
      <w:r>
        <w:t>Co ważne, niniejsza inicjatywa nie tylko stanowi odpowiedź na istniejące nierówności; zakreśla również pewną wizję. Jest to wizja rozwoju obszarów wiejskich, który sprzyja włączeniu społecznemu i nie pomija kobiet, lecz od początku uwzględnia ich zasadniczą rolę. Perspektywa rozwoju, w której tradycyjne rzemiosło, rolnictwo, gospodarki o obiegu zamkniętym i innowacje cyfrowe nie wykluczają się wzajemnie, lecz są ze sobą powiązane. Wizja, w której praca kobiet jest widoczna, doceniana i wspierana.</w:t>
      </w:r>
    </w:p>
    <w:p>
      <w:pPr>
        <w:pStyle w:val="Normal12a"/>
      </w:pPr>
      <w:r>
        <w:t>Sprawozdanie opiera się na obowiązujących przepisach i strategiach UE, w tym na dyrektywie w sprawie przejrzystości wynagrodzeń, dyrektywie w sprawie równowagi między życiem zawodowym a prywatnym, czy też na strategii na rzecz równouprawnienia płci na lata 2020–2025. Jest ono zgodne z celami rozporządzenia w sprawie wspólnych przepisów oraz z zasadami uwzględniania aspektu płci i spójności terytorialnej.</w:t>
      </w:r>
    </w:p>
    <w:p>
      <w:pPr>
        <w:pStyle w:val="Normal12a"/>
      </w:pPr>
      <w:r>
        <w:t xml:space="preserve">Przy sporządzaniu sprawozdania uwzględniono wkład ekspertów akademickich, społeczeństwa obywatelskiego oraz posłów i posłanek do </w:t>
      </w:r>
      <w:r>
        <w:t>Parlamentu Europejskiego</w:t>
      </w:r>
      <w:r>
        <w:t>. Sprawozdawczyni pragnie podziękować wszystkim osobom, które podzieliły się doświadczeniami, analizami i praktycznymi przykładami. Ich wkład pomógł zakreślić strategię polityczną, która jest jednocześnie ambitna i mocno zakorzeniona w rzeczywistości.</w:t>
      </w:r>
    </w:p>
    <w:p>
      <w:pPr>
        <w:pStyle w:val="Normal12a"/>
      </w:pPr>
      <w:r>
        <w:t>Przedsiębiorczość kobiet na obszarach wiejskich nie jest sprawą niszową. Jest to kwestia sprawiedliwości, spójności i zrównoważonego rozwoju. Musimy podjąć działanie już dziś.</w:t>
      </w:r>
    </w:p>
    <w:p>
      <w:pPr>
        <w:pStyle w:val="Normal12a"/>
        <w:sectPr>
          <w:footnotePr>
            <w:numRestart w:val="eachSect"/>
          </w:footnotePr>
          <w:type w:val="nextPage"/>
          <w:pgSz w:w="11906" w:h="16838"/>
          <w:pgMar w:top="1134" w:right="1417" w:bottom="1417" w:left="1417" w:header="1134" w:footer="567" w:gutter="0"/>
          <w:cols w:num="1" w:space="708"/>
          <w:titlePg w:val="0"/>
          <w:docGrid w:linePitch="360"/>
        </w:sectPr>
      </w:pPr>
    </w:p>
    <w:p>
      <w:pPr>
        <w:pStyle w:val="PageHeading"/>
      </w:pPr>
      <w:bookmarkStart w:id="2" w:name="_Toc256000005"/>
      <w:r>
        <w:t>ZAŁĄCZNIK: WYKAZ PODMIOTÓW, OD KTÓRYCH SPRAWOZDAWCA OTRZYMAŁ INFORMACJE</w:t>
      </w:r>
      <w:bookmarkEnd w:id="2"/>
    </w:p>
    <w:p>
      <w:pPr>
        <w:pStyle w:val="Normal12a"/>
      </w:pPr>
      <w:r>
        <w:rPr>
          <w:rStyle w:val="HideTWBExt"/>
        </w:rPr>
        <w:t>&lt;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  <w:r>
        <w:rPr>
          <w:rStyle w:val="HideTWBExt"/>
        </w:rPr>
        <w:t>&lt;/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</w:p>
    <w:p>
      <w:pPr>
        <w:pStyle w:val="Normal12a"/>
      </w:pPr>
      <w:r>
        <w:t>Zgodnie z art. 8 załącznika I do Regulaminu sprawozdawczyni oświadcza, że ujęła w swoim sprawozdaniu informacje dotyczące kwestii związanych z tematem, które otrzymała podczas sporządzania projektu sprawozdania, od następujących przedstawicieli grup interesu objętych zakresem porozumienia międzyinstytucjonalnego w sprawie obowiązkowego rejestru służącego przejrzystości</w:t>
      </w:r>
      <w:r>
        <w:rPr>
          <w:rStyle w:val="FootnoteReference"/>
        </w:rPr>
        <w:footnoteReference w:id="10"/>
      </w:r>
      <w:r>
        <w:t xml:space="preserve"> lub od następujących przedstawicieli organów publicznych państw trzecich, w tym ich misji dyplomatycznych i ambasad:</w:t>
      </w:r>
    </w:p>
    <w:tbl>
      <w:tblPr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jc w:val="center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pPr>
              <w:pStyle w:val="NormalCenter"/>
            </w:pPr>
            <w:r>
              <w:rPr>
                <w:rStyle w:val="Bold"/>
              </w:rPr>
              <w:t>1. Przedstawiciele grup interesu objęci zakresem porozumienia międzyinstytucjonalnego w sprawie obowiązkowego rejestru służącego przejrzystości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South East Technological University-Ireland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Yolo - you only live once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Vereniging Universiteiten van Nederland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University of Galway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rPr>
                <w:rStyle w:val="Bold"/>
              </w:rPr>
              <w:t>2. Przedstawiciele organów publicznych państw trzecich, w tym ich misji dyplomatycznych i ambasad</w:t>
            </w:r>
          </w:p>
        </w:tc>
      </w:tr>
    </w:tbl>
    <w:p/>
    <w:p>
      <w:pPr>
        <w:pStyle w:val="Normal12a"/>
      </w:pPr>
      <w:r>
        <w:t>Powyższy wykaz został sporządzony na wyłączną odpowiedzialność sprawozdawczyni.</w:t>
      </w:r>
    </w:p>
    <w:p>
      <w:pPr>
        <w:pStyle w:val="Normal12a"/>
      </w:pPr>
      <w:r>
        <w:t>Gdy osoby fizyczne są wymienione w wykazie z imienia i nazwiska, zidentyfikowane poprzez swoją funkcję lub wymienione z imienia i nazwiska wraz z podaniem ich funkcji, sprawozdawczyni oświadcza, że przedstawiła tym osobom fizycznym Oświadczenie o ochronie prywatności w Parlamencie Europejskim nr 484 (</w:t>
      </w:r>
      <w:hyperlink r:id="rId9" w:history="1">
        <w:r>
          <w:rPr>
            <w:rStyle w:val="Hyperlink"/>
          </w:rPr>
          <w:t>https://www.europarl.europa.eu/data-protect/index.do</w:t>
        </w:r>
      </w:hyperlink>
      <w:r>
        <w:rPr>
          <w:rStyle w:val="DefaultParagraphFont"/>
          <w:b w:val="0"/>
          <w:i w:val="0"/>
          <w:u w:val="none"/>
        </w:rPr>
        <w:t>), w którym przedstawione są warunki mające zastosowanie do przetwarzania danych osobowych tych osób oraz prawa związane z takim przetwarzaniem.</w:t>
      </w:r>
    </w:p>
    <w:p>
      <w:pPr>
        <w:pStyle w:val="Normal12a"/>
      </w:pPr>
    </w:p>
    <w:sectPr>
      <w:footnotePr>
        <w:numRestart w:val="eachSect"/>
      </w:footnotePr>
      <w:type w:val="nextPage"/>
      <w:pgSz w:w="11906" w:h="16838"/>
      <w:pgMar w:top="1134" w:right="1417" w:bottom="1417" w:left="1417" w:header="1134" w:footer="567" w:gutter="0"/>
      <w:cols w:num="1"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775.387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PR\1323595PL.docx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PR\1323595PL.docx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775.387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PR\1323595PL.docx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775.387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Dz.U. L 204 z 26.7.2006, s. 23., ELI: http://data.europa.eu/eli/dir/2006/54/oj.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Dz.U. L 132 z 17.5.2023, s. 21, ELI: http://data.europa.eu/eli/dir/2023/970/oj.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Dz.U. L 188 z 12.7.2019, s. 79, ELI: http://data.europa.eu/eli/dir/2019/1158/oj.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https://www.eib.org/en/publications/online/all/eib-evaluation-gender-strategy.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Dz.U. L 231 z 30.6.2021, s. 159, ELI: http://data.europa.eu/eli/reg/2021/1060/oj.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https://www.eit.europa.eu/our-activities/opportunities/eic-women-leadership-programme.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https://rea.ec.europa.eu/publications/impact-gender-equality-plans-across-european-research-area-0_en.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Dz.U. C 465 z 6.12.2022, s. 54.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Porozumienie międzyinstytucjonalne z maja 2021 r. pomiędzy Parlamentem Europejskim, Radą Unii Europejskiej i Komisją Europejską w sprawie obowiązkowego rejestru służącego przejrzystości (Dz.U. L 207 z 11.6.2021, s. 1, ELI: http://data.europa.eu/eli/agree_interinstit/2021/611/oj).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customStyle="1" w:styleId="NormalTab">
    <w:name w:val="NormalTab"/>
    <w:basedOn w:val="Normal"/>
    <w:rsid w:val="00CC6F1E"/>
    <w:pPr>
      <w:tabs>
        <w:tab w:val="center" w:pos="284"/>
        <w:tab w:val="left" w:pos="425"/>
      </w:tabs>
    </w:pPr>
    <w:rPr>
      <w:snapToGrid/>
      <w:lang w:eastAsia="en-GB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www.europarl.europa.eu/data-protect/index.d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1323595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20250801-121110-001587-017823</vt:lpwstr>
  </property>
  <property fmtid="{D5CDD505-2E9C-101B-9397-08002B2CF9AE}" pid="7" name="FooterPath">
    <vt:lpwstr>PR\1323595PL.doc</vt:lpwstr>
  </property>
  <property fmtid="{D5CDD505-2E9C-101B-9397-08002B2CF9AE}" pid="8" name="PE Number">
    <vt:lpwstr>775.387</vt:lpwstr>
  </property>
  <property fmtid="{D5CDD505-2E9C-101B-9397-08002B2CF9AE}" pid="9" name="UID">
    <vt:lpwstr>eu.europa.europarl-DIN1-2025-0000149368_01.06-pl-01.00_text-xml</vt:lpwstr>
  </property>
</Properties>
</file>