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72" w:type="dxa"/>
        <w:tblCellMar>
          <w:left w:w="0" w:type="dxa"/>
          <w:right w:w="0" w:type="dxa"/>
        </w:tblCellMar>
        <w:tblLook w:val="01E0" w:firstRow="1" w:lastRow="1" w:firstColumn="1" w:lastColumn="1" w:noHBand="0" w:noVBand="0"/>
      </w:tblPr>
      <w:tblGrid>
        <w:gridCol w:w="6804"/>
        <w:gridCol w:w="2268"/>
      </w:tblGrid>
      <w:tr w:rsidR="004C7CA7" w:rsidRPr="00891E7E" w14:paraId="428A0C5A" w14:textId="77777777" w:rsidTr="00C85D0F">
        <w:trPr>
          <w:trHeight w:hRule="exact" w:val="1418"/>
        </w:trPr>
        <w:tc>
          <w:tcPr>
            <w:tcW w:w="6804" w:type="dxa"/>
            <w:shd w:val="clear" w:color="auto" w:fill="auto"/>
            <w:vAlign w:val="center"/>
          </w:tcPr>
          <w:p w14:paraId="13AE2A8C" w14:textId="77777777" w:rsidR="0069495A" w:rsidRPr="00891E7E" w:rsidRDefault="001758B4" w:rsidP="00C85D0F">
            <w:pPr>
              <w:pStyle w:val="EPName"/>
            </w:pPr>
            <w:r w:rsidRPr="00891E7E">
              <w:t>Ευρωπαϊκό Κοινοβούλιο</w:t>
            </w:r>
          </w:p>
          <w:p w14:paraId="1BA2F31C" w14:textId="77777777" w:rsidR="0069495A" w:rsidRPr="00891E7E" w:rsidRDefault="001758B4" w:rsidP="006067F0">
            <w:pPr>
              <w:pStyle w:val="EPTerm"/>
            </w:pPr>
            <w:r w:rsidRPr="00891E7E">
              <w:t>2024-2029</w:t>
            </w:r>
          </w:p>
        </w:tc>
        <w:tc>
          <w:tcPr>
            <w:tcW w:w="2268" w:type="dxa"/>
            <w:shd w:val="clear" w:color="auto" w:fill="auto"/>
          </w:tcPr>
          <w:p w14:paraId="55554021" w14:textId="77777777" w:rsidR="0069495A" w:rsidRPr="00891E7E" w:rsidRDefault="001758B4" w:rsidP="00C85D0F">
            <w:pPr>
              <w:pStyle w:val="EPLogo"/>
            </w:pPr>
            <w:r w:rsidRPr="00891E7E">
              <w:rPr>
                <w:noProof/>
              </w:rPr>
              <w:drawing>
                <wp:inline distT="0" distB="0" distL="0" distR="0" wp14:anchorId="6BB593BD" wp14:editId="2FF1B119">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4508B4C8" w14:textId="77777777" w:rsidR="00C7235E" w:rsidRPr="00891E7E" w:rsidRDefault="00C7235E" w:rsidP="00C7235E">
      <w:pPr>
        <w:pStyle w:val="LineTop"/>
      </w:pPr>
    </w:p>
    <w:p w14:paraId="7A0C3F8F" w14:textId="77777777" w:rsidR="00C7235E" w:rsidRPr="00891E7E" w:rsidRDefault="001758B4" w:rsidP="00C7235E">
      <w:pPr>
        <w:pStyle w:val="EPBody"/>
      </w:pPr>
      <w:r w:rsidRPr="00891E7E">
        <w:rPr>
          <w:rStyle w:val="HideTWBExt"/>
        </w:rPr>
        <w:t>&lt;</w:t>
      </w:r>
      <w:r w:rsidRPr="00891E7E">
        <w:rPr>
          <w:rStyle w:val="HideTWBExt"/>
          <w:i w:val="0"/>
        </w:rPr>
        <w:t>Commission</w:t>
      </w:r>
      <w:r w:rsidRPr="00891E7E">
        <w:rPr>
          <w:rStyle w:val="HideTWBExt"/>
        </w:rPr>
        <w:t>&gt;</w:t>
      </w:r>
      <w:r w:rsidRPr="00891E7E">
        <w:rPr>
          <w:rStyle w:val="HideTWBInt"/>
          <w:color w:val="auto"/>
        </w:rPr>
        <w:t>{FEMM}</w:t>
      </w:r>
      <w:r w:rsidRPr="00891E7E">
        <w:t>Επιτροπή Δικαιωμάτων των Γυναικών και Ισότητας των Φύλων</w:t>
      </w:r>
      <w:r w:rsidRPr="00891E7E">
        <w:rPr>
          <w:rStyle w:val="HideTWBExt"/>
        </w:rPr>
        <w:t>&lt;/</w:t>
      </w:r>
      <w:r w:rsidRPr="00891E7E">
        <w:rPr>
          <w:rStyle w:val="HideTWBExt"/>
          <w:i w:val="0"/>
        </w:rPr>
        <w:t>Commission</w:t>
      </w:r>
      <w:r w:rsidRPr="00891E7E">
        <w:rPr>
          <w:rStyle w:val="HideTWBExt"/>
        </w:rPr>
        <w:t>&gt;</w:t>
      </w:r>
    </w:p>
    <w:p w14:paraId="42EF4829" w14:textId="77777777" w:rsidR="00C7235E" w:rsidRPr="00891E7E" w:rsidRDefault="00C7235E" w:rsidP="00C7235E">
      <w:pPr>
        <w:pStyle w:val="LineBottom"/>
      </w:pPr>
    </w:p>
    <w:p w14:paraId="70B0266E" w14:textId="77777777" w:rsidR="00144AD8" w:rsidRPr="00891E7E" w:rsidRDefault="001758B4">
      <w:pPr>
        <w:pStyle w:val="CoverReference"/>
      </w:pPr>
      <w:r w:rsidRPr="00891E7E">
        <w:rPr>
          <w:rStyle w:val="HideTWBExt"/>
          <w:b w:val="0"/>
        </w:rPr>
        <w:t>&lt;RefProc&gt;</w:t>
      </w:r>
      <w:r w:rsidRPr="00891E7E">
        <w:t>2025/2240</w:t>
      </w:r>
      <w:r w:rsidRPr="00891E7E">
        <w:rPr>
          <w:rStyle w:val="HideTWBExt"/>
          <w:b w:val="0"/>
        </w:rPr>
        <w:t>&lt;/RefProc&gt;&lt;RefTypeProc&gt;</w:t>
      </w:r>
      <w:r w:rsidRPr="00891E7E">
        <w:t>(INI)</w:t>
      </w:r>
      <w:r w:rsidRPr="00891E7E">
        <w:rPr>
          <w:rStyle w:val="HideTWBExt"/>
          <w:b w:val="0"/>
        </w:rPr>
        <w:t>&lt;/RefTypeProc&gt;</w:t>
      </w:r>
    </w:p>
    <w:p w14:paraId="30BF4C7D" w14:textId="77777777" w:rsidR="00144AD8" w:rsidRPr="00891E7E" w:rsidRDefault="001758B4">
      <w:pPr>
        <w:pStyle w:val="CoverDate"/>
      </w:pPr>
      <w:r w:rsidRPr="00891E7E">
        <w:rPr>
          <w:rStyle w:val="HideTWBExt"/>
        </w:rPr>
        <w:t>&lt;Date&gt;</w:t>
      </w:r>
      <w:r w:rsidRPr="00891E7E">
        <w:rPr>
          <w:rStyle w:val="HideTWBInt"/>
          <w:color w:val="auto"/>
        </w:rPr>
        <w:t>{20/11/2025}</w:t>
      </w:r>
      <w:r w:rsidRPr="00891E7E">
        <w:t>20.11.2025</w:t>
      </w:r>
      <w:r w:rsidRPr="00891E7E">
        <w:rPr>
          <w:rStyle w:val="HideTWBExt"/>
        </w:rPr>
        <w:t>&lt;/Date&gt;</w:t>
      </w:r>
    </w:p>
    <w:p w14:paraId="35E61B12" w14:textId="77777777" w:rsidR="00144AD8" w:rsidRPr="00891E7E" w:rsidRDefault="001758B4">
      <w:pPr>
        <w:pStyle w:val="CoverDocType24a"/>
      </w:pPr>
      <w:r w:rsidRPr="00891E7E">
        <w:rPr>
          <w:rStyle w:val="HideTWBExt"/>
          <w:b w:val="0"/>
        </w:rPr>
        <w:t>&lt;TitreType&gt;</w:t>
      </w:r>
      <w:r w:rsidRPr="00891E7E">
        <w:t>ΣΧΕΔΙΟ ΕΚΘΕΣΗΣ</w:t>
      </w:r>
      <w:r w:rsidRPr="00891E7E">
        <w:rPr>
          <w:rStyle w:val="HideTWBExt"/>
          <w:b w:val="0"/>
        </w:rPr>
        <w:t>&lt;/TitreType&gt;</w:t>
      </w:r>
    </w:p>
    <w:p w14:paraId="57A95C34" w14:textId="77777777" w:rsidR="00144AD8" w:rsidRPr="00891E7E" w:rsidRDefault="001758B4">
      <w:pPr>
        <w:pStyle w:val="CoverNormal"/>
      </w:pPr>
      <w:r w:rsidRPr="00891E7E">
        <w:rPr>
          <w:rStyle w:val="HideTWBExt"/>
        </w:rPr>
        <w:t>&lt;Titre&gt;</w:t>
      </w:r>
      <w:r w:rsidRPr="00891E7E">
        <w:t>σχετικά με σύσταση του Ευρωπαϊκού Κοινοβουλίου προς το Συμβούλιο αναφορικά με τις προτεραιότητες της Ένωσης για την 70ή σύνοδο της Επιτροπής του ΟΗΕ για τη Θέση της Γυναίκας</w:t>
      </w:r>
      <w:r w:rsidRPr="00891E7E">
        <w:rPr>
          <w:rStyle w:val="HideTWBExt"/>
        </w:rPr>
        <w:t>&lt;/Titre&gt;</w:t>
      </w:r>
    </w:p>
    <w:p w14:paraId="1743087E" w14:textId="77777777" w:rsidR="00144AD8" w:rsidRPr="00891E7E" w:rsidRDefault="001758B4">
      <w:pPr>
        <w:pStyle w:val="CoverNormal24a"/>
      </w:pPr>
      <w:r w:rsidRPr="00891E7E">
        <w:rPr>
          <w:rStyle w:val="HideTWBExt"/>
        </w:rPr>
        <w:t>&lt;DocRef&gt;</w:t>
      </w:r>
      <w:r w:rsidRPr="00891E7E">
        <w:t>(2025/2240(INI))</w:t>
      </w:r>
      <w:r w:rsidRPr="00891E7E">
        <w:rPr>
          <w:rStyle w:val="HideTWBExt"/>
        </w:rPr>
        <w:t>&lt;/DocRef&gt;</w:t>
      </w:r>
    </w:p>
    <w:p w14:paraId="01A975D6" w14:textId="77777777" w:rsidR="00144AD8" w:rsidRPr="00891E7E" w:rsidRDefault="001758B4">
      <w:pPr>
        <w:pStyle w:val="CoverNormal24a"/>
      </w:pPr>
      <w:r w:rsidRPr="00891E7E">
        <w:rPr>
          <w:rStyle w:val="HideTWBExt"/>
        </w:rPr>
        <w:t>&lt;Commission&gt;</w:t>
      </w:r>
      <w:r w:rsidRPr="00891E7E">
        <w:rPr>
          <w:rStyle w:val="HideTWBInt"/>
          <w:color w:val="auto"/>
        </w:rPr>
        <w:t>{FEMM}</w:t>
      </w:r>
      <w:r w:rsidRPr="00891E7E">
        <w:t>Επιτροπή Δικαιωμάτων των Γυναικών και Ισότητας των Φύλων</w:t>
      </w:r>
      <w:r w:rsidRPr="00891E7E">
        <w:rPr>
          <w:rStyle w:val="HideTWBExt"/>
        </w:rPr>
        <w:t>&lt;/Commission&gt;</w:t>
      </w:r>
    </w:p>
    <w:p w14:paraId="5D1A3EB9" w14:textId="77777777" w:rsidR="00144AD8" w:rsidRPr="00891E7E" w:rsidRDefault="001758B4">
      <w:pPr>
        <w:pStyle w:val="CoverNormal24a"/>
      </w:pPr>
      <w:r w:rsidRPr="00891E7E">
        <w:t xml:space="preserve">Εισηγήτρια: </w:t>
      </w:r>
      <w:r w:rsidRPr="00891E7E">
        <w:rPr>
          <w:rStyle w:val="HideTWBExt"/>
        </w:rPr>
        <w:t>&lt;Depute&gt;</w:t>
      </w:r>
      <w:r w:rsidRPr="00891E7E">
        <w:t>Lina Gálvez</w:t>
      </w:r>
      <w:r w:rsidRPr="00891E7E">
        <w:rPr>
          <w:rStyle w:val="HideTWBExt"/>
        </w:rPr>
        <w:t>&lt;/Depute&gt;</w:t>
      </w:r>
    </w:p>
    <w:p w14:paraId="52E530F3" w14:textId="77777777" w:rsidR="00144AD8" w:rsidRPr="00891E7E" w:rsidRDefault="001758B4" w:rsidP="009340AC">
      <w:pPr>
        <w:widowControl/>
        <w:tabs>
          <w:tab w:val="center" w:pos="4677"/>
        </w:tabs>
      </w:pPr>
      <w:r w:rsidRPr="00891E7E">
        <w:br w:type="page"/>
      </w:r>
      <w:r w:rsidRPr="00891E7E">
        <w:lastRenderedPageBreak/>
        <w:t>PR_INI_RecommCFSP</w:t>
      </w:r>
    </w:p>
    <w:p w14:paraId="3D93B53E" w14:textId="77777777" w:rsidR="00144AD8" w:rsidRPr="00891E7E" w:rsidRDefault="001758B4">
      <w:pPr>
        <w:pStyle w:val="TOCHeading"/>
      </w:pPr>
      <w:r w:rsidRPr="00891E7E">
        <w:t>ΠΕΡΙΕΧΟΜΕNA</w:t>
      </w:r>
    </w:p>
    <w:p w14:paraId="669CD2A1" w14:textId="77777777" w:rsidR="00144AD8" w:rsidRPr="00891E7E" w:rsidRDefault="001758B4">
      <w:pPr>
        <w:pStyle w:val="TOCPage"/>
      </w:pPr>
      <w:r w:rsidRPr="00891E7E">
        <w:t>Σελίδα</w:t>
      </w:r>
    </w:p>
    <w:p w14:paraId="04710F04" w14:textId="5B96C5B3" w:rsidR="001758B4" w:rsidRDefault="001758B4">
      <w:pPr>
        <w:pStyle w:val="TOC1"/>
        <w:tabs>
          <w:tab w:val="right" w:leader="dot" w:pos="9060"/>
        </w:tabs>
        <w:rPr>
          <w:rFonts w:asciiTheme="minorHAnsi" w:eastAsiaTheme="minorEastAsia" w:hAnsiTheme="minorHAnsi" w:cstheme="minorBidi"/>
          <w:noProof/>
          <w:kern w:val="2"/>
          <w:szCs w:val="24"/>
          <w:lang w:val="en-GB"/>
          <w14:ligatures w14:val="standardContextual"/>
        </w:rPr>
      </w:pPr>
      <w:r w:rsidRPr="00891E7E">
        <w:fldChar w:fldCharType="begin"/>
      </w:r>
      <w:r w:rsidRPr="00891E7E">
        <w:instrText xml:space="preserve"> TOC \t "PageHeading</w:instrText>
      </w:r>
      <w:r w:rsidR="005707B9" w:rsidRPr="00891E7E">
        <w:instrText>;</w:instrText>
      </w:r>
      <w:r w:rsidRPr="00891E7E">
        <w:instrText xml:space="preserve">1" </w:instrText>
      </w:r>
      <w:r w:rsidRPr="00891E7E">
        <w:fldChar w:fldCharType="separate"/>
      </w:r>
      <w:r>
        <w:rPr>
          <w:noProof/>
        </w:rPr>
        <w:t>ΣΧΕΔΙΟ ΣΥΣΤΑΣΗΣ ΤΟΥ ΕΥΡΩΠΑΪΚΟΥ ΚΟΙΝΟΒΟΥΛΙΟΥ</w:t>
      </w:r>
      <w:r>
        <w:rPr>
          <w:noProof/>
        </w:rPr>
        <w:tab/>
      </w:r>
      <w:r>
        <w:rPr>
          <w:noProof/>
        </w:rPr>
        <w:fldChar w:fldCharType="begin"/>
      </w:r>
      <w:r>
        <w:rPr>
          <w:noProof/>
        </w:rPr>
        <w:instrText xml:space="preserve"> PAGEREF _Toc214610339 \h </w:instrText>
      </w:r>
      <w:r>
        <w:rPr>
          <w:noProof/>
        </w:rPr>
      </w:r>
      <w:r>
        <w:rPr>
          <w:noProof/>
        </w:rPr>
        <w:fldChar w:fldCharType="separate"/>
      </w:r>
      <w:r>
        <w:rPr>
          <w:noProof/>
        </w:rPr>
        <w:t>3</w:t>
      </w:r>
      <w:r>
        <w:rPr>
          <w:noProof/>
        </w:rPr>
        <w:fldChar w:fldCharType="end"/>
      </w:r>
    </w:p>
    <w:p w14:paraId="0059BFDC" w14:textId="12C2BEDD" w:rsidR="001758B4" w:rsidRDefault="001758B4">
      <w:pPr>
        <w:pStyle w:val="TOC1"/>
        <w:tabs>
          <w:tab w:val="right" w:leader="dot" w:pos="9060"/>
        </w:tabs>
        <w:rPr>
          <w:rFonts w:asciiTheme="minorHAnsi" w:eastAsiaTheme="minorEastAsia" w:hAnsiTheme="minorHAnsi" w:cstheme="minorBidi"/>
          <w:noProof/>
          <w:kern w:val="2"/>
          <w:szCs w:val="24"/>
          <w:lang w:val="en-GB"/>
          <w14:ligatures w14:val="standardContextual"/>
        </w:rPr>
      </w:pPr>
      <w:r>
        <w:rPr>
          <w:noProof/>
        </w:rPr>
        <w:t>ΑΙΤΙΟΛΟΓΙΚΗ ΕΚΘΕΣΗ</w:t>
      </w:r>
      <w:r>
        <w:rPr>
          <w:noProof/>
        </w:rPr>
        <w:tab/>
      </w:r>
      <w:r>
        <w:rPr>
          <w:noProof/>
        </w:rPr>
        <w:fldChar w:fldCharType="begin"/>
      </w:r>
      <w:r>
        <w:rPr>
          <w:noProof/>
        </w:rPr>
        <w:instrText xml:space="preserve"> PAGEREF _Toc214610340 \h </w:instrText>
      </w:r>
      <w:r>
        <w:rPr>
          <w:noProof/>
        </w:rPr>
      </w:r>
      <w:r>
        <w:rPr>
          <w:noProof/>
        </w:rPr>
        <w:fldChar w:fldCharType="separate"/>
      </w:r>
      <w:r>
        <w:rPr>
          <w:noProof/>
        </w:rPr>
        <w:t>8</w:t>
      </w:r>
      <w:r>
        <w:rPr>
          <w:noProof/>
        </w:rPr>
        <w:fldChar w:fldCharType="end"/>
      </w:r>
    </w:p>
    <w:p w14:paraId="198F0BBA" w14:textId="0E21FF44" w:rsidR="00627DF1" w:rsidRPr="00891E7E" w:rsidRDefault="001758B4" w:rsidP="00865AB2">
      <w:r w:rsidRPr="00891E7E">
        <w:fldChar w:fldCharType="end"/>
      </w:r>
    </w:p>
    <w:p w14:paraId="1FC1A887" w14:textId="77777777" w:rsidR="00144AD8" w:rsidRPr="00891E7E" w:rsidRDefault="001758B4">
      <w:pPr>
        <w:pStyle w:val="PageHeading"/>
      </w:pPr>
      <w:r w:rsidRPr="00891E7E">
        <w:br w:type="page"/>
      </w:r>
      <w:bookmarkStart w:id="0" w:name="_Toc214610339"/>
      <w:r w:rsidRPr="00891E7E">
        <w:lastRenderedPageBreak/>
        <w:t>ΣΧΕΔΙΟ ΣΥΣΤΑΣΗΣ ΤΟΥ ΕΥΡΩΠΑΪΚΟΥ ΚΟΙΝΟΒΟΥΛΙΟΥ</w:t>
      </w:r>
      <w:bookmarkEnd w:id="0"/>
    </w:p>
    <w:p w14:paraId="636B013B" w14:textId="77777777" w:rsidR="00144AD8" w:rsidRPr="00891E7E" w:rsidRDefault="001758B4">
      <w:pPr>
        <w:pStyle w:val="NormalBold"/>
      </w:pPr>
      <w:r w:rsidRPr="00891E7E">
        <w:t>προς το Συμβούλιο αναφορικά με τις προτεραιότητες της Ένωσης για την 70ή σύνοδο της Επιτροπής του ΟΗΕ για τη Θέση της Γυναίκας</w:t>
      </w:r>
    </w:p>
    <w:p w14:paraId="1B1B2B7F" w14:textId="77777777" w:rsidR="00144AD8" w:rsidRPr="00891E7E" w:rsidRDefault="001758B4" w:rsidP="00A144CA">
      <w:pPr>
        <w:pStyle w:val="NormalBold"/>
      </w:pPr>
      <w:r w:rsidRPr="00891E7E">
        <w:t>(2025/2240(INI))</w:t>
      </w:r>
    </w:p>
    <w:p w14:paraId="7C6072A9" w14:textId="77777777" w:rsidR="00144AD8" w:rsidRPr="00891E7E" w:rsidRDefault="001758B4">
      <w:pPr>
        <w:pStyle w:val="EPComma"/>
      </w:pPr>
      <w:r w:rsidRPr="00891E7E">
        <w:rPr>
          <w:i/>
        </w:rPr>
        <w:t>Το Ευρωπαϊκό Κοινοβούλιο</w:t>
      </w:r>
      <w:r w:rsidRPr="00891E7E">
        <w:t>,</w:t>
      </w:r>
    </w:p>
    <w:p w14:paraId="1B1BC132" w14:textId="77777777" w:rsidR="004216E6" w:rsidRPr="00891E7E" w:rsidRDefault="001758B4" w:rsidP="004216E6">
      <w:pPr>
        <w:pStyle w:val="NormalHanging12a"/>
      </w:pPr>
      <w:r w:rsidRPr="00891E7E">
        <w:t>–</w:t>
      </w:r>
      <w:r w:rsidRPr="00891E7E">
        <w:tab/>
        <w:t xml:space="preserve">έχοντας υπόψη την 70ή σύνοδο της Επιτροπής του ΟΗΕ για τη Θέση της Γυναίκας, η οποία πρόκειται να πραγματοποιηθεί τον Μάρτιο του 2026, το θέμα προτεραιότητάς της με τίτλο «Διασφάλιση και ενίσχυση της πρόσβασης στη δικαιοσύνη για όλες τις γυναίκες και τα κορίτσια, μεταξύ άλλων με την προώθηση συμπεριληπτικών και δίκαιων νομικών συστημάτων, την εξάλειψη νόμων, πολιτικών και πρακτικών που εισάγουν διακρίσεις και την αντιμετώπιση των διαρθρωτικών φραγμών», καθώς και το θέμα επανεξέτασης με τίτλο «Η πλήρης και </w:t>
      </w:r>
      <w:r w:rsidRPr="00891E7E">
        <w:t>αποτελεσματική συμμετοχή των γυναικών και η λήψη αποφάσεων στον δημόσιο βίο και η εξάλειψη της βίας με στόχο την επίτευξη της ισότητας των φύλων και τη χειραφέτηση όλων των γυναικών και των κοριτσιών»,</w:t>
      </w:r>
    </w:p>
    <w:p w14:paraId="12CF6220" w14:textId="77777777" w:rsidR="004216E6" w:rsidRPr="00891E7E" w:rsidRDefault="001758B4" w:rsidP="004216E6">
      <w:pPr>
        <w:pStyle w:val="NormalHanging12a"/>
      </w:pPr>
      <w:r w:rsidRPr="00891E7E">
        <w:t>–</w:t>
      </w:r>
      <w:r w:rsidRPr="00891E7E">
        <w:tab/>
        <w:t>έχοντας υπόψη τη Σύμβαση των Ηνωμένων Εθνών για την εξάλειψη όλων των μορφών διακρίσεων κατά των γυναικών, της 18ης Δεκεμβρίου 1979,</w:t>
      </w:r>
    </w:p>
    <w:p w14:paraId="38F419A0" w14:textId="77777777" w:rsidR="004216E6" w:rsidRPr="00891E7E" w:rsidRDefault="001758B4" w:rsidP="00554B6E">
      <w:pPr>
        <w:pStyle w:val="pf0"/>
        <w:ind w:left="567" w:hanging="567"/>
        <w:rPr>
          <w:rFonts w:ascii="Arial" w:hAnsi="Arial" w:cs="Arial"/>
          <w:sz w:val="20"/>
        </w:rPr>
      </w:pPr>
      <w:r w:rsidRPr="00891E7E">
        <w:t>–</w:t>
      </w:r>
      <w:r w:rsidRPr="00891E7E">
        <w:tab/>
        <w:t>έχοντας υπόψη την Ατζέντα του 2030 για τη Bιώσιμη Aνάπτυξη, των Ηνωμένων Εθνών, και συγκεκριμένα την αρχή «κανείς στο περιθώριο» και ιδίως τον Στόχο Βιώσιμης Ανάπτυξης 5, με τον οποίο επιδιώκεται να επιτευχθεί η ισότητα των φύλων και να διασφαλιστούν ίσα δικαιώματα των γυναικών όσον αφορά τους οικονομικούς πόρους, καθώς και την πρόσβαση στην ιδιοκτησία και τον έλεγχο γης και άλλες μορφές περιουσίας, χρηματοπιστωτικές υπηρεσίες, κληρονομιά και φυσικούς πόρους, και τον Στόχο Βιώσιμης Ανάπτυξης 10, ο οποίος α</w:t>
      </w:r>
      <w:r w:rsidRPr="00891E7E">
        <w:t>ποσκοπεί στην εξάλειψη των νόμων, των πολιτικών και των πρακτικών που εισάγουν διακρίσεις, και στην προώθηση της κατάλληλης νομοθεσίας, πολιτικών και δράσεων,</w:t>
      </w:r>
    </w:p>
    <w:p w14:paraId="0787EB37" w14:textId="77777777" w:rsidR="004216E6" w:rsidRPr="00891E7E" w:rsidRDefault="001758B4" w:rsidP="004216E6">
      <w:pPr>
        <w:pStyle w:val="NormalHanging12a"/>
      </w:pPr>
      <w:r w:rsidRPr="00891E7E">
        <w:t>–</w:t>
      </w:r>
      <w:r w:rsidRPr="00891E7E">
        <w:tab/>
        <w:t>έχοντας υπόψη τα άρθρα 20, 21, 23 και 47 του Χάρτη των Θεμελιωδών Δικαιωμάτων της Ευρωπαϊκής Ένωσης,</w:t>
      </w:r>
    </w:p>
    <w:p w14:paraId="04575987" w14:textId="77777777" w:rsidR="004216E6" w:rsidRPr="00891E7E" w:rsidRDefault="001758B4" w:rsidP="004216E6">
      <w:pPr>
        <w:pStyle w:val="NormalHanging12a"/>
      </w:pPr>
      <w:r w:rsidRPr="00891E7E">
        <w:t>–</w:t>
      </w:r>
      <w:r w:rsidRPr="00891E7E">
        <w:tab/>
        <w:t>έχοντας υπόψη την κοινή ανακοίνωση της Επιτροπής και του Συμβουλίου, της 25ης Νοεμβρίου 2020, με τίτλο «Σχέδιο δράσης της ΕΕ για την ισότητα των φύλων (GAP) III – Ένα φιλόδοξο θεματολόγιο για την ισότητα των φύλων και τη χειραφέτηση των γυναικών στην εξωτερική δράση της ΕΕ» (JOIN(2020)0017), που περιγράφει το σχέδιο δράσης της ΕΕ για την ισότητα των φύλων για την περίοδο 2021-2025,</w:t>
      </w:r>
    </w:p>
    <w:p w14:paraId="26123A87" w14:textId="77777777" w:rsidR="004216E6" w:rsidRPr="00891E7E" w:rsidRDefault="001758B4" w:rsidP="004216E6">
      <w:pPr>
        <w:pStyle w:val="NormalHanging12a"/>
      </w:pPr>
      <w:r w:rsidRPr="00891E7E">
        <w:t>–</w:t>
      </w:r>
      <w:r w:rsidRPr="00891E7E">
        <w:tab/>
        <w:t>έχοντας υπόψη την ανακοίνωση της Επιτροπής, της 7ης Μαρτίου 2025, με τίτλο «Χάρτης πορείας για τα δικαιώματα των γυναικών» (COM(2025)0097), στην οποία επαναβεβαιώνεται η δέσμευση της ΕΕ για την ισότητα των φύλων,</w:t>
      </w:r>
    </w:p>
    <w:p w14:paraId="245C2682" w14:textId="77777777" w:rsidR="004216E6" w:rsidRPr="00891E7E" w:rsidRDefault="001758B4" w:rsidP="004216E6">
      <w:pPr>
        <w:pStyle w:val="NormalHanging12a"/>
      </w:pPr>
      <w:r w:rsidRPr="00891E7E">
        <w:t>–</w:t>
      </w:r>
      <w:r w:rsidRPr="00891E7E">
        <w:tab/>
        <w:t>έχοντας υπόψη την ανακοίνωση της Επιτροπής, της 5ης Μαρτίου 2020, με τίτλο «Μια Ένωση ισότητας— Στρατηγική για την ισότητα των φύλων 2020-2025» (COM(2020)0152),</w:t>
      </w:r>
    </w:p>
    <w:p w14:paraId="7E3E1E6B" w14:textId="77777777" w:rsidR="004216E6" w:rsidRPr="00891E7E" w:rsidRDefault="001758B4" w:rsidP="004216E6">
      <w:pPr>
        <w:pStyle w:val="NormalHanging12a"/>
        <w:rPr>
          <w:szCs w:val="24"/>
        </w:rPr>
      </w:pPr>
      <w:r w:rsidRPr="00891E7E">
        <w:lastRenderedPageBreak/>
        <w:t>–</w:t>
      </w:r>
      <w:r w:rsidRPr="00891E7E">
        <w:tab/>
        <w:t>έχοντας υπόψη την οδηγία 2012/29/ΕΕ του Ευρωπαϊκού Κοινοβουλίου και του Συμβουλίου, της 25ης Οκτωβρίου 2012, για τη θέσπιση ελάχιστων προτύπων σχετικά με τα δικαιώματα, την υποστήριξη και την προστασία θυμάτων της εγκληματικότητας και για την αντικατάσταση της απόφασης-πλαισίου 2001/220/ΔΕΥ</w:t>
      </w:r>
      <w:r w:rsidRPr="00891E7E">
        <w:rPr>
          <w:rStyle w:val="FootnoteReference"/>
          <w:szCs w:val="24"/>
        </w:rPr>
        <w:footnoteReference w:id="1"/>
      </w:r>
      <w:r w:rsidRPr="00891E7E">
        <w:t xml:space="preserve"> του Συμβουλίου,</w:t>
      </w:r>
    </w:p>
    <w:p w14:paraId="3021DCDE" w14:textId="77777777" w:rsidR="004216E6" w:rsidRPr="00891E7E" w:rsidRDefault="001758B4" w:rsidP="004216E6">
      <w:pPr>
        <w:pStyle w:val="NormalHanging12a"/>
      </w:pPr>
      <w:r w:rsidRPr="00891E7E">
        <w:t>–</w:t>
      </w:r>
      <w:r w:rsidRPr="00891E7E">
        <w:tab/>
        <w:t>έχοντας υπόψη το πρόγραμμα της Επιτροπής «Δικαιοσύνη» για την περίοδο 2021-2027, το οποίο παρέχει χρηματοδότηση με σκοπό τη στήριξη της δικαστικής συνεργασίας σε αστικές και ποινικές υποθέσεις, όπως η κατάρτιση δικαστών και άλλων επαγγελματιών του νομικού κλάδου, και η αποτελεσματική πρόσβαση των πολιτών και των επιχειρήσεων στη δικαιοσύνη,</w:t>
      </w:r>
    </w:p>
    <w:p w14:paraId="1E22FD01" w14:textId="77777777" w:rsidR="004216E6" w:rsidRPr="00891E7E" w:rsidRDefault="001758B4" w:rsidP="004216E6">
      <w:pPr>
        <w:pStyle w:val="NormalHanging12a"/>
      </w:pPr>
      <w:r w:rsidRPr="00891E7E">
        <w:t>–</w:t>
      </w:r>
      <w:r w:rsidRPr="00891E7E">
        <w:tab/>
        <w:t>έχοντας υπόψη τη Σύμβαση του Συμβουλίου της Ευρώπης για την πρόληψη και την καταπολέμηση της βίας κατά των γυναικών και της ενδοοικογενειακής βίας (Σύμβαση της Κωνσταντινούπολης),</w:t>
      </w:r>
    </w:p>
    <w:p w14:paraId="3F50C65C" w14:textId="77777777" w:rsidR="004216E6" w:rsidRPr="00891E7E" w:rsidRDefault="001758B4" w:rsidP="004216E6">
      <w:pPr>
        <w:pStyle w:val="NormalHanging12a"/>
      </w:pPr>
      <w:r w:rsidRPr="00891E7E">
        <w:t>–</w:t>
      </w:r>
      <w:r w:rsidRPr="00891E7E">
        <w:tab/>
        <w:t>έχοντας υπόψη το άρθρο 81 παράγραφος 2 της Συνθήκης για τη λειτουργία της Ευρωπαϊκής Ένωσης,</w:t>
      </w:r>
    </w:p>
    <w:p w14:paraId="18D69DB4" w14:textId="77777777" w:rsidR="004216E6" w:rsidRPr="00891E7E" w:rsidRDefault="001758B4" w:rsidP="004216E6">
      <w:pPr>
        <w:pStyle w:val="NormalHanging12a"/>
      </w:pPr>
      <w:r w:rsidRPr="00891E7E">
        <w:t>–</w:t>
      </w:r>
      <w:r w:rsidRPr="00891E7E">
        <w:tab/>
        <w:t>έχοντας υπόψη το άρθρο 121 του Κανονισμού του,</w:t>
      </w:r>
    </w:p>
    <w:p w14:paraId="7C6CB38A" w14:textId="77777777" w:rsidR="00F92A4A" w:rsidRPr="00891E7E" w:rsidRDefault="001758B4" w:rsidP="00724B9E">
      <w:pPr>
        <w:pStyle w:val="Visa"/>
        <w:tabs>
          <w:tab w:val="clear" w:pos="357"/>
        </w:tabs>
        <w:spacing w:after="360"/>
        <w:ind w:left="567" w:hanging="567"/>
      </w:pPr>
      <w:r w:rsidRPr="00891E7E">
        <w:t>–</w:t>
      </w:r>
      <w:r w:rsidRPr="00891E7E">
        <w:tab/>
        <w:t>έχοντας υπόψη την έκθεση της Επιτροπής Δικαιωμάτων των Γυναικών και Ισότητας των Φύλων (Α10</w:t>
      </w:r>
      <w:r w:rsidRPr="00891E7E">
        <w:noBreakHyphen/>
        <w:t>0000/2025),</w:t>
      </w:r>
    </w:p>
    <w:p w14:paraId="7130BB54" w14:textId="77777777" w:rsidR="004216E6" w:rsidRPr="00891E7E" w:rsidRDefault="001758B4" w:rsidP="004216E6">
      <w:pPr>
        <w:pStyle w:val="NormalHanging12a"/>
      </w:pPr>
      <w:r w:rsidRPr="00891E7E">
        <w:t>Α.</w:t>
      </w:r>
      <w:r w:rsidRPr="00891E7E">
        <w:tab/>
        <w:t xml:space="preserve">λαμβάνοντας υπόψη ότι η ισότητα μεταξύ γυναικών και ανδρών </w:t>
      </w:r>
      <w:r w:rsidRPr="00891E7E">
        <w:t>αποτελεί θεμελιώδη αρχή της ΕΕ· λαμβάνοντας υπόψη ότι σε όλες τις πολιτικές της ΕΕ θα πρέπει να εφαρμόζονται και να ενσωματώνονται η συνεκτίμηση της διάστασης του φύλου, καθώς και μια διατομεακή προσέγγιση· λαμβάνοντας υπόψη ότι οι εσωτερικές και εξωτερικές πολιτικές θα πρέπει να παραμείνουν συνεπείς και συνεκτικές προκειμένου να διασφαλιστεί η αποτελεσματική και αξιόπιστη προώθηση των ανθρωπίνων δικαιωμάτων, της δημοκρατίας και της ισότητας των φύλων σε ολόκληρο τον κόσμο·</w:t>
      </w:r>
    </w:p>
    <w:p w14:paraId="758F6BA4" w14:textId="77777777" w:rsidR="004216E6" w:rsidRPr="00891E7E" w:rsidRDefault="001758B4" w:rsidP="004216E6">
      <w:pPr>
        <w:pStyle w:val="NormalHanging12a"/>
        <w:rPr>
          <w:szCs w:val="24"/>
        </w:rPr>
      </w:pPr>
      <w:r w:rsidRPr="00891E7E">
        <w:t>Β.</w:t>
      </w:r>
      <w:r w:rsidRPr="00891E7E">
        <w:tab/>
        <w:t>λαμβάνοντας υπόψη ότι τα δικαιώματα των γυναικών και η ισότητα των φύλων δεν συνιστούν μόνο θεμελιώδη ανθρώπινα δικαιώματα, αλλά και προϋποθέσεις για την προαγωγή της ανθρώπινης ανάπτυξης, τη μείωση της φτώχειας και την οικοδόμηση μιας απαραίτητης βάσης για έναν ειρηνικό και βιώσιμο κόσμο με ευημερία·</w:t>
      </w:r>
    </w:p>
    <w:p w14:paraId="1A216299" w14:textId="77777777" w:rsidR="004216E6" w:rsidRPr="00891E7E" w:rsidRDefault="001758B4" w:rsidP="004216E6">
      <w:pPr>
        <w:pStyle w:val="NormalHanging12a"/>
        <w:rPr>
          <w:szCs w:val="24"/>
        </w:rPr>
      </w:pPr>
      <w:r w:rsidRPr="00891E7E">
        <w:t>Γ.</w:t>
      </w:r>
      <w:r w:rsidRPr="00891E7E">
        <w:tab/>
        <w:t>λαμβάνοντας υπόψη ότι η πρόσβαση στη δικαιοσύνη αναγνωρίζεται ευρέως ως θεμελιώδες ανθρώπινο δικαίωμα βάσει του διεθνούς δικαίου, βασική έννοια στον ευρύτερο τομέα της δικαιοσύνης και ακρογωνιαίος λίθος για το κράτος δικαίου και τη δημοκρατία· λαμβάνοντας υπόψη ότι η ΕΕ αναγνωρίζει την πρόσβαση στη δικαιοσύνη ως θεμελιώδες δικαίωμα βάσει του άρθρου 47 του Χάρτη των Θεμελιωδών Δικαιωμάτων της Ευρωπαϊκής Ένωσης·</w:t>
      </w:r>
    </w:p>
    <w:p w14:paraId="0DD05057" w14:textId="77777777" w:rsidR="004216E6" w:rsidRPr="00891E7E" w:rsidRDefault="001758B4" w:rsidP="004216E6">
      <w:pPr>
        <w:pStyle w:val="NormalHanging12a"/>
        <w:rPr>
          <w:szCs w:val="24"/>
        </w:rPr>
      </w:pPr>
      <w:r w:rsidRPr="00891E7E">
        <w:t>Δ.</w:t>
      </w:r>
      <w:r w:rsidRPr="00891E7E">
        <w:tab/>
        <w:t>λαμβάνοντας υπόψη ότι η πρόσβαση των γυναικών στη δικαιοσύνη εξακολουθεί να αποτελεί σύνθετο και κρίσιμο ζήτημα σε όλες τις περιφέρειες ανά τον κόσμο·</w:t>
      </w:r>
    </w:p>
    <w:p w14:paraId="0BA6DB65" w14:textId="77777777" w:rsidR="004216E6" w:rsidRPr="00891E7E" w:rsidRDefault="001758B4" w:rsidP="004216E6">
      <w:pPr>
        <w:pStyle w:val="NormalHanging12a"/>
        <w:rPr>
          <w:szCs w:val="24"/>
        </w:rPr>
      </w:pPr>
      <w:r w:rsidRPr="00891E7E">
        <w:t>Ε.</w:t>
      </w:r>
      <w:r w:rsidRPr="00891E7E">
        <w:tab/>
        <w:t xml:space="preserve">λαμβάνοντας υπόψη ότι, παγκοσμίως, οι γυναίκες εξακολουθούν να υποεκπροσωπούνται σημαντικά στα υψηλότερα επίπεδα των δικαστικών και εισαγγελικών αρχών, ιδίως σε ηγετικές θέσεις, όπως πρόεδροι δικαστηρίων, ανώτατοι </w:t>
      </w:r>
      <w:r w:rsidRPr="00891E7E">
        <w:lastRenderedPageBreak/>
        <w:t>δικαστές και εισαγγελείς·</w:t>
      </w:r>
    </w:p>
    <w:p w14:paraId="1B3B779A" w14:textId="77777777" w:rsidR="004216E6" w:rsidRPr="00891E7E" w:rsidRDefault="001758B4" w:rsidP="00F8084D">
      <w:pPr>
        <w:pStyle w:val="NormalHanging12a"/>
        <w:rPr>
          <w:szCs w:val="24"/>
        </w:rPr>
      </w:pPr>
      <w:r w:rsidRPr="00891E7E">
        <w:t>ΣΤ.</w:t>
      </w:r>
      <w:r w:rsidRPr="00891E7E">
        <w:tab/>
        <w:t>λαμβάνοντας υπόψη ότι ο ΟΗΕ προωθεί ενεργά τη μεγαλύτερη συμμετοχή των γυναικών στον τομέα της δικαιοσύνης μέσω ειδικών πρωτοβουλιών και εκστρατειών· λαμβάνοντας υπόψη ότι η μεγαλύτερη εκπροσώπηση των γυναικών στους δικαστικούς θεσμούς έχει συνδεθεί με την προώθηση προσεγγίσεων της δικαιοσύνης που θέτουν περισσότερο στο επίκεντρο τα θύματα·</w:t>
      </w:r>
    </w:p>
    <w:p w14:paraId="5368147A" w14:textId="77777777" w:rsidR="004216E6" w:rsidRPr="00891E7E" w:rsidRDefault="001758B4" w:rsidP="004216E6">
      <w:pPr>
        <w:pStyle w:val="NormalHanging12a"/>
        <w:rPr>
          <w:szCs w:val="24"/>
        </w:rPr>
      </w:pPr>
      <w:r w:rsidRPr="00891E7E">
        <w:t>Ζ.</w:t>
      </w:r>
      <w:r w:rsidRPr="00891E7E">
        <w:tab/>
        <w:t>λαμβάνοντας υπόψη ότι η βία κατά των γυναικών και η ενδοοικογενειακή βία συνιστούν παραβιάσεις των θεμελιωδών δικαιωμάτων· λαμβάνοντας υπόψη ότι τα νομικά συστήματα πρέπει να ανταποκρίνονται στις ιδιαίτερες ανάγκες των θυμάτων έμφυλης βίας, διασφαλίζοντας επαρκή προστασία και μέσα έννομης προστασίας· λαμβάνοντας υπόψη ότι πολλές γυναίκες εξακολουθούν να αντιμετωπίζουν σημαντικά εμπόδια όσον αφορά την καταγγελία περιστατικών κακοποίησης και την πρόσβαση σε νομική υποστήριξη·</w:t>
      </w:r>
    </w:p>
    <w:p w14:paraId="5AE67BBD" w14:textId="77777777" w:rsidR="004216E6" w:rsidRPr="00891E7E" w:rsidRDefault="001758B4" w:rsidP="004216E6">
      <w:pPr>
        <w:pStyle w:val="NormalHanging12a"/>
        <w:rPr>
          <w:szCs w:val="24"/>
        </w:rPr>
      </w:pPr>
      <w:r w:rsidRPr="00891E7E">
        <w:t>Η.</w:t>
      </w:r>
      <w:r w:rsidRPr="00891E7E">
        <w:tab/>
        <w:t>λαμβάνοντας υπόψη ότι δικαστικά στερεότυπα και κυρίαρχες νόρμες σε σχέση με θέματα φύλου μπορεί να παρεμποδίσουν την απονομή δικαιοσύνης για τις γυναίκες που είναι θύματα και επιζήσασες βίας·</w:t>
      </w:r>
    </w:p>
    <w:p w14:paraId="5725DF52" w14:textId="77777777" w:rsidR="004216E6" w:rsidRPr="00891E7E" w:rsidRDefault="001758B4" w:rsidP="004216E6">
      <w:pPr>
        <w:pStyle w:val="NormalHanging12a"/>
      </w:pPr>
      <w:r w:rsidRPr="00891E7E">
        <w:t>1.</w:t>
      </w:r>
      <w:r w:rsidRPr="00891E7E">
        <w:tab/>
        <w:t>συνιστά στο Συμβούλιο:</w:t>
      </w:r>
    </w:p>
    <w:p w14:paraId="62F52893" w14:textId="77777777" w:rsidR="004216E6" w:rsidRPr="00891E7E" w:rsidRDefault="001758B4" w:rsidP="004216E6">
      <w:pPr>
        <w:pStyle w:val="NormalHanging12a"/>
        <w:ind w:firstLine="0"/>
      </w:pPr>
      <w:r w:rsidRPr="00891E7E">
        <w:t>α)</w:t>
      </w:r>
      <w:r w:rsidRPr="00891E7E">
        <w:tab/>
        <w:t xml:space="preserve">να επαναβεβαιώσει την αταλάντευτη δέσμευση της ΕΕ για την ισότητα των φύλων και να διασφαλίσει ότι τα δικαιώματα των γυναικών εφαρμόζονται πλήρως σε όλες τις </w:t>
      </w:r>
      <w:r w:rsidRPr="00891E7E">
        <w:t>πτυχές της εξωτερικής δράσης της ΕΕ μέσω μιας επαρκώς χρηματοδοτούμενης, συμπεριληπτικής και διατομεακής προσέγγισης η οποία θα προωθεί βαθύτερο μετασχηματισμό ως προς τα θέματα φύλου·</w:t>
      </w:r>
    </w:p>
    <w:p w14:paraId="72227CCB" w14:textId="77777777" w:rsidR="004216E6" w:rsidRPr="00891E7E" w:rsidRDefault="001758B4" w:rsidP="004216E6">
      <w:pPr>
        <w:pStyle w:val="NormalHanging12a"/>
        <w:ind w:firstLine="0"/>
      </w:pPr>
      <w:r w:rsidRPr="00891E7E">
        <w:t>β)</w:t>
      </w:r>
      <w:r w:rsidRPr="00891E7E">
        <w:tab/>
        <w:t>να διασφαλίσει την πλήρη συμμετοχή του Κοινοβουλίου και της Επιτροπής Δικαιωμάτων των Γυναικών και Ισότητας των Φύλων του Κοινοβουλίου στη διαδικασία λήψης αποφάσεων σχετικά με τη θέση της ΕΕ κατά την 70ή σύνοδο της Επιτροπής του ΟΗΕ για τη Θέση της Γυναίκας· να διασφαλίσει ότι το Κοινοβούλιο έχει επαρκή ενημέρωση και πρόσβαση στο έγγραφο θέσης της ΕΕ πριν από τις διαπραγματεύσεις· να βελτιώσει περαιτέρω τη διοργανική συνεργασία, μεταξύ άλλων κατά τη διάρκεια των διαπραγματεύσεων, ώστε να ενσωματωθούν δεόν</w:t>
      </w:r>
      <w:r w:rsidRPr="00891E7E">
        <w:t>τως οι προτεραιότητες του Κοινοβουλίου·</w:t>
      </w:r>
    </w:p>
    <w:p w14:paraId="301A7F71" w14:textId="77777777" w:rsidR="004216E6" w:rsidRPr="00891E7E" w:rsidRDefault="001758B4" w:rsidP="004216E6">
      <w:pPr>
        <w:pStyle w:val="NormalHanging12a"/>
        <w:ind w:firstLine="0"/>
      </w:pPr>
      <w:r w:rsidRPr="00891E7E">
        <w:t>γ)</w:t>
      </w:r>
      <w:r w:rsidRPr="00891E7E">
        <w:tab/>
        <w:t>να δεσμευτεί ότι θα παράσχει ισχυρή στήριξη στο έργο της μονάδας του ΟΗΕ για την ισότητα των φύλων και τη χειραφέτηση των γυναικών, η οποία αποτελεί κομβικό φορέα στο σύστημα των Ηνωμένων Εθνών για την προώθηση των δικαιωμάτων των γυναικών σε όλη τους την πολυμορφία και τη συγκέντρωση όλων των σχετικών ενδιαφερόμενων μερών, ώστε να επέλθει αλλαγή πολιτικής και να συντονιστούν οι δράσεις· να καλέσει όλα τα κράτη μέλη των Ηνωμένων Εθνών να εξασφαλίσουν, από κοινού με την ΕΕ, επαρκή χρηματοδότηση για την μονά</w:t>
      </w:r>
      <w:r w:rsidRPr="00891E7E">
        <w:t>δα του ΟΗΕ για την ισότητα των φύλων και τη χειραφέτηση των γυναικών·</w:t>
      </w:r>
    </w:p>
    <w:p w14:paraId="0397EA18" w14:textId="77777777" w:rsidR="004216E6" w:rsidRPr="00891E7E" w:rsidRDefault="001758B4" w:rsidP="004216E6">
      <w:pPr>
        <w:pStyle w:val="NormalHanging12a"/>
        <w:ind w:firstLine="0"/>
      </w:pPr>
      <w:r w:rsidRPr="00891E7E">
        <w:t>δ)</w:t>
      </w:r>
      <w:r w:rsidRPr="00891E7E">
        <w:tab/>
        <w:t xml:space="preserve">να διασφαλίσει ότι τα ευρωπαϊκά και διεθνή μέσα είναι συμπληρωματικά και φιλόδοξα, με ισχυρές και ουσιαστικές διατάξεις, με στόχο τη χειραφέτηση των γυναικών και τη διασφάλιση της πρόσβασης στη δικαιοσύνη, και να λάβει υπόψη ότι το δικαίωμα σε νομική συνδρομή είναι ουσιώδες εν προκειμένω· να διασφαλίσει ότι η ΕΕ επιδεικνύει ισχυρή ηγετική στάση και υιοθετεί ενιαία θέση σχετικά με συμπεριληπτικά </w:t>
      </w:r>
      <w:r w:rsidRPr="00891E7E">
        <w:lastRenderedPageBreak/>
        <w:t>και αμερόληπτα συστήματα απονομής δικαιοσύνης προσβάσιμα σε όλους, ιδίως σε μειονεκτούσες και ευάλωτες ομάδες γυν</w:t>
      </w:r>
      <w:r w:rsidRPr="00891E7E">
        <w:t>αικών που συχνά αντιμετωπίζουν εμπόδια στην πρόσβαση στη δικαιοσύνη λόγω κενών στις θεσμικές ικανότητες, για κοινωνικούς και πολιτισμικούς λόγους και εξαιτίας διακρίσεων· να εξετάσει την εφαρμογή διατάξεων που προβλέπουν ειδικά δικαστήρια για την έμφυλη βία· να υποστηρίξει τη θέσπιση ολοκληρωμένων νομικών πλαισίων για την προστασία των δικαιωμάτων των γυναικών και τη διασφάλιση της πλήρους και ισότιμης συμμετοχής των γυναικών βάσει του εθνικού και του διεθνούς δικαίου·</w:t>
      </w:r>
    </w:p>
    <w:p w14:paraId="75FC5E9A" w14:textId="77777777" w:rsidR="004216E6" w:rsidRPr="00891E7E" w:rsidRDefault="001758B4" w:rsidP="004216E6">
      <w:pPr>
        <w:pStyle w:val="NormalHanging12a"/>
        <w:ind w:firstLine="0"/>
      </w:pPr>
      <w:r w:rsidRPr="00891E7E">
        <w:t>ε)</w:t>
      </w:r>
      <w:r w:rsidRPr="00891E7E">
        <w:tab/>
        <w:t xml:space="preserve">να εφαρμόσει την ενσωμάτωση της διάστασης του φύλου και τη συνεκτίμηση της ισότητας των φύλων στον προϋπολογισμό σε όλους τους τομείς πολιτικής της ΕΕ, συμπεριλαμβανομένης της εξωτερικής δράσης· να τονίσει την ανάγκη να διαθέσουν τα κράτη επαρκή χρηματοδότηση για νομική συνδρομή και υπηρεσίες υποστήριξης που λαμβάνουν υπόψη τη διάσταση του φύλου, ιδίως για τις επιζήσασες έμφυλης βίας, και επαρκή πρόσβαση σε αποζημίωση, δεδομένου ότι τα υφιστάμενα εμπόδια επηρεάζουν δυσανάλογα την πρόσβαση των γυναικών στη </w:t>
      </w:r>
      <w:r w:rsidRPr="00891E7E">
        <w:t>δικαιοσύνη·</w:t>
      </w:r>
    </w:p>
    <w:p w14:paraId="6DC62983" w14:textId="77777777" w:rsidR="004216E6" w:rsidRPr="00891E7E" w:rsidRDefault="001758B4" w:rsidP="004216E6">
      <w:pPr>
        <w:pStyle w:val="NormalHanging12a"/>
        <w:ind w:firstLine="0"/>
      </w:pPr>
      <w:r w:rsidRPr="00891E7E">
        <w:t>στ)</w:t>
      </w:r>
      <w:r w:rsidRPr="00891E7E">
        <w:tab/>
        <w:t>να επισπεύσει την εφαρμογή των διεθνών δεσμεύσεων για την περαιτέρω πρόληψη και αντιμετώπιση όλων των μορφών βίας κατά των γυναικών και των κοριτσιών τόσο στη δημόσια όσο και στην ιδιωτική σφαίρα, συμπεριλαμβανομένων πρακτικών όπως ο ακρωτηριασμός των γυναικείων γεννητικών οργάνων, ο καταναγκαστικός γάμος, η μη συναινετική κοινοχρησία υλικού προσωπικού χαρακτήρα ή παραποιημένου υλικού, η παρενοχλητική παρακολούθηση στο διαδίκτυο, η κυβερνοπαρενόχληση, η κυβερνοεπιδειξιομανία (cyber-flashing) και η κυβερνοϋ</w:t>
      </w:r>
      <w:r w:rsidRPr="00891E7E">
        <w:t>ποκίνηση βίας ή η ρητορική μίσους·</w:t>
      </w:r>
    </w:p>
    <w:p w14:paraId="66337243" w14:textId="77777777" w:rsidR="004216E6" w:rsidRPr="00891E7E" w:rsidRDefault="001758B4" w:rsidP="004216E6">
      <w:pPr>
        <w:pStyle w:val="NormalHanging12a"/>
        <w:ind w:firstLine="0"/>
      </w:pPr>
      <w:r w:rsidRPr="00891E7E">
        <w:t>ζ)</w:t>
      </w:r>
      <w:r w:rsidRPr="00891E7E">
        <w:tab/>
        <w:t>να αναλάβει δράση για την πλήρη εφαρμογή των υφιστάμενων δεσμεύσεων σχετικά με την ισότητα των φύλων και τη χειραφέτηση των γυναικών, διασφαλίζοντας την προστασία των ίσων ανθρωπίνων δικαιωμάτων και των θεμελιωδών ελευθεριών των γυναικών χωρίς διακρίσεις, ώστε να προωθηθεί η συμμετοχή τους στον δημόσιο βίο·</w:t>
      </w:r>
    </w:p>
    <w:p w14:paraId="5EB34EED" w14:textId="77777777" w:rsidR="004216E6" w:rsidRPr="00891E7E" w:rsidRDefault="001758B4" w:rsidP="004216E6">
      <w:pPr>
        <w:pStyle w:val="NormalHanging12a"/>
        <w:ind w:firstLine="0"/>
      </w:pPr>
      <w:r w:rsidRPr="00891E7E">
        <w:t>η)</w:t>
      </w:r>
      <w:r w:rsidRPr="00891E7E">
        <w:tab/>
        <w:t>να υπογραμμίσει ότι τα δικαιώματα των γυναικών και η ισότητα των φύλων συνιστούν θεμελιώδη ανθρώπινα δικαιώματα ουσιώδη για το κράτος δικαίου, για ανθεκτικές και συμπεριληπτικές δημοκρατίες, αποτελούν δε βασικές αξίες της ΕΕ· να τονίσει ότι είναι λυπηρό το γεγονός ότι εκατομμύρια γυναίκες και κορίτσια, ιδίως σε πλαίσια συγκρούσεων και εκτοπισμών, εξακολουθούν να αντιμετωπίζουν διακρίσεις, βία και να υφίστανται στέρηση της αξιοπρέπειας και της αυτόβουλης δράσης τους· να επαναλάβει ότι ο βιασμός παραμένει μί</w:t>
      </w:r>
      <w:r w:rsidRPr="00891E7E">
        <w:t>α από τις πιο διαδεδομένες παραβιάσεις των ανθρωπίνων δικαιωμάτων παγκοσμίως· να τονίσει ότι είναι σημαντικό να θεσπιστεί στην ΕΕ νομοθεσία για τον βιασμό η οποία θα έχει ως κεντρικό στοιχείο τη συναίνεση·</w:t>
      </w:r>
    </w:p>
    <w:p w14:paraId="1FE7CB18" w14:textId="77777777" w:rsidR="004216E6" w:rsidRPr="00891E7E" w:rsidRDefault="001758B4" w:rsidP="004216E6">
      <w:pPr>
        <w:pStyle w:val="NormalHanging12a"/>
        <w:ind w:firstLine="0"/>
      </w:pPr>
      <w:r w:rsidRPr="00891E7E">
        <w:t>θ)</w:t>
      </w:r>
      <w:r w:rsidRPr="00891E7E">
        <w:tab/>
      </w:r>
      <w:r w:rsidRPr="00891E7E">
        <w:tab/>
        <w:t>να προωθήσει την εκπροσώπηση των γυναικών στο δικαστικό σώμα και στα διοικητικά του όργανα με σκοπό την άρση των διαρθρωτικών φραγμών που διαιωνίζονται από ένα πατριαρχικό και ανδροκεντρικό σύστημα απονομής δικαιοσύνης·</w:t>
      </w:r>
    </w:p>
    <w:p w14:paraId="1A6707E6" w14:textId="77777777" w:rsidR="004216E6" w:rsidRPr="00891E7E" w:rsidRDefault="001758B4" w:rsidP="004216E6">
      <w:pPr>
        <w:pStyle w:val="NormalHanging12a"/>
      </w:pPr>
      <w:r w:rsidRPr="00891E7E">
        <w:t>2.</w:t>
      </w:r>
      <w:r w:rsidRPr="00891E7E">
        <w:tab/>
        <w:t>αναθέτει στην Πρόεδρό του να διαβιβάσει την παρούσα σύσταση στο Συμβούλιο, στην Επιτροπή και στην Αντιπρόεδρο της Επιτροπής/Ύπατη Εκπρόσωπο της Ένωσης για Θέματα Εξωτερικής Πολιτικής και Πολιτικής Ασφαλείας, καθώς και, προς ενημέρωση, στον Ειδική Εντεταλμένη της Ευρωπαϊκής Ένωσης για τα ανθρώπινα δικαιώματα.</w:t>
      </w:r>
    </w:p>
    <w:p w14:paraId="7DA6D486" w14:textId="77777777" w:rsidR="00902C4B" w:rsidRPr="00891E7E" w:rsidRDefault="00902C4B" w:rsidP="00FD4651">
      <w:pPr>
        <w:sectPr w:rsidR="00902C4B" w:rsidRPr="00891E7E" w:rsidSect="00891E7E">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14:paraId="04340DF2" w14:textId="77777777" w:rsidR="00902C4B" w:rsidRPr="00891E7E" w:rsidRDefault="001758B4" w:rsidP="00902C4B">
      <w:pPr>
        <w:pStyle w:val="PageHeading"/>
      </w:pPr>
      <w:bookmarkStart w:id="1" w:name="_Toc214610340"/>
      <w:r w:rsidRPr="00891E7E">
        <w:lastRenderedPageBreak/>
        <w:t>ΑΙΤΙΟΛΟΓΙΚΗ ΕΚΘΕΣΗ</w:t>
      </w:r>
      <w:bookmarkEnd w:id="1"/>
    </w:p>
    <w:p w14:paraId="5C07BABB" w14:textId="77777777" w:rsidR="00390253" w:rsidRPr="00891E7E" w:rsidRDefault="001758B4" w:rsidP="00390253">
      <w:r w:rsidRPr="00891E7E">
        <w:t>Η ισότητα μεταξύ γυναικών και ανδρών αποτελεί θεμελιώδη αρχή της Ευρωπαϊκής Ένωσης. Η συνεκτίμηση της διάστασης του φύλου και μια διατομεακή προσέγγιση πρέπει να εφαρμόζονται και να ενσωματώνονται σε όλες τις πολιτικές της ΕΕ, διασφαλίζοντας τη συνοχή μεταξύ εσωτερικής και εξωτερικής δράσης για την προώθηση των ανθρωπίνων δικαιωμάτων, της δημοκρατίας και της ισότητας των φύλων παγκοσμίως. Τα ανθρώπινα δικαιώματα των γυναικών και η ισότητα των φύλων δεν είναι μόνο θεμελιώδη δικαιώματα, αλλά και προϋπόθεση γι</w:t>
      </w:r>
      <w:r w:rsidRPr="00891E7E">
        <w:t>α την ανάπτυξη, τη μείωση της φτώχειας και την οικοδόμηση ειρηνικών, βιώσιμων κοινωνιών με ευημερία.</w:t>
      </w:r>
    </w:p>
    <w:p w14:paraId="2F936C28" w14:textId="77777777" w:rsidR="00390253" w:rsidRPr="00891E7E" w:rsidRDefault="00390253" w:rsidP="00390253"/>
    <w:p w14:paraId="45A8F44D" w14:textId="77777777" w:rsidR="00390253" w:rsidRPr="00891E7E" w:rsidRDefault="001758B4" w:rsidP="00390253">
      <w:r w:rsidRPr="00891E7E">
        <w:t xml:space="preserve">Η πρόσβαση στη δικαιοσύνη, η οποία </w:t>
      </w:r>
      <w:r w:rsidRPr="00891E7E">
        <w:t>κατοχυρώνεται στο διεθνές δίκαιο και στο άρθρο 47 του Χάρτη των Θεμελιωδών Δικαιωμάτων της Ευρωπαϊκής Ένωσης, είναι καίριας σημασίας για το κράτος δικαίου και τη δημοκρατία. Ωστόσο, η πρόσβαση των γυναικών στη δικαιοσύνη εξακολουθεί να αποτελεί σύνθετο και κρίσιμο ζήτημα σε όλες τις περιφέρειες· Οι γυναίκες εξακολουθούν να υποεκπροσωπούνται σημαντικά στα υψηλότερα επίπεδα των δικαστικών και εισαγγελικών αρχών, ιδίως σε ηγετικές θέσεις, όπως πρόεδροι δικαστηρίων, ανώτατοι δικαστές και εισαγγελείς. Παράλληλα,</w:t>
      </w:r>
      <w:r w:rsidRPr="00891E7E">
        <w:t xml:space="preserve"> δικαστικά στερεότυπα και κυρίαρχες νόρμες σε σχέση με θέματα φύλου παρεμποδίζουν την απονομή δικαιοσύνης για τις γυναίκες που είναι θύματα και επιζήσασες βίας.</w:t>
      </w:r>
    </w:p>
    <w:p w14:paraId="7DB10988" w14:textId="77777777" w:rsidR="00390253" w:rsidRPr="00891E7E" w:rsidRDefault="00390253" w:rsidP="00390253"/>
    <w:p w14:paraId="0BC7A543" w14:textId="77777777" w:rsidR="00390253" w:rsidRPr="00891E7E" w:rsidRDefault="001758B4" w:rsidP="00390253">
      <w:r w:rsidRPr="00891E7E">
        <w:t>Τα Ηνωμένα Έθνη προωθούν τη μεγαλύτερη συμμετοχή των γυναικών στον τομέα της απονομής δικαιοσύνης και τα στοιχεία δείχνουν ότι η αυξημένη εκπροσώπηση των γυναικών στους δικαστικούς θεσμούς προωθεί προσεγγίσεις όσον αφορά τη δικαιοσύνη με περισσότερη εστίαση στα θύματα. Αυτό είναι ιδιαίτερα σημαντικό όσον αφορά την αντιμετώπιση της βίας κατά των γυναικών και της ενδοοικογενειακής βίας, που συνιστούν παραβιάσεις των θεμελιωδών δικαιωμάτων· Τα νομικά συστήματα πρέπει να ανταποκρίνονται στις ανάγκες των θυμάτων</w:t>
      </w:r>
      <w:r w:rsidRPr="00891E7E">
        <w:t xml:space="preserve"> εξασφαλίζοντας επαρκή προστασία και μέσα έννομης προστασίας, ωστόσο πολλές γυναίκες εξακολουθούν να αντιμετωπίζουν σημαντικά εμπόδια όσον αφορά την καταγγελία κακοποίησης και την πρόσβαση σε νομική υποστήριξη. Η εμπειρία που αποκομίζουν πολλές γυναίκες και κορίτσια, ιδίως εκείνες που αντιμετωπίζουν πολλαπλές και διατομεακές μορφές διακρίσεων, σε σχέση με το σύστημα απονομής δικαιοσύνης είναι ότι το σύστημα αυτό στερείται ευαισθησίας όσον αφορά την πραγματικότητα που αντιμετωπίζουν οι ευάλωτες ομάδες.</w:t>
      </w:r>
    </w:p>
    <w:p w14:paraId="051BC2C0" w14:textId="77777777" w:rsidR="00390253" w:rsidRPr="00891E7E" w:rsidRDefault="00390253" w:rsidP="00390253"/>
    <w:p w14:paraId="150AF733" w14:textId="77777777" w:rsidR="00390253" w:rsidRPr="00891E7E" w:rsidRDefault="001758B4" w:rsidP="00390253">
      <w:r w:rsidRPr="00891E7E">
        <w:t>Η παρούσα σύσταση καλεί το Συμβούλιο να επαναβεβαιώσει τη δέσμευση της ΕΕ για την ισότητα των φύλων και να διασφαλίσει ότι τα δικαιώματα των γυναικών εφαρμόζονται πλήρως σε όλες τις πτυχές της εξωτερικής δράσης της ΕΕ μέσω μιας συμπεριληπτικής, διατομεακής και επαρκώς χρηματοδοτούμενης προσέγγισης. Τονίζει επίσης ότι είναι αναγκαίο να διασφαλιστεί η πλήρης συμμετοχή του Κοινοβουλίου και της Επιτροπής Δικαιωμάτων των Γυναικών και Ισότητας των Φύλων του Κοινοβουλίου στην εκπόνηση της θέσης της ΕΕ κατά την 70ή</w:t>
      </w:r>
      <w:r w:rsidRPr="00891E7E">
        <w:t xml:space="preserve"> σύνοδο της Επιτροπής του ΟΗΕ για τη Θέση της Γυναίκας.</w:t>
      </w:r>
    </w:p>
    <w:p w14:paraId="60BA22E3" w14:textId="77777777" w:rsidR="00390253" w:rsidRPr="00891E7E" w:rsidRDefault="00390253" w:rsidP="00390253"/>
    <w:p w14:paraId="5FD9439E" w14:textId="77777777" w:rsidR="00390253" w:rsidRPr="00891E7E" w:rsidRDefault="001758B4" w:rsidP="00390253">
      <w:r w:rsidRPr="00891E7E">
        <w:t xml:space="preserve">Η σύσταση περιλαμβάνει επίσης δέσμευση για παροχή ισχυρής στήριξης προς τη Μονάδα του ΟΗΕ για την ισότητα των φύλων και τη χειραφέτηση των γυναικών, δεδομένου ότι πρόκειται για κομβικό φορέα στο πλαίσιο του συστήματος των Ηνωμένων Εθνών για την προώθηση των δικαιωμάτων των γυναικών, και καλεί όλα τα κράτη μέλη των Ηνωμένων Εθνών να παράσχουν, από κοινού με την ΕΕ, επαρκή χρηματοδότηση. Υπογραμμίζει τη σημασία φιλόδοξων και συμπληρωματικών ευρωπαϊκών και διεθνών μέσων, με ισχυρές </w:t>
      </w:r>
      <w:r w:rsidRPr="00891E7E">
        <w:lastRenderedPageBreak/>
        <w:t>διατάξεις για τη διασφάλιση της χειραφέτησης των γυναικών και της πρόσβασης στη δικαιοσύνη, συμπεριλαμβανομένων της πρόσβασης σε νομική συνδρομή και της εξέτασης ειδικών δικαστηρίων για την έμφυλη βία. Η προστασία των δικαιωμάτων των γυναικών μέσω αποτελεσματικών συστημάτων απονομής δικαιοσύνης χαράσσει την πορεία προς δικαιότερες κοινωνίες, σύμφωνα με την αποτελεσματική εφαρμογή της Ατζέντας του 2030 για τη Βιώσιμη Ανάπτυξη (ΣΒΑ 16).</w:t>
      </w:r>
    </w:p>
    <w:p w14:paraId="2D03E67B" w14:textId="77777777" w:rsidR="00390253" w:rsidRPr="00891E7E" w:rsidRDefault="00390253" w:rsidP="00390253"/>
    <w:p w14:paraId="09ADCD9C" w14:textId="77777777" w:rsidR="00390253" w:rsidRPr="00891E7E" w:rsidRDefault="001758B4" w:rsidP="00390253">
      <w:r w:rsidRPr="00891E7E">
        <w:t>Τέλος, η σύσταση τονίζει ότι είναι αναγκαίο να ενσωματωθεί η διάσταση του φύλου και να συνεκτιμηθεί η ισότητα των φύλων στον προϋπολογισμό σε σχέση με όλους τους τομείς πολιτικής της ΕΕ, να επισπευσθεί η ανάληψη διεθνών δεσμεύσεων για την πρόληψη κάθε μορφής βίας κατά των γυναικών και των κοριτσιών, και να προωθηθεί η ίση εκπροσώπηση των γυναικών στο δικαστικό σώμα. Τα δικαιώματα των γυναικών και η ισότητα των φύλων είναι ουσιαστικής σημασίας για το κράτος δικαίου, τις ανθεκτικές δημοκρατίες και τις βασικές</w:t>
      </w:r>
      <w:r w:rsidRPr="00891E7E">
        <w:t xml:space="preserve"> αξίες της ΕΕ, και η Ένωση πρέπει να αναλάβει ηγετικό ρόλο ώστε να διασφαλίσει ότι τα δικαιώματα αυτά κατοχυρώνονται έμπρακτα. Η πρόσβαση στη δικαιοσύνη για όλους είναι καίριας σημασίας για δίκαιες και συμπεριληπτικές κοινωνίες και προϋπόθεση για ουσιαστική ισότητα των φύλων και ανθρώπινα δικαιώματα.</w:t>
      </w:r>
    </w:p>
    <w:sectPr w:rsidR="00390253" w:rsidRPr="00891E7E" w:rsidSect="008F067F">
      <w:footnotePr>
        <w:numRestart w:val="eachSect"/>
      </w:footnotePr>
      <w:endnotePr>
        <w:numFmt w:val="decimal"/>
      </w:endnotePr>
      <w:pgSz w:w="11906" w:h="16838" w:code="9"/>
      <w:pgMar w:top="1134" w:right="1418" w:bottom="1418" w:left="1418" w:header="1134" w:footer="567"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37292" w14:textId="77777777" w:rsidR="001758B4" w:rsidRPr="00891E7E" w:rsidRDefault="001758B4">
      <w:r w:rsidRPr="00891E7E">
        <w:separator/>
      </w:r>
    </w:p>
  </w:endnote>
  <w:endnote w:type="continuationSeparator" w:id="0">
    <w:p w14:paraId="5E6273E9" w14:textId="77777777" w:rsidR="001758B4" w:rsidRPr="00891E7E" w:rsidRDefault="001758B4">
      <w:r w:rsidRPr="00891E7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DokChampa">
    <w:altName w:val="Leelawadee UI"/>
    <w:charset w:val="DE"/>
    <w:family w:val="swiss"/>
    <w:pitch w:val="variable"/>
    <w:sig w:usb0="83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1730D" w14:textId="77777777" w:rsidR="00891E7E" w:rsidRPr="00891E7E" w:rsidRDefault="00891E7E" w:rsidP="00891E7E">
    <w:pPr>
      <w:pStyle w:val="EPFooter"/>
    </w:pPr>
    <w:r w:rsidRPr="00891E7E">
      <w:t>PE</w:t>
    </w:r>
    <w:r w:rsidRPr="00891E7E">
      <w:rPr>
        <w:rStyle w:val="HideTWBExt"/>
      </w:rPr>
      <w:t>&lt;NoPE&gt;</w:t>
    </w:r>
    <w:r w:rsidRPr="00891E7E">
      <w:t>776.895</w:t>
    </w:r>
    <w:r w:rsidRPr="00891E7E">
      <w:rPr>
        <w:rStyle w:val="HideTWBExt"/>
      </w:rPr>
      <w:t>&lt;/NoPE&gt;&lt;Version&gt;</w:t>
    </w:r>
    <w:r w:rsidRPr="00891E7E">
      <w:t>v02-00</w:t>
    </w:r>
    <w:r w:rsidRPr="00891E7E">
      <w:rPr>
        <w:rStyle w:val="HideTWBExt"/>
      </w:rPr>
      <w:t>&lt;/Version&gt;</w:t>
    </w:r>
    <w:r w:rsidRPr="00891E7E">
      <w:tab/>
    </w:r>
    <w:r w:rsidRPr="00891E7E">
      <w:fldChar w:fldCharType="begin"/>
    </w:r>
    <w:r w:rsidRPr="00891E7E">
      <w:instrText xml:space="preserve"> PAGE  \* MERGEFORMAT </w:instrText>
    </w:r>
    <w:r w:rsidRPr="00891E7E">
      <w:fldChar w:fldCharType="separate"/>
    </w:r>
    <w:r w:rsidRPr="00891E7E">
      <w:rPr>
        <w:noProof/>
      </w:rPr>
      <w:t>1</w:t>
    </w:r>
    <w:r w:rsidRPr="00891E7E">
      <w:fldChar w:fldCharType="end"/>
    </w:r>
    <w:r w:rsidRPr="00891E7E">
      <w:t>/</w:t>
    </w:r>
    <w:fldSimple w:instr=" NUMPAGES  \* MERGEFORMAT ">
      <w:r w:rsidRPr="00891E7E">
        <w:rPr>
          <w:noProof/>
        </w:rPr>
        <w:t>1</w:t>
      </w:r>
    </w:fldSimple>
    <w:r w:rsidRPr="00891E7E">
      <w:tab/>
    </w:r>
    <w:r w:rsidRPr="00891E7E">
      <w:rPr>
        <w:rStyle w:val="HideTWBExt"/>
      </w:rPr>
      <w:t>&lt;PathFdR&gt;</w:t>
    </w:r>
    <w:r w:rsidRPr="00891E7E">
      <w:t>PR\1332470EL.docx</w:t>
    </w:r>
    <w:r w:rsidRPr="00891E7E">
      <w:rPr>
        <w:rStyle w:val="HideTWBExt"/>
      </w:rPr>
      <w:t>&lt;/PathFdR&gt;</w:t>
    </w:r>
  </w:p>
  <w:p w14:paraId="6BDD8B18" w14:textId="5BCF61D5" w:rsidR="00144AD8" w:rsidRPr="00891E7E" w:rsidRDefault="00891E7E" w:rsidP="00891E7E">
    <w:pPr>
      <w:pStyle w:val="EPFooter2"/>
    </w:pPr>
    <w:r w:rsidRPr="00891E7E">
      <w:t>EL</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FC085" w14:textId="77777777" w:rsidR="00891E7E" w:rsidRPr="00891E7E" w:rsidRDefault="00891E7E" w:rsidP="00891E7E">
    <w:pPr>
      <w:pStyle w:val="EPFooter"/>
    </w:pPr>
    <w:r w:rsidRPr="00891E7E">
      <w:rPr>
        <w:rStyle w:val="HideTWBExt"/>
      </w:rPr>
      <w:t>&lt;PathFdR&gt;</w:t>
    </w:r>
    <w:r w:rsidRPr="00891E7E">
      <w:t>PR\1332470EL.docx</w:t>
    </w:r>
    <w:r w:rsidRPr="00891E7E">
      <w:rPr>
        <w:rStyle w:val="HideTWBExt"/>
      </w:rPr>
      <w:t>&lt;/PathFdR&gt;</w:t>
    </w:r>
    <w:r w:rsidRPr="00891E7E">
      <w:tab/>
    </w:r>
    <w:r w:rsidRPr="00891E7E">
      <w:fldChar w:fldCharType="begin"/>
    </w:r>
    <w:r w:rsidRPr="00891E7E">
      <w:instrText xml:space="preserve"> PAGE  \* MERGEFORMAT </w:instrText>
    </w:r>
    <w:r w:rsidRPr="00891E7E">
      <w:fldChar w:fldCharType="separate"/>
    </w:r>
    <w:r w:rsidRPr="00891E7E">
      <w:rPr>
        <w:noProof/>
      </w:rPr>
      <w:t>1</w:t>
    </w:r>
    <w:r w:rsidRPr="00891E7E">
      <w:fldChar w:fldCharType="end"/>
    </w:r>
    <w:r w:rsidRPr="00891E7E">
      <w:t>/</w:t>
    </w:r>
    <w:fldSimple w:instr=" NUMPAGES  \* MERGEFORMAT ">
      <w:r w:rsidRPr="00891E7E">
        <w:rPr>
          <w:noProof/>
        </w:rPr>
        <w:t>1</w:t>
      </w:r>
    </w:fldSimple>
    <w:r w:rsidRPr="00891E7E">
      <w:tab/>
      <w:t>PE</w:t>
    </w:r>
    <w:r w:rsidRPr="00891E7E">
      <w:rPr>
        <w:rStyle w:val="HideTWBExt"/>
      </w:rPr>
      <w:t>&lt;NoPE&gt;</w:t>
    </w:r>
    <w:r w:rsidRPr="00891E7E">
      <w:t>776.895</w:t>
    </w:r>
    <w:r w:rsidRPr="00891E7E">
      <w:rPr>
        <w:rStyle w:val="HideTWBExt"/>
      </w:rPr>
      <w:t>&lt;/NoPE&gt;&lt;Version&gt;</w:t>
    </w:r>
    <w:r w:rsidRPr="00891E7E">
      <w:t>v02-00</w:t>
    </w:r>
    <w:r w:rsidRPr="00891E7E">
      <w:rPr>
        <w:rStyle w:val="HideTWBExt"/>
      </w:rPr>
      <w:t>&lt;/Version&gt;</w:t>
    </w:r>
  </w:p>
  <w:p w14:paraId="12EA03B2" w14:textId="1BDF0215" w:rsidR="00144AD8" w:rsidRPr="00891E7E" w:rsidRDefault="00891E7E" w:rsidP="00891E7E">
    <w:pPr>
      <w:pStyle w:val="EPFooter2"/>
    </w:pPr>
    <w:r w:rsidRPr="00891E7E">
      <w:tab/>
    </w:r>
    <w:r w:rsidRPr="00891E7E">
      <w:tab/>
      <w:t>EL</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4D251" w14:textId="77777777" w:rsidR="00891E7E" w:rsidRPr="00891E7E" w:rsidRDefault="00891E7E" w:rsidP="00891E7E">
    <w:pPr>
      <w:pStyle w:val="EPFooter"/>
    </w:pPr>
    <w:r w:rsidRPr="00891E7E">
      <w:rPr>
        <w:rStyle w:val="HideTWBExt"/>
      </w:rPr>
      <w:t>&lt;PathFdR&gt;</w:t>
    </w:r>
    <w:r w:rsidRPr="00891E7E">
      <w:t>PR\1332470EL.docx</w:t>
    </w:r>
    <w:r w:rsidRPr="00891E7E">
      <w:rPr>
        <w:rStyle w:val="HideTWBExt"/>
      </w:rPr>
      <w:t>&lt;/PathFdR&gt;</w:t>
    </w:r>
    <w:r w:rsidRPr="00891E7E">
      <w:tab/>
    </w:r>
    <w:r w:rsidRPr="00891E7E">
      <w:tab/>
      <w:t>PE</w:t>
    </w:r>
    <w:r w:rsidRPr="00891E7E">
      <w:rPr>
        <w:rStyle w:val="HideTWBExt"/>
      </w:rPr>
      <w:t>&lt;NoPE&gt;</w:t>
    </w:r>
    <w:r w:rsidRPr="00891E7E">
      <w:t>776.895</w:t>
    </w:r>
    <w:r w:rsidRPr="00891E7E">
      <w:rPr>
        <w:rStyle w:val="HideTWBExt"/>
      </w:rPr>
      <w:t>&lt;/NoPE&gt;&lt;Version&gt;</w:t>
    </w:r>
    <w:r w:rsidRPr="00891E7E">
      <w:t>v02-00</w:t>
    </w:r>
    <w:r w:rsidRPr="00891E7E">
      <w:rPr>
        <w:rStyle w:val="HideTWBExt"/>
      </w:rPr>
      <w:t>&lt;/Version&gt;</w:t>
    </w:r>
  </w:p>
  <w:p w14:paraId="3AFA3439" w14:textId="7212135F" w:rsidR="00144AD8" w:rsidRPr="00891E7E" w:rsidRDefault="00891E7E" w:rsidP="00891E7E">
    <w:pPr>
      <w:pStyle w:val="EPFooter2"/>
    </w:pPr>
    <w:r w:rsidRPr="00891E7E">
      <w:t>EL</w:t>
    </w:r>
    <w:r w:rsidRPr="00891E7E">
      <w:tab/>
    </w:r>
    <w:r w:rsidRPr="00891E7E">
      <w:rPr>
        <w:b w:val="0"/>
        <w:i/>
        <w:color w:val="C0C0C0"/>
        <w:sz w:val="22"/>
      </w:rPr>
      <w:t>Ενωμένη στην πολυμορφία</w:t>
    </w:r>
    <w:r w:rsidRPr="00891E7E">
      <w:tab/>
      <w:t>EL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91FEEE" w14:textId="77777777" w:rsidR="00D3400F" w:rsidRPr="00891E7E" w:rsidRDefault="001758B4">
      <w:r w:rsidRPr="00891E7E">
        <w:separator/>
      </w:r>
    </w:p>
  </w:footnote>
  <w:footnote w:type="continuationSeparator" w:id="0">
    <w:p w14:paraId="67AB295B" w14:textId="77777777" w:rsidR="00D3400F" w:rsidRPr="00891E7E" w:rsidRDefault="001758B4">
      <w:r w:rsidRPr="00891E7E">
        <w:continuationSeparator/>
      </w:r>
    </w:p>
  </w:footnote>
  <w:footnote w:id="1">
    <w:p w14:paraId="2C5B544A" w14:textId="77777777" w:rsidR="00F92A4A" w:rsidRPr="00891E7E" w:rsidRDefault="001758B4">
      <w:pPr>
        <w:pStyle w:val="FootnoteText"/>
      </w:pPr>
      <w:r w:rsidRPr="00891E7E">
        <w:rPr>
          <w:rStyle w:val="FootnoteReference"/>
        </w:rPr>
        <w:footnoteRef/>
      </w:r>
      <w:r w:rsidRPr="00891E7E">
        <w:t xml:space="preserve"> EE L 315 της 14.11.2012, σ. 57, ELI: </w:t>
      </w:r>
      <w:hyperlink r:id="rId1" w:tooltip="Επιτρέπει πρόσβαση στο έγγραφο μέσω του ELI URI." w:history="1">
        <w:r w:rsidRPr="00891E7E">
          <w:rPr>
            <w:rStyle w:val="Hyperlink"/>
          </w:rPr>
          <w:t>http://data.europa.eu/eli/dir/2012/29/oj</w:t>
        </w:r>
      </w:hyperlink>
      <w:r w:rsidRPr="00891E7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905A8" w14:textId="77777777" w:rsidR="001758B4" w:rsidRDefault="001758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90D657" w14:textId="77777777" w:rsidR="001758B4" w:rsidRDefault="001758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38A342" w14:textId="77777777" w:rsidR="001758B4" w:rsidRDefault="001758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D90B9F"/>
    <w:multiLevelType w:val="hybridMultilevel"/>
    <w:tmpl w:val="2D185E42"/>
    <w:lvl w:ilvl="0" w:tplc="F72AA2E6">
      <w:start w:val="1"/>
      <w:numFmt w:val="upperLetter"/>
      <w:lvlText w:val="%1."/>
      <w:lvlJc w:val="left"/>
      <w:pPr>
        <w:ind w:left="720" w:hanging="360"/>
      </w:pPr>
    </w:lvl>
    <w:lvl w:ilvl="1" w:tplc="CED68CFA">
      <w:start w:val="1"/>
      <w:numFmt w:val="lowerLetter"/>
      <w:lvlText w:val="%2."/>
      <w:lvlJc w:val="left"/>
      <w:pPr>
        <w:ind w:left="1440" w:hanging="360"/>
      </w:pPr>
    </w:lvl>
    <w:lvl w:ilvl="2" w:tplc="B49C4550">
      <w:start w:val="1"/>
      <w:numFmt w:val="lowerRoman"/>
      <w:lvlText w:val="%3."/>
      <w:lvlJc w:val="right"/>
      <w:pPr>
        <w:ind w:left="2160" w:hanging="180"/>
      </w:pPr>
    </w:lvl>
    <w:lvl w:ilvl="3" w:tplc="8AC29EA0">
      <w:start w:val="1"/>
      <w:numFmt w:val="decimal"/>
      <w:lvlText w:val="%4."/>
      <w:lvlJc w:val="left"/>
      <w:pPr>
        <w:ind w:left="2880" w:hanging="360"/>
      </w:pPr>
    </w:lvl>
    <w:lvl w:ilvl="4" w:tplc="D74C369A">
      <w:start w:val="1"/>
      <w:numFmt w:val="lowerLetter"/>
      <w:lvlText w:val="%5."/>
      <w:lvlJc w:val="left"/>
      <w:pPr>
        <w:ind w:left="3600" w:hanging="360"/>
      </w:pPr>
    </w:lvl>
    <w:lvl w:ilvl="5" w:tplc="3E6AF694">
      <w:start w:val="1"/>
      <w:numFmt w:val="lowerRoman"/>
      <w:lvlText w:val="%6."/>
      <w:lvlJc w:val="right"/>
      <w:pPr>
        <w:ind w:left="4320" w:hanging="180"/>
      </w:pPr>
    </w:lvl>
    <w:lvl w:ilvl="6" w:tplc="488ECC18">
      <w:start w:val="1"/>
      <w:numFmt w:val="decimal"/>
      <w:lvlText w:val="%7."/>
      <w:lvlJc w:val="left"/>
      <w:pPr>
        <w:ind w:left="5040" w:hanging="360"/>
      </w:pPr>
    </w:lvl>
    <w:lvl w:ilvl="7" w:tplc="519C2E8C">
      <w:start w:val="1"/>
      <w:numFmt w:val="lowerLetter"/>
      <w:lvlText w:val="%8."/>
      <w:lvlJc w:val="left"/>
      <w:pPr>
        <w:ind w:left="5760" w:hanging="360"/>
      </w:pPr>
    </w:lvl>
    <w:lvl w:ilvl="8" w:tplc="15640C82">
      <w:start w:val="1"/>
      <w:numFmt w:val="lowerRoman"/>
      <w:lvlText w:val="%9."/>
      <w:lvlJc w:val="right"/>
      <w:pPr>
        <w:ind w:left="6480" w:hanging="180"/>
      </w:pPr>
    </w:lvl>
  </w:abstractNum>
  <w:abstractNum w:abstractNumId="11" w15:restartNumberingAfterBreak="0">
    <w:nsid w:val="0DDF5FFC"/>
    <w:multiLevelType w:val="hybridMultilevel"/>
    <w:tmpl w:val="3ED85424"/>
    <w:lvl w:ilvl="0" w:tplc="10E80232">
      <w:start w:val="1"/>
      <w:numFmt w:val="bullet"/>
      <w:lvlText w:val="–"/>
      <w:lvlJc w:val="left"/>
      <w:pPr>
        <w:ind w:left="720" w:hanging="360"/>
      </w:pPr>
      <w:rPr>
        <w:rFonts w:ascii="Times New Roman" w:eastAsia="Times New Roman" w:hAnsi="Times New Roman" w:cs="Times New Roman" w:hint="default"/>
        <w:sz w:val="24"/>
      </w:rPr>
    </w:lvl>
    <w:lvl w:ilvl="1" w:tplc="B7D28544" w:tentative="1">
      <w:start w:val="1"/>
      <w:numFmt w:val="bullet"/>
      <w:lvlText w:val="o"/>
      <w:lvlJc w:val="left"/>
      <w:pPr>
        <w:ind w:left="1440" w:hanging="360"/>
      </w:pPr>
      <w:rPr>
        <w:rFonts w:ascii="Courier New" w:hAnsi="Courier New" w:cs="Courier New" w:hint="default"/>
      </w:rPr>
    </w:lvl>
    <w:lvl w:ilvl="2" w:tplc="EB98BF1A" w:tentative="1">
      <w:start w:val="1"/>
      <w:numFmt w:val="bullet"/>
      <w:lvlText w:val=""/>
      <w:lvlJc w:val="left"/>
      <w:pPr>
        <w:ind w:left="2160" w:hanging="360"/>
      </w:pPr>
      <w:rPr>
        <w:rFonts w:ascii="Wingdings" w:hAnsi="Wingdings" w:hint="default"/>
      </w:rPr>
    </w:lvl>
    <w:lvl w:ilvl="3" w:tplc="B970A166" w:tentative="1">
      <w:start w:val="1"/>
      <w:numFmt w:val="bullet"/>
      <w:lvlText w:val=""/>
      <w:lvlJc w:val="left"/>
      <w:pPr>
        <w:ind w:left="2880" w:hanging="360"/>
      </w:pPr>
      <w:rPr>
        <w:rFonts w:ascii="Symbol" w:hAnsi="Symbol" w:hint="default"/>
      </w:rPr>
    </w:lvl>
    <w:lvl w:ilvl="4" w:tplc="501CCF56" w:tentative="1">
      <w:start w:val="1"/>
      <w:numFmt w:val="bullet"/>
      <w:lvlText w:val="o"/>
      <w:lvlJc w:val="left"/>
      <w:pPr>
        <w:ind w:left="3600" w:hanging="360"/>
      </w:pPr>
      <w:rPr>
        <w:rFonts w:ascii="Courier New" w:hAnsi="Courier New" w:cs="Courier New" w:hint="default"/>
      </w:rPr>
    </w:lvl>
    <w:lvl w:ilvl="5" w:tplc="B490AD1C" w:tentative="1">
      <w:start w:val="1"/>
      <w:numFmt w:val="bullet"/>
      <w:lvlText w:val=""/>
      <w:lvlJc w:val="left"/>
      <w:pPr>
        <w:ind w:left="4320" w:hanging="360"/>
      </w:pPr>
      <w:rPr>
        <w:rFonts w:ascii="Wingdings" w:hAnsi="Wingdings" w:hint="default"/>
      </w:rPr>
    </w:lvl>
    <w:lvl w:ilvl="6" w:tplc="8CDA0F82" w:tentative="1">
      <w:start w:val="1"/>
      <w:numFmt w:val="bullet"/>
      <w:lvlText w:val=""/>
      <w:lvlJc w:val="left"/>
      <w:pPr>
        <w:ind w:left="5040" w:hanging="360"/>
      </w:pPr>
      <w:rPr>
        <w:rFonts w:ascii="Symbol" w:hAnsi="Symbol" w:hint="default"/>
      </w:rPr>
    </w:lvl>
    <w:lvl w:ilvl="7" w:tplc="3656FEFE" w:tentative="1">
      <w:start w:val="1"/>
      <w:numFmt w:val="bullet"/>
      <w:lvlText w:val="o"/>
      <w:lvlJc w:val="left"/>
      <w:pPr>
        <w:ind w:left="5760" w:hanging="360"/>
      </w:pPr>
      <w:rPr>
        <w:rFonts w:ascii="Courier New" w:hAnsi="Courier New" w:cs="Courier New" w:hint="default"/>
      </w:rPr>
    </w:lvl>
    <w:lvl w:ilvl="8" w:tplc="DF5C8A26" w:tentative="1">
      <w:start w:val="1"/>
      <w:numFmt w:val="bullet"/>
      <w:lvlText w:val=""/>
      <w:lvlJc w:val="left"/>
      <w:pPr>
        <w:ind w:left="6480" w:hanging="360"/>
      </w:pPr>
      <w:rPr>
        <w:rFonts w:ascii="Wingdings" w:hAnsi="Wingdings" w:hint="default"/>
      </w:rPr>
    </w:lvl>
  </w:abstractNum>
  <w:abstractNum w:abstractNumId="12" w15:restartNumberingAfterBreak="0">
    <w:nsid w:val="28B733C1"/>
    <w:multiLevelType w:val="hybridMultilevel"/>
    <w:tmpl w:val="82A8040E"/>
    <w:lvl w:ilvl="0" w:tplc="2F6CB02A">
      <w:start w:val="2"/>
      <w:numFmt w:val="bullet"/>
      <w:lvlText w:val="-"/>
      <w:lvlJc w:val="left"/>
      <w:pPr>
        <w:ind w:left="720" w:hanging="360"/>
      </w:pPr>
      <w:rPr>
        <w:rFonts w:ascii="Times New Roman" w:eastAsia="Times New Roman" w:hAnsi="Times New Roman" w:cs="Times New Roman" w:hint="default"/>
      </w:rPr>
    </w:lvl>
    <w:lvl w:ilvl="1" w:tplc="ECBEC168">
      <w:start w:val="1"/>
      <w:numFmt w:val="bullet"/>
      <w:lvlText w:val="o"/>
      <w:lvlJc w:val="left"/>
      <w:pPr>
        <w:ind w:left="1440" w:hanging="360"/>
      </w:pPr>
      <w:rPr>
        <w:rFonts w:ascii="Courier New" w:hAnsi="Courier New" w:cs="Courier New" w:hint="default"/>
      </w:rPr>
    </w:lvl>
    <w:lvl w:ilvl="2" w:tplc="2E24AA62">
      <w:start w:val="1"/>
      <w:numFmt w:val="bullet"/>
      <w:lvlText w:val=""/>
      <w:lvlJc w:val="left"/>
      <w:pPr>
        <w:ind w:left="2160" w:hanging="360"/>
      </w:pPr>
      <w:rPr>
        <w:rFonts w:ascii="Wingdings" w:hAnsi="Wingdings" w:hint="default"/>
      </w:rPr>
    </w:lvl>
    <w:lvl w:ilvl="3" w:tplc="00841706">
      <w:start w:val="1"/>
      <w:numFmt w:val="bullet"/>
      <w:lvlText w:val=""/>
      <w:lvlJc w:val="left"/>
      <w:pPr>
        <w:ind w:left="2880" w:hanging="360"/>
      </w:pPr>
      <w:rPr>
        <w:rFonts w:ascii="Symbol" w:hAnsi="Symbol" w:hint="default"/>
      </w:rPr>
    </w:lvl>
    <w:lvl w:ilvl="4" w:tplc="8594F8C4">
      <w:start w:val="1"/>
      <w:numFmt w:val="bullet"/>
      <w:lvlText w:val="o"/>
      <w:lvlJc w:val="left"/>
      <w:pPr>
        <w:ind w:left="3600" w:hanging="360"/>
      </w:pPr>
      <w:rPr>
        <w:rFonts w:ascii="Courier New" w:hAnsi="Courier New" w:cs="Courier New" w:hint="default"/>
      </w:rPr>
    </w:lvl>
    <w:lvl w:ilvl="5" w:tplc="25C2E342">
      <w:start w:val="1"/>
      <w:numFmt w:val="bullet"/>
      <w:lvlText w:val=""/>
      <w:lvlJc w:val="left"/>
      <w:pPr>
        <w:ind w:left="4320" w:hanging="360"/>
      </w:pPr>
      <w:rPr>
        <w:rFonts w:ascii="Wingdings" w:hAnsi="Wingdings" w:hint="default"/>
      </w:rPr>
    </w:lvl>
    <w:lvl w:ilvl="6" w:tplc="066E0954">
      <w:start w:val="1"/>
      <w:numFmt w:val="bullet"/>
      <w:lvlText w:val=""/>
      <w:lvlJc w:val="left"/>
      <w:pPr>
        <w:ind w:left="5040" w:hanging="360"/>
      </w:pPr>
      <w:rPr>
        <w:rFonts w:ascii="Symbol" w:hAnsi="Symbol" w:hint="default"/>
      </w:rPr>
    </w:lvl>
    <w:lvl w:ilvl="7" w:tplc="556C89DC">
      <w:start w:val="1"/>
      <w:numFmt w:val="bullet"/>
      <w:lvlText w:val="o"/>
      <w:lvlJc w:val="left"/>
      <w:pPr>
        <w:ind w:left="5760" w:hanging="360"/>
      </w:pPr>
      <w:rPr>
        <w:rFonts w:ascii="Courier New" w:hAnsi="Courier New" w:cs="Courier New" w:hint="default"/>
      </w:rPr>
    </w:lvl>
    <w:lvl w:ilvl="8" w:tplc="5E100A44">
      <w:start w:val="1"/>
      <w:numFmt w:val="bullet"/>
      <w:lvlText w:val=""/>
      <w:lvlJc w:val="left"/>
      <w:pPr>
        <w:ind w:left="6480" w:hanging="360"/>
      </w:pPr>
      <w:rPr>
        <w:rFonts w:ascii="Wingdings" w:hAnsi="Wingdings" w:hint="default"/>
      </w:rPr>
    </w:lvl>
  </w:abstractNum>
  <w:abstractNum w:abstractNumId="13" w15:restartNumberingAfterBreak="0">
    <w:nsid w:val="525B2F11"/>
    <w:multiLevelType w:val="hybridMultilevel"/>
    <w:tmpl w:val="C00CFDFA"/>
    <w:lvl w:ilvl="0" w:tplc="66F2BF04">
      <w:start w:val="1"/>
      <w:numFmt w:val="lowerLetter"/>
      <w:lvlText w:val="%1)"/>
      <w:lvlJc w:val="left"/>
      <w:pPr>
        <w:ind w:left="720" w:hanging="360"/>
      </w:pPr>
    </w:lvl>
    <w:lvl w:ilvl="1" w:tplc="6F58FB4A">
      <w:start w:val="1"/>
      <w:numFmt w:val="lowerLetter"/>
      <w:lvlText w:val="%2."/>
      <w:lvlJc w:val="left"/>
      <w:pPr>
        <w:ind w:left="1440" w:hanging="360"/>
      </w:pPr>
    </w:lvl>
    <w:lvl w:ilvl="2" w:tplc="0E063F0A">
      <w:start w:val="1"/>
      <w:numFmt w:val="lowerRoman"/>
      <w:lvlText w:val="%3."/>
      <w:lvlJc w:val="right"/>
      <w:pPr>
        <w:ind w:left="2160" w:hanging="180"/>
      </w:pPr>
    </w:lvl>
    <w:lvl w:ilvl="3" w:tplc="D5C477EA">
      <w:start w:val="1"/>
      <w:numFmt w:val="decimal"/>
      <w:lvlText w:val="%4."/>
      <w:lvlJc w:val="left"/>
      <w:pPr>
        <w:ind w:left="2880" w:hanging="360"/>
      </w:pPr>
    </w:lvl>
    <w:lvl w:ilvl="4" w:tplc="C310F0B2">
      <w:start w:val="1"/>
      <w:numFmt w:val="lowerLetter"/>
      <w:lvlText w:val="%5."/>
      <w:lvlJc w:val="left"/>
      <w:pPr>
        <w:ind w:left="3600" w:hanging="360"/>
      </w:pPr>
    </w:lvl>
    <w:lvl w:ilvl="5" w:tplc="67C8EA5C">
      <w:start w:val="1"/>
      <w:numFmt w:val="lowerRoman"/>
      <w:lvlText w:val="%6."/>
      <w:lvlJc w:val="right"/>
      <w:pPr>
        <w:ind w:left="4320" w:hanging="180"/>
      </w:pPr>
    </w:lvl>
    <w:lvl w:ilvl="6" w:tplc="760AFEFA">
      <w:start w:val="1"/>
      <w:numFmt w:val="decimal"/>
      <w:lvlText w:val="%7."/>
      <w:lvlJc w:val="left"/>
      <w:pPr>
        <w:ind w:left="5040" w:hanging="360"/>
      </w:pPr>
    </w:lvl>
    <w:lvl w:ilvl="7" w:tplc="7F72A548">
      <w:start w:val="1"/>
      <w:numFmt w:val="lowerLetter"/>
      <w:lvlText w:val="%8."/>
      <w:lvlJc w:val="left"/>
      <w:pPr>
        <w:ind w:left="5760" w:hanging="360"/>
      </w:pPr>
    </w:lvl>
    <w:lvl w:ilvl="8" w:tplc="6686B87E">
      <w:start w:val="1"/>
      <w:numFmt w:val="lowerRoman"/>
      <w:lvlText w:val="%9."/>
      <w:lvlJc w:val="right"/>
      <w:pPr>
        <w:ind w:left="6480" w:hanging="180"/>
      </w:pPr>
    </w:lvl>
  </w:abstractNum>
  <w:num w:numId="1" w16cid:durableId="1191797057">
    <w:abstractNumId w:val="9"/>
  </w:num>
  <w:num w:numId="2" w16cid:durableId="1162887863">
    <w:abstractNumId w:val="9"/>
  </w:num>
  <w:num w:numId="3" w16cid:durableId="57366499">
    <w:abstractNumId w:val="7"/>
  </w:num>
  <w:num w:numId="4" w16cid:durableId="436606001">
    <w:abstractNumId w:val="7"/>
  </w:num>
  <w:num w:numId="5" w16cid:durableId="1165165287">
    <w:abstractNumId w:val="6"/>
  </w:num>
  <w:num w:numId="6" w16cid:durableId="1779061856">
    <w:abstractNumId w:val="6"/>
  </w:num>
  <w:num w:numId="7" w16cid:durableId="2137216953">
    <w:abstractNumId w:val="5"/>
  </w:num>
  <w:num w:numId="8" w16cid:durableId="1532111925">
    <w:abstractNumId w:val="5"/>
  </w:num>
  <w:num w:numId="9" w16cid:durableId="566039089">
    <w:abstractNumId w:val="4"/>
  </w:num>
  <w:num w:numId="10" w16cid:durableId="647125523">
    <w:abstractNumId w:val="4"/>
  </w:num>
  <w:num w:numId="11" w16cid:durableId="1122648178">
    <w:abstractNumId w:val="8"/>
  </w:num>
  <w:num w:numId="12" w16cid:durableId="1928343531">
    <w:abstractNumId w:val="8"/>
  </w:num>
  <w:num w:numId="13" w16cid:durableId="215701509">
    <w:abstractNumId w:val="3"/>
  </w:num>
  <w:num w:numId="14" w16cid:durableId="978025668">
    <w:abstractNumId w:val="3"/>
  </w:num>
  <w:num w:numId="15" w16cid:durableId="1747531408">
    <w:abstractNumId w:val="2"/>
  </w:num>
  <w:num w:numId="16" w16cid:durableId="1457795142">
    <w:abstractNumId w:val="2"/>
  </w:num>
  <w:num w:numId="17" w16cid:durableId="1248493009">
    <w:abstractNumId w:val="1"/>
  </w:num>
  <w:num w:numId="18" w16cid:durableId="1688753840">
    <w:abstractNumId w:val="1"/>
  </w:num>
  <w:num w:numId="19" w16cid:durableId="434062385">
    <w:abstractNumId w:val="0"/>
  </w:num>
  <w:num w:numId="20" w16cid:durableId="596328263">
    <w:abstractNumId w:val="0"/>
  </w:num>
  <w:num w:numId="21" w16cid:durableId="763301141">
    <w:abstractNumId w:val="9"/>
  </w:num>
  <w:num w:numId="22" w16cid:durableId="1876427258">
    <w:abstractNumId w:val="7"/>
  </w:num>
  <w:num w:numId="23" w16cid:durableId="219172838">
    <w:abstractNumId w:val="6"/>
  </w:num>
  <w:num w:numId="24" w16cid:durableId="1320231647">
    <w:abstractNumId w:val="5"/>
  </w:num>
  <w:num w:numId="25" w16cid:durableId="607349351">
    <w:abstractNumId w:val="4"/>
  </w:num>
  <w:num w:numId="26" w16cid:durableId="895581408">
    <w:abstractNumId w:val="8"/>
  </w:num>
  <w:num w:numId="27" w16cid:durableId="1464687739">
    <w:abstractNumId w:val="3"/>
  </w:num>
  <w:num w:numId="28" w16cid:durableId="869562472">
    <w:abstractNumId w:val="2"/>
  </w:num>
  <w:num w:numId="29" w16cid:durableId="1633900284">
    <w:abstractNumId w:val="1"/>
  </w:num>
  <w:num w:numId="30" w16cid:durableId="1083530876">
    <w:abstractNumId w:val="0"/>
  </w:num>
  <w:num w:numId="31" w16cid:durableId="1185896692">
    <w:abstractNumId w:val="9"/>
  </w:num>
  <w:num w:numId="32" w16cid:durableId="1060447434">
    <w:abstractNumId w:val="7"/>
  </w:num>
  <w:num w:numId="33" w16cid:durableId="1154875675">
    <w:abstractNumId w:val="6"/>
  </w:num>
  <w:num w:numId="34" w16cid:durableId="858279285">
    <w:abstractNumId w:val="5"/>
  </w:num>
  <w:num w:numId="35" w16cid:durableId="2056201424">
    <w:abstractNumId w:val="4"/>
  </w:num>
  <w:num w:numId="36" w16cid:durableId="560407856">
    <w:abstractNumId w:val="8"/>
  </w:num>
  <w:num w:numId="37" w16cid:durableId="1728842512">
    <w:abstractNumId w:val="3"/>
  </w:num>
  <w:num w:numId="38" w16cid:durableId="35546412">
    <w:abstractNumId w:val="2"/>
  </w:num>
  <w:num w:numId="39" w16cid:durableId="964389001">
    <w:abstractNumId w:val="1"/>
  </w:num>
  <w:num w:numId="40" w16cid:durableId="2128546685">
    <w:abstractNumId w:val="0"/>
  </w:num>
  <w:num w:numId="41" w16cid:durableId="184441767">
    <w:abstractNumId w:val="12"/>
  </w:num>
  <w:num w:numId="42" w16cid:durableId="6540733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3642819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121509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KEY" w:val="FEMM"/>
    <w:docVar w:name="INSTMNU" w:val=" 1"/>
    <w:docVar w:name="LastEditedSection" w:val=" 1"/>
    <w:docVar w:name="strDocTypeID" w:val="PR_INI_RecommCFSP"/>
    <w:docVar w:name="strSubDir" w:val="1332"/>
    <w:docVar w:name="TXTLANGUE" w:val="EN"/>
    <w:docVar w:name="TXTLANGUEMIN" w:val="en"/>
    <w:docVar w:name="TXTNRINI" w:val="2025/0000"/>
    <w:docVar w:name="TXTNRPE" w:val="776.895"/>
    <w:docVar w:name="TXTPEorAP" w:val="PE"/>
    <w:docVar w:name="TXTROUTE" w:val="PR\1332470EN.docx"/>
    <w:docVar w:name="TXTTITLE" w:val="the EU priorities for the 70th session of the UN Commission on the Status of Women"/>
    <w:docVar w:name="TXTVERSION" w:val="02-00"/>
  </w:docVars>
  <w:rsids>
    <w:rsidRoot w:val="00D3400F"/>
    <w:rsid w:val="000005E5"/>
    <w:rsid w:val="00001993"/>
    <w:rsid w:val="00005D56"/>
    <w:rsid w:val="00010437"/>
    <w:rsid w:val="00020ED8"/>
    <w:rsid w:val="000239F7"/>
    <w:rsid w:val="00025F31"/>
    <w:rsid w:val="00105305"/>
    <w:rsid w:val="00144AD8"/>
    <w:rsid w:val="001533B4"/>
    <w:rsid w:val="00160F77"/>
    <w:rsid w:val="00173DC5"/>
    <w:rsid w:val="001748A3"/>
    <w:rsid w:val="001758B4"/>
    <w:rsid w:val="001815BB"/>
    <w:rsid w:val="001876BE"/>
    <w:rsid w:val="001944B2"/>
    <w:rsid w:val="001A6651"/>
    <w:rsid w:val="001B22EB"/>
    <w:rsid w:val="001B6AE5"/>
    <w:rsid w:val="00225562"/>
    <w:rsid w:val="00234B03"/>
    <w:rsid w:val="0024591C"/>
    <w:rsid w:val="00266F7B"/>
    <w:rsid w:val="00267945"/>
    <w:rsid w:val="00281021"/>
    <w:rsid w:val="002C0BF6"/>
    <w:rsid w:val="00300BF7"/>
    <w:rsid w:val="00310F0B"/>
    <w:rsid w:val="003253FD"/>
    <w:rsid w:val="0032649C"/>
    <w:rsid w:val="0037604E"/>
    <w:rsid w:val="00387C58"/>
    <w:rsid w:val="00390253"/>
    <w:rsid w:val="00392F42"/>
    <w:rsid w:val="00393B38"/>
    <w:rsid w:val="003D0074"/>
    <w:rsid w:val="004216E6"/>
    <w:rsid w:val="00434A68"/>
    <w:rsid w:val="00451A82"/>
    <w:rsid w:val="00480DEA"/>
    <w:rsid w:val="004A388E"/>
    <w:rsid w:val="004A5141"/>
    <w:rsid w:val="004C60CB"/>
    <w:rsid w:val="004C76B9"/>
    <w:rsid w:val="004C7CA7"/>
    <w:rsid w:val="004D5F5D"/>
    <w:rsid w:val="005133F6"/>
    <w:rsid w:val="00554B6E"/>
    <w:rsid w:val="005577F1"/>
    <w:rsid w:val="005707B9"/>
    <w:rsid w:val="00575311"/>
    <w:rsid w:val="0058789A"/>
    <w:rsid w:val="005E5A0F"/>
    <w:rsid w:val="006067F0"/>
    <w:rsid w:val="0061137D"/>
    <w:rsid w:val="0062719E"/>
    <w:rsid w:val="00627DF1"/>
    <w:rsid w:val="00636FA9"/>
    <w:rsid w:val="00651102"/>
    <w:rsid w:val="00686DFF"/>
    <w:rsid w:val="0069495A"/>
    <w:rsid w:val="00696C67"/>
    <w:rsid w:val="006A7D5C"/>
    <w:rsid w:val="006C1E65"/>
    <w:rsid w:val="006D4C8E"/>
    <w:rsid w:val="006E363A"/>
    <w:rsid w:val="006F094F"/>
    <w:rsid w:val="006F2AF3"/>
    <w:rsid w:val="0072199F"/>
    <w:rsid w:val="00724B9E"/>
    <w:rsid w:val="00747A00"/>
    <w:rsid w:val="007A12A3"/>
    <w:rsid w:val="007B69EF"/>
    <w:rsid w:val="007C4764"/>
    <w:rsid w:val="007F392E"/>
    <w:rsid w:val="00801386"/>
    <w:rsid w:val="0081489C"/>
    <w:rsid w:val="0083042A"/>
    <w:rsid w:val="00855A58"/>
    <w:rsid w:val="0086407B"/>
    <w:rsid w:val="00865AB2"/>
    <w:rsid w:val="00891E7E"/>
    <w:rsid w:val="008A2913"/>
    <w:rsid w:val="008A7BA8"/>
    <w:rsid w:val="008B64B6"/>
    <w:rsid w:val="008F067F"/>
    <w:rsid w:val="00902C4B"/>
    <w:rsid w:val="009062FC"/>
    <w:rsid w:val="009302EC"/>
    <w:rsid w:val="00931782"/>
    <w:rsid w:val="009340AC"/>
    <w:rsid w:val="00941E95"/>
    <w:rsid w:val="0097457B"/>
    <w:rsid w:val="009907C2"/>
    <w:rsid w:val="009B3734"/>
    <w:rsid w:val="00A144CA"/>
    <w:rsid w:val="00A22B21"/>
    <w:rsid w:val="00A6377C"/>
    <w:rsid w:val="00A74837"/>
    <w:rsid w:val="00AA5FA9"/>
    <w:rsid w:val="00AE302F"/>
    <w:rsid w:val="00AF2187"/>
    <w:rsid w:val="00AF289B"/>
    <w:rsid w:val="00B10048"/>
    <w:rsid w:val="00B26C55"/>
    <w:rsid w:val="00B5366B"/>
    <w:rsid w:val="00B6527B"/>
    <w:rsid w:val="00B6642B"/>
    <w:rsid w:val="00B669D2"/>
    <w:rsid w:val="00B801FB"/>
    <w:rsid w:val="00B97AA4"/>
    <w:rsid w:val="00BC0749"/>
    <w:rsid w:val="00BD0C84"/>
    <w:rsid w:val="00BE7750"/>
    <w:rsid w:val="00C255BD"/>
    <w:rsid w:val="00C3019B"/>
    <w:rsid w:val="00C46AAA"/>
    <w:rsid w:val="00C47D1A"/>
    <w:rsid w:val="00C7235E"/>
    <w:rsid w:val="00C7360B"/>
    <w:rsid w:val="00C85D0F"/>
    <w:rsid w:val="00CA0DE5"/>
    <w:rsid w:val="00CB2AC0"/>
    <w:rsid w:val="00D3400F"/>
    <w:rsid w:val="00D349C1"/>
    <w:rsid w:val="00D860C1"/>
    <w:rsid w:val="00D94189"/>
    <w:rsid w:val="00DD2EF4"/>
    <w:rsid w:val="00E0274C"/>
    <w:rsid w:val="00E048E2"/>
    <w:rsid w:val="00E05579"/>
    <w:rsid w:val="00E24005"/>
    <w:rsid w:val="00E24484"/>
    <w:rsid w:val="00E26C78"/>
    <w:rsid w:val="00E34F46"/>
    <w:rsid w:val="00EA624D"/>
    <w:rsid w:val="00EC07AD"/>
    <w:rsid w:val="00F01801"/>
    <w:rsid w:val="00F0502F"/>
    <w:rsid w:val="00F25BBD"/>
    <w:rsid w:val="00F505B6"/>
    <w:rsid w:val="00F63E58"/>
    <w:rsid w:val="00F65426"/>
    <w:rsid w:val="00F8084D"/>
    <w:rsid w:val="00F92A4A"/>
    <w:rsid w:val="00F955E5"/>
    <w:rsid w:val="00FA7E38"/>
    <w:rsid w:val="00FC504F"/>
    <w:rsid w:val="00FC5F47"/>
    <w:rsid w:val="00FC665B"/>
    <w:rsid w:val="00FC6D7B"/>
    <w:rsid w:val="00FD4651"/>
    <w:rsid w:val="00FE59FA"/>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29657C"/>
  <w15:chartTrackingRefBased/>
  <w15:docId w15:val="{AED6FFF9-FF7B-4D20-9E32-4847834E9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34B03"/>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EPComma">
    <w:name w:val="EPComma"/>
    <w:basedOn w:val="Normal"/>
    <w:rsid w:val="00A144CA"/>
    <w:pPr>
      <w:spacing w:before="480" w:after="240"/>
    </w:pPr>
  </w:style>
  <w:style w:type="paragraph" w:styleId="TOC1">
    <w:name w:val="toc 1"/>
    <w:basedOn w:val="Normal"/>
    <w:next w:val="Normal"/>
    <w:autoRedefine/>
    <w:uiPriority w:val="39"/>
    <w:rsid w:val="00005D56"/>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Hanging12a">
    <w:name w:val="NormalHanging12a"/>
    <w:basedOn w:val="Normal"/>
    <w:link w:val="NormalHanging12aChar"/>
    <w:pPr>
      <w:spacing w:after="240"/>
      <w:ind w:left="567" w:hanging="567"/>
    </w:pPr>
  </w:style>
  <w:style w:type="paragraph" w:customStyle="1" w:styleId="EPName">
    <w:name w:val="EPName"/>
    <w:basedOn w:val="Normal"/>
    <w:rsid w:val="009340AC"/>
    <w:pPr>
      <w:spacing w:before="80" w:after="80"/>
    </w:pPr>
    <w:rPr>
      <w:rFonts w:ascii="Arial Narrow" w:hAnsi="Arial Narrow" w:cs="Arial"/>
      <w:b/>
      <w:sz w:val="32"/>
      <w:szCs w:val="22"/>
    </w:rPr>
  </w:style>
  <w:style w:type="paragraph" w:customStyle="1" w:styleId="CoverNormal24a">
    <w:name w:val="CoverNormal24a"/>
    <w:basedOn w:val="Normal"/>
    <w:rsid w:val="00C47D1A"/>
    <w:pPr>
      <w:spacing w:after="480"/>
      <w:ind w:left="1417"/>
    </w:pPr>
  </w:style>
  <w:style w:type="paragraph" w:customStyle="1" w:styleId="CoverNormal">
    <w:name w:val="CoverNormal"/>
    <w:basedOn w:val="Normal"/>
    <w:pPr>
      <w:ind w:left="1418"/>
    </w:pPr>
  </w:style>
  <w:style w:type="paragraph" w:customStyle="1" w:styleId="CoverReference">
    <w:name w:val="CoverReference"/>
    <w:basedOn w:val="Normal"/>
    <w:rsid w:val="006E363A"/>
    <w:pPr>
      <w:spacing w:before="1080"/>
      <w:jc w:val="right"/>
    </w:pPr>
    <w:rPr>
      <w:rFonts w:ascii="Arial" w:hAnsi="Arial" w:cs="Arial"/>
      <w:b/>
    </w:rPr>
  </w:style>
  <w:style w:type="paragraph" w:customStyle="1" w:styleId="CoverDocType24a">
    <w:name w:val="CoverDocType24a"/>
    <w:basedOn w:val="Normal"/>
    <w:rsid w:val="00C47D1A"/>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6D4C8E"/>
    <w:pPr>
      <w:tabs>
        <w:tab w:val="center" w:pos="4513"/>
        <w:tab w:val="right" w:pos="9026"/>
      </w:tabs>
    </w:pPr>
  </w:style>
  <w:style w:type="character" w:styleId="PageNumber">
    <w:name w:val="page number"/>
    <w:basedOn w:val="DefaultParagraphFont"/>
    <w:semiHidden/>
  </w:style>
  <w:style w:type="table" w:styleId="TableGrid">
    <w:name w:val="Table Grid"/>
    <w:basedOn w:val="TableNormal"/>
    <w:rsid w:val="00C723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C7235E"/>
    <w:pPr>
      <w:jc w:val="center"/>
    </w:pPr>
    <w:rPr>
      <w:rFonts w:ascii="Arial" w:hAnsi="Arial" w:cs="Arial"/>
      <w:i/>
      <w:sz w:val="22"/>
      <w:szCs w:val="22"/>
    </w:rPr>
  </w:style>
  <w:style w:type="paragraph" w:customStyle="1" w:styleId="LineTop">
    <w:name w:val="LineTop"/>
    <w:basedOn w:val="Normal"/>
    <w:next w:val="Normal"/>
    <w:rsid w:val="00C7235E"/>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C7235E"/>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340AC"/>
    <w:pPr>
      <w:spacing w:after="80"/>
    </w:pPr>
    <w:rPr>
      <w:rFonts w:ascii="Arial" w:hAnsi="Arial" w:cs="Arial"/>
      <w:sz w:val="20"/>
      <w:szCs w:val="22"/>
    </w:rPr>
  </w:style>
  <w:style w:type="paragraph" w:customStyle="1" w:styleId="EPLogo">
    <w:name w:val="EPLogo"/>
    <w:basedOn w:val="Normal"/>
    <w:qFormat/>
    <w:rsid w:val="009340AC"/>
    <w:pPr>
      <w:jc w:val="right"/>
    </w:pPr>
  </w:style>
  <w:style w:type="paragraph" w:customStyle="1" w:styleId="EPFooter">
    <w:name w:val="EPFooter"/>
    <w:basedOn w:val="Normal"/>
    <w:rsid w:val="00C47D1A"/>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6D4C8E"/>
    <w:rPr>
      <w:sz w:val="24"/>
    </w:rPr>
  </w:style>
  <w:style w:type="paragraph" w:customStyle="1" w:styleId="NormalHangingLeft12a">
    <w:name w:val="NormalHangingLeft12a"/>
    <w:basedOn w:val="Normal"/>
    <w:rsid w:val="00F65426"/>
    <w:pPr>
      <w:spacing w:after="240"/>
      <w:ind w:left="1134" w:hanging="567"/>
    </w:pPr>
  </w:style>
  <w:style w:type="paragraph" w:customStyle="1" w:styleId="Normal12a">
    <w:name w:val="Normal12a"/>
    <w:basedOn w:val="Normal"/>
    <w:rsid w:val="00902C4B"/>
    <w:pPr>
      <w:spacing w:after="240"/>
    </w:pPr>
  </w:style>
  <w:style w:type="paragraph" w:styleId="ListParagraph">
    <w:name w:val="List Paragraph"/>
    <w:basedOn w:val="Normal"/>
    <w:uiPriority w:val="34"/>
    <w:qFormat/>
    <w:rsid w:val="00941E95"/>
    <w:pPr>
      <w:widowControl/>
      <w:ind w:left="720"/>
      <w:contextualSpacing/>
      <w:jc w:val="both"/>
    </w:pPr>
    <w:rPr>
      <w:rFonts w:eastAsiaTheme="minorHAnsi"/>
      <w:szCs w:val="24"/>
      <w:lang w:eastAsia="en-US"/>
    </w:rPr>
  </w:style>
  <w:style w:type="character" w:customStyle="1" w:styleId="NormalHanging12aChar">
    <w:name w:val="NormalHanging12a Char"/>
    <w:basedOn w:val="DefaultParagraphFont"/>
    <w:link w:val="NormalHanging12a"/>
    <w:locked/>
    <w:rsid w:val="00941E95"/>
    <w:rPr>
      <w:sz w:val="24"/>
    </w:rPr>
  </w:style>
  <w:style w:type="paragraph" w:customStyle="1" w:styleId="Action">
    <w:name w:val="Action"/>
    <w:basedOn w:val="Normal"/>
    <w:rsid w:val="00941E95"/>
    <w:pPr>
      <w:keepNext/>
      <w:keepLines/>
      <w:tabs>
        <w:tab w:val="left" w:pos="357"/>
      </w:tabs>
      <w:snapToGrid w:val="0"/>
      <w:spacing w:after="240"/>
      <w:ind w:left="357" w:hanging="357"/>
    </w:pPr>
    <w:rPr>
      <w:lang w:eastAsia="en-US"/>
    </w:rPr>
  </w:style>
  <w:style w:type="paragraph" w:styleId="Footer">
    <w:name w:val="footer"/>
    <w:basedOn w:val="Normal"/>
    <w:link w:val="FooterChar"/>
    <w:semiHidden/>
    <w:rsid w:val="00FC6D7B"/>
    <w:pPr>
      <w:tabs>
        <w:tab w:val="center" w:pos="4513"/>
        <w:tab w:val="right" w:pos="9026"/>
      </w:tabs>
    </w:pPr>
  </w:style>
  <w:style w:type="character" w:customStyle="1" w:styleId="FooterChar">
    <w:name w:val="Footer Char"/>
    <w:basedOn w:val="DefaultParagraphFont"/>
    <w:link w:val="Footer"/>
    <w:semiHidden/>
    <w:rsid w:val="00FC6D7B"/>
    <w:rPr>
      <w:sz w:val="24"/>
    </w:rPr>
  </w:style>
  <w:style w:type="paragraph" w:styleId="Revision">
    <w:name w:val="Revision"/>
    <w:hidden/>
    <w:uiPriority w:val="99"/>
    <w:semiHidden/>
    <w:rsid w:val="00225562"/>
    <w:rPr>
      <w:sz w:val="24"/>
    </w:rPr>
  </w:style>
  <w:style w:type="character" w:styleId="CommentReference">
    <w:name w:val="annotation reference"/>
    <w:basedOn w:val="DefaultParagraphFont"/>
    <w:rsid w:val="00281021"/>
    <w:rPr>
      <w:sz w:val="16"/>
      <w:szCs w:val="16"/>
    </w:rPr>
  </w:style>
  <w:style w:type="paragraph" w:styleId="CommentText">
    <w:name w:val="annotation text"/>
    <w:basedOn w:val="Normal"/>
    <w:link w:val="CommentTextChar"/>
    <w:rsid w:val="00281021"/>
    <w:rPr>
      <w:sz w:val="20"/>
    </w:rPr>
  </w:style>
  <w:style w:type="character" w:customStyle="1" w:styleId="CommentTextChar">
    <w:name w:val="Comment Text Char"/>
    <w:basedOn w:val="DefaultParagraphFont"/>
    <w:link w:val="CommentText"/>
    <w:rsid w:val="00281021"/>
  </w:style>
  <w:style w:type="paragraph" w:styleId="CommentSubject">
    <w:name w:val="annotation subject"/>
    <w:basedOn w:val="CommentText"/>
    <w:next w:val="CommentText"/>
    <w:link w:val="CommentSubjectChar"/>
    <w:semiHidden/>
    <w:unhideWhenUsed/>
    <w:rsid w:val="00281021"/>
    <w:rPr>
      <w:b/>
      <w:bCs/>
    </w:rPr>
  </w:style>
  <w:style w:type="character" w:customStyle="1" w:styleId="CommentSubjectChar">
    <w:name w:val="Comment Subject Char"/>
    <w:basedOn w:val="CommentTextChar"/>
    <w:link w:val="CommentSubject"/>
    <w:semiHidden/>
    <w:rsid w:val="00281021"/>
    <w:rPr>
      <w:b/>
      <w:bCs/>
    </w:rPr>
  </w:style>
  <w:style w:type="paragraph" w:styleId="FootnoteText">
    <w:name w:val="footnote text"/>
    <w:basedOn w:val="Normal"/>
    <w:link w:val="FootnoteTextChar"/>
    <w:rsid w:val="00F92A4A"/>
    <w:rPr>
      <w:sz w:val="20"/>
    </w:rPr>
  </w:style>
  <w:style w:type="character" w:customStyle="1" w:styleId="FootnoteTextChar">
    <w:name w:val="Footnote Text Char"/>
    <w:basedOn w:val="DefaultParagraphFont"/>
    <w:link w:val="FootnoteText"/>
    <w:rsid w:val="00F92A4A"/>
  </w:style>
  <w:style w:type="character" w:styleId="FootnoteReference">
    <w:name w:val="footnote reference"/>
    <w:basedOn w:val="DefaultParagraphFont"/>
    <w:rsid w:val="00F92A4A"/>
    <w:rPr>
      <w:vertAlign w:val="superscript"/>
    </w:rPr>
  </w:style>
  <w:style w:type="character" w:styleId="Hyperlink">
    <w:name w:val="Hyperlink"/>
    <w:basedOn w:val="DefaultParagraphFont"/>
    <w:rsid w:val="00F92A4A"/>
    <w:rPr>
      <w:color w:val="0563C1" w:themeColor="hyperlink"/>
      <w:u w:val="single"/>
    </w:rPr>
  </w:style>
  <w:style w:type="character" w:styleId="UnresolvedMention">
    <w:name w:val="Unresolved Mention"/>
    <w:basedOn w:val="DefaultParagraphFont"/>
    <w:uiPriority w:val="99"/>
    <w:semiHidden/>
    <w:unhideWhenUsed/>
    <w:rsid w:val="00F92A4A"/>
    <w:rPr>
      <w:color w:val="605E5C"/>
      <w:shd w:val="clear" w:color="auto" w:fill="E1DFDD"/>
    </w:rPr>
  </w:style>
  <w:style w:type="paragraph" w:customStyle="1" w:styleId="Visa">
    <w:name w:val="Visa"/>
    <w:basedOn w:val="Normal"/>
    <w:rsid w:val="00F92A4A"/>
    <w:pPr>
      <w:keepNext/>
      <w:keepLines/>
      <w:tabs>
        <w:tab w:val="left" w:pos="357"/>
      </w:tabs>
      <w:spacing w:after="240"/>
      <w:ind w:left="357" w:hanging="357"/>
    </w:pPr>
    <w:rPr>
      <w:snapToGrid w:val="0"/>
      <w:lang w:eastAsia="en-US"/>
    </w:rPr>
  </w:style>
  <w:style w:type="paragraph" w:customStyle="1" w:styleId="pf0">
    <w:name w:val="pf0"/>
    <w:basedOn w:val="Normal"/>
    <w:rsid w:val="008B64B6"/>
    <w:pPr>
      <w:widowControl/>
      <w:spacing w:before="100" w:beforeAutospacing="1" w:after="100" w:afterAutospacing="1"/>
    </w:pPr>
    <w:rPr>
      <w:szCs w:val="24"/>
    </w:rPr>
  </w:style>
  <w:style w:type="character" w:customStyle="1" w:styleId="cf01">
    <w:name w:val="cf01"/>
    <w:basedOn w:val="DefaultParagraphFont"/>
    <w:rsid w:val="008B64B6"/>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dir/2012/29/o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3B2BC1-2E2C-4DE6-8F14-C4D2C1ECB1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2466</Words>
  <Characters>14530</Characters>
  <Application>Microsoft Office Word</Application>
  <DocSecurity>0</DocSecurity>
  <Lines>259</Lines>
  <Paragraphs>69</Paragraphs>
  <ScaleCrop>false</ScaleCrop>
  <HeadingPairs>
    <vt:vector size="2" baseType="variant">
      <vt:variant>
        <vt:lpstr>Title</vt:lpstr>
      </vt:variant>
      <vt:variant>
        <vt:i4>1</vt:i4>
      </vt:variant>
    </vt:vector>
  </HeadingPairs>
  <TitlesOfParts>
    <vt:vector size="1" baseType="lpstr">
      <vt:lpstr>PR_INI_RecommCFSP</vt:lpstr>
    </vt:vector>
  </TitlesOfParts>
  <Company/>
  <LinksUpToDate>false</LinksUpToDate>
  <CharactersWithSpaces>16927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PR_INI_RecommCFSP</dc:title>
  <dc:creator>NITSCHE Susan</dc:creator>
  <cp:lastModifiedBy>SPYROPOULOU Dafni</cp:lastModifiedBy>
  <cp:revision>2</cp:revision>
  <cp:lastPrinted>2025-09-10T15:25:00Z</cp:lastPrinted>
  <dcterms:created xsi:type="dcterms:W3CDTF">2025-11-21T08:38:00Z</dcterms:created>
  <dcterms:modified xsi:type="dcterms:W3CDTF">2025-11-21T08:38:00Z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1332470</vt:lpwstr>
  </property>
  <property fmtid="{D5CDD505-2E9C-101B-9397-08002B2CF9AE}" pid="4" name="&lt;Model&gt;">
    <vt:lpwstr>PR_INI_RecommCFSP</vt:lpwstr>
  </property>
  <property fmtid="{D5CDD505-2E9C-101B-9397-08002B2CF9AE}" pid="5" name="&lt;ModelCod&gt;">
    <vt:lpwstr>\\eiciBRUpr1\pdocep$\DocEP\DOCS\General\PR\PR_NonLeg\INI\PR_INI_RecommCFSP.dotx(23/11/2023 20:35:01)</vt:lpwstr>
  </property>
  <property fmtid="{D5CDD505-2E9C-101B-9397-08002B2CF9AE}" pid="6" name="&lt;ModelTra&gt;">
    <vt:lpwstr>\\eiciBRUpr1\pdocep$\DocEP\TRANSFIL\EN\PR_INI_RecommCFSP.EN(14/08/2024 20:08:08)</vt:lpwstr>
  </property>
  <property fmtid="{D5CDD505-2E9C-101B-9397-08002B2CF9AE}" pid="7" name="&lt;Type&gt;">
    <vt:lpwstr>PR</vt:lpwstr>
  </property>
  <property fmtid="{D5CDD505-2E9C-101B-9397-08002B2CF9AE}" pid="8" name="Bookout">
    <vt:lpwstr>OK - 2025/11/21 09:38</vt:lpwstr>
  </property>
  <property fmtid="{D5CDD505-2E9C-101B-9397-08002B2CF9AE}" pid="9" name="Created with">
    <vt:lpwstr>10.1.2 Build [20250715]</vt:lpwstr>
  </property>
  <property fmtid="{D5CDD505-2E9C-101B-9397-08002B2CF9AE}" pid="10" name="FooterPath">
    <vt:lpwstr>PR\1332470EL.docx</vt:lpwstr>
  </property>
  <property fmtid="{D5CDD505-2E9C-101B-9397-08002B2CF9AE}" pid="11" name="LastEdited with">
    <vt:lpwstr>10.2.0 Build [20251001]</vt:lpwstr>
  </property>
  <property fmtid="{D5CDD505-2E9C-101B-9397-08002B2CF9AE}" pid="12" name="PE number">
    <vt:lpwstr>776.895</vt:lpwstr>
  </property>
  <property fmtid="{D5CDD505-2E9C-101B-9397-08002B2CF9AE}" pid="13" name="SDLStudio">
    <vt:lpwstr/>
  </property>
  <property fmtid="{D5CDD505-2E9C-101B-9397-08002B2CF9AE}" pid="14" name="SendToEpades">
    <vt:lpwstr>OK - 2025/11/20 12:27</vt:lpwstr>
  </property>
</Properties>
</file>