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072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804"/>
        <w:gridCol w:w="2268"/>
      </w:tblGrid>
      <w:tr w:rsidR="0069495A" w:rsidRPr="005A7C77" w14:paraId="156CED52" w14:textId="77777777" w:rsidTr="00C85D0F">
        <w:trPr>
          <w:trHeight w:hRule="exact" w:val="1418"/>
        </w:trPr>
        <w:tc>
          <w:tcPr>
            <w:tcW w:w="6804" w:type="dxa"/>
            <w:shd w:val="clear" w:color="auto" w:fill="auto"/>
            <w:vAlign w:val="center"/>
          </w:tcPr>
          <w:p w14:paraId="5CC73FCB" w14:textId="0FFC9296" w:rsidR="0069495A" w:rsidRPr="005A7C77" w:rsidRDefault="001220B8" w:rsidP="00C85D0F">
            <w:pPr>
              <w:pStyle w:val="EPName"/>
            </w:pPr>
            <w:r w:rsidRPr="005A7C77">
              <w:t>Europski parlament</w:t>
            </w:r>
          </w:p>
          <w:p w14:paraId="62E72403" w14:textId="5516EF82" w:rsidR="0069495A" w:rsidRPr="005A7C77" w:rsidRDefault="002D72DD" w:rsidP="00C85D0F">
            <w:pPr>
              <w:pStyle w:val="EPTerm"/>
            </w:pPr>
            <w:r w:rsidRPr="005A7C77">
              <w:t>2024-2029</w:t>
            </w:r>
          </w:p>
        </w:tc>
        <w:tc>
          <w:tcPr>
            <w:tcW w:w="2268" w:type="dxa"/>
            <w:shd w:val="clear" w:color="auto" w:fill="auto"/>
          </w:tcPr>
          <w:p w14:paraId="585D7C0D" w14:textId="77777777" w:rsidR="0069495A" w:rsidRPr="005A7C77" w:rsidRDefault="0069495A" w:rsidP="00C85D0F">
            <w:pPr>
              <w:pStyle w:val="EPLogo"/>
            </w:pPr>
            <w:r w:rsidRPr="005A7C77">
              <w:rPr>
                <w:noProof/>
                <w:lang w:eastAsia="ja-JP"/>
              </w:rPr>
              <w:drawing>
                <wp:inline distT="0" distB="0" distL="0" distR="0" wp14:anchorId="7936AF5C" wp14:editId="41F25787">
                  <wp:extent cx="1158875" cy="652145"/>
                  <wp:effectExtent l="0" t="0" r="0" b="0"/>
                  <wp:docPr id="1" name="Picture 1" descr="EP logo RGB_Mu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P logo RGB_Mu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8875" cy="652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ED91A2A" w14:textId="77777777" w:rsidR="00C7235E" w:rsidRPr="005A7C77" w:rsidRDefault="00C7235E" w:rsidP="00C7235E">
      <w:pPr>
        <w:pStyle w:val="LineTop"/>
      </w:pPr>
    </w:p>
    <w:p w14:paraId="39CD79A7" w14:textId="54C658F8" w:rsidR="00C7235E" w:rsidRPr="005A7C77" w:rsidRDefault="00C7235E" w:rsidP="00C7235E">
      <w:pPr>
        <w:pStyle w:val="EPBody"/>
      </w:pPr>
      <w:r w:rsidRPr="005A7C77">
        <w:rPr>
          <w:rStyle w:val="HideTWBExt"/>
        </w:rPr>
        <w:t>&lt;</w:t>
      </w:r>
      <w:r w:rsidRPr="005A7C77">
        <w:rPr>
          <w:rStyle w:val="HideTWBExt"/>
          <w:i w:val="0"/>
        </w:rPr>
        <w:t>Commission</w:t>
      </w:r>
      <w:r w:rsidRPr="005A7C77">
        <w:rPr>
          <w:rStyle w:val="HideTWBExt"/>
        </w:rPr>
        <w:t>&gt;</w:t>
      </w:r>
      <w:r w:rsidRPr="005A7C77">
        <w:rPr>
          <w:rStyle w:val="HideTWBInt"/>
        </w:rPr>
        <w:t>{FEMM}</w:t>
      </w:r>
      <w:r w:rsidRPr="005A7C77">
        <w:t>Odbor za prava žena i rodnu ravnopravnost</w:t>
      </w:r>
      <w:r w:rsidRPr="005A7C77">
        <w:rPr>
          <w:rStyle w:val="HideTWBExt"/>
        </w:rPr>
        <w:t>&lt;/</w:t>
      </w:r>
      <w:r w:rsidRPr="005A7C77">
        <w:rPr>
          <w:rStyle w:val="HideTWBExt"/>
          <w:i w:val="0"/>
        </w:rPr>
        <w:t>Commission</w:t>
      </w:r>
      <w:r w:rsidRPr="005A7C77">
        <w:rPr>
          <w:rStyle w:val="HideTWBExt"/>
        </w:rPr>
        <w:t>&gt;</w:t>
      </w:r>
    </w:p>
    <w:p w14:paraId="1AC0BE95" w14:textId="77777777" w:rsidR="00C7235E" w:rsidRPr="005A7C77" w:rsidRDefault="00C7235E" w:rsidP="00C7235E">
      <w:pPr>
        <w:pStyle w:val="LineBottom"/>
      </w:pPr>
    </w:p>
    <w:p w14:paraId="6F5C1578" w14:textId="43296DB8" w:rsidR="00144AD8" w:rsidRPr="005A7C77" w:rsidRDefault="00144AD8">
      <w:pPr>
        <w:pStyle w:val="CoverReference"/>
      </w:pPr>
      <w:r w:rsidRPr="005A7C77">
        <w:rPr>
          <w:rStyle w:val="HideTWBExt"/>
          <w:b w:val="0"/>
        </w:rPr>
        <w:t>&lt;RefProc&gt;</w:t>
      </w:r>
      <w:r w:rsidRPr="005A7C77">
        <w:t>2025/2240</w:t>
      </w:r>
      <w:r w:rsidRPr="005A7C77">
        <w:rPr>
          <w:rStyle w:val="HideTWBExt"/>
          <w:b w:val="0"/>
        </w:rPr>
        <w:t>&lt;/RefProc&gt;&lt;RefTypeProc&gt;</w:t>
      </w:r>
      <w:r w:rsidRPr="005A7C77">
        <w:t>(INI)</w:t>
      </w:r>
      <w:r w:rsidRPr="005A7C77">
        <w:rPr>
          <w:rStyle w:val="HideTWBExt"/>
          <w:b w:val="0"/>
        </w:rPr>
        <w:t>&lt;/RefTypeProc&gt;</w:t>
      </w:r>
    </w:p>
    <w:p w14:paraId="3AB09767" w14:textId="5070202A" w:rsidR="00144AD8" w:rsidRPr="005A7C77" w:rsidRDefault="00144AD8">
      <w:pPr>
        <w:pStyle w:val="CoverDate"/>
      </w:pPr>
      <w:r w:rsidRPr="005A7C77">
        <w:rPr>
          <w:rStyle w:val="HideTWBExt"/>
        </w:rPr>
        <w:t>&lt;Date&gt;</w:t>
      </w:r>
      <w:r w:rsidRPr="005A7C77">
        <w:rPr>
          <w:rStyle w:val="HideTWBInt"/>
        </w:rPr>
        <w:t>{20/11/2025}</w:t>
      </w:r>
      <w:r w:rsidRPr="005A7C77">
        <w:t>20.11.2025</w:t>
      </w:r>
      <w:r w:rsidRPr="005A7C77">
        <w:rPr>
          <w:rStyle w:val="HideTWBExt"/>
        </w:rPr>
        <w:t>&lt;/Date&gt;</w:t>
      </w:r>
    </w:p>
    <w:p w14:paraId="23AD192B" w14:textId="512EF10F" w:rsidR="00144AD8" w:rsidRPr="005A7C77" w:rsidRDefault="00144AD8">
      <w:pPr>
        <w:pStyle w:val="CoverDocType24a"/>
      </w:pPr>
      <w:r w:rsidRPr="005A7C77">
        <w:rPr>
          <w:rStyle w:val="HideTWBExt"/>
          <w:b w:val="0"/>
        </w:rPr>
        <w:t>&lt;TitreType&gt;</w:t>
      </w:r>
      <w:r w:rsidRPr="005A7C77">
        <w:t>NACRT IZVJEŠĆA</w:t>
      </w:r>
      <w:r w:rsidRPr="005A7C77">
        <w:rPr>
          <w:rStyle w:val="HideTWBExt"/>
          <w:b w:val="0"/>
        </w:rPr>
        <w:t>&lt;/TitreType&gt;</w:t>
      </w:r>
    </w:p>
    <w:p w14:paraId="42AB5CCA" w14:textId="45C0C56E" w:rsidR="00144AD8" w:rsidRPr="005A7C77" w:rsidRDefault="00144AD8">
      <w:pPr>
        <w:pStyle w:val="CoverNormal"/>
      </w:pPr>
      <w:r w:rsidRPr="005A7C77">
        <w:rPr>
          <w:rStyle w:val="HideTWBExt"/>
        </w:rPr>
        <w:t>&lt;Titre&gt;</w:t>
      </w:r>
      <w:r w:rsidRPr="005A7C77">
        <w:t>o preporuci Europskog parlamenta Vijeću</w:t>
      </w:r>
      <w:r w:rsidR="005A7C77" w:rsidRPr="005A7C77">
        <w:t xml:space="preserve"> </w:t>
      </w:r>
      <w:r w:rsidRPr="005A7C77">
        <w:t>u vezi s prioritetima EU-a za 70. sjednicu Komisije UN-a o statusu žena</w:t>
      </w:r>
      <w:r w:rsidRPr="005A7C77">
        <w:rPr>
          <w:rStyle w:val="HideTWBExt"/>
        </w:rPr>
        <w:t>&lt;/Titre&gt;</w:t>
      </w:r>
    </w:p>
    <w:p w14:paraId="431386E0" w14:textId="7ECB3C2B" w:rsidR="00144AD8" w:rsidRPr="005A7C77" w:rsidRDefault="00144AD8">
      <w:pPr>
        <w:pStyle w:val="CoverNormal24a"/>
      </w:pPr>
      <w:r w:rsidRPr="005A7C77">
        <w:rPr>
          <w:rStyle w:val="HideTWBExt"/>
        </w:rPr>
        <w:t>&lt;DocRef&gt;</w:t>
      </w:r>
      <w:r w:rsidRPr="005A7C77">
        <w:t>2025/2240(INI))</w:t>
      </w:r>
      <w:r w:rsidRPr="005A7C77">
        <w:rPr>
          <w:rStyle w:val="HideTWBExt"/>
        </w:rPr>
        <w:t>&lt;/DocRef&gt;</w:t>
      </w:r>
    </w:p>
    <w:p w14:paraId="5F2A22E1" w14:textId="30CC7A3B" w:rsidR="00144AD8" w:rsidRPr="005A7C77" w:rsidRDefault="00144AD8">
      <w:pPr>
        <w:pStyle w:val="CoverNormal24a"/>
      </w:pPr>
      <w:r w:rsidRPr="005A7C77">
        <w:rPr>
          <w:rStyle w:val="HideTWBExt"/>
        </w:rPr>
        <w:t>&lt;Commission&gt;</w:t>
      </w:r>
      <w:r w:rsidRPr="005A7C77">
        <w:rPr>
          <w:rStyle w:val="HideTWBInt"/>
        </w:rPr>
        <w:t>{FEMM}</w:t>
      </w:r>
      <w:r w:rsidRPr="005A7C77">
        <w:t>Odbor za prava žena i rodnu ravnopravnost</w:t>
      </w:r>
      <w:r w:rsidRPr="005A7C77">
        <w:rPr>
          <w:rStyle w:val="HideTWBExt"/>
        </w:rPr>
        <w:t>&lt;/Commission&gt;</w:t>
      </w:r>
    </w:p>
    <w:p w14:paraId="6E88F3F7" w14:textId="0DDD8566" w:rsidR="00144AD8" w:rsidRPr="005A7C77" w:rsidRDefault="002D72DD">
      <w:pPr>
        <w:pStyle w:val="CoverNormal24a"/>
      </w:pPr>
      <w:r w:rsidRPr="005A7C77">
        <w:t xml:space="preserve">Izvjestiteljica: </w:t>
      </w:r>
      <w:r w:rsidRPr="005A7C77">
        <w:rPr>
          <w:rStyle w:val="HideTWBExt"/>
        </w:rPr>
        <w:t>&lt;Depute&gt;</w:t>
      </w:r>
      <w:r w:rsidRPr="005A7C77">
        <w:t>Lina Gálvez</w:t>
      </w:r>
      <w:r w:rsidRPr="005A7C77">
        <w:rPr>
          <w:rStyle w:val="HideTWBExt"/>
        </w:rPr>
        <w:t>&lt;/Depute&gt;</w:t>
      </w:r>
    </w:p>
    <w:p w14:paraId="17044FF5" w14:textId="77777777" w:rsidR="00627DF1" w:rsidRPr="005A7C77" w:rsidRDefault="00627DF1" w:rsidP="00627DF1">
      <w:pPr>
        <w:pStyle w:val="CoverNormal"/>
      </w:pPr>
    </w:p>
    <w:p w14:paraId="1B7C1BFC" w14:textId="44E89F70" w:rsidR="00144AD8" w:rsidRPr="005A7C77" w:rsidRDefault="00144AD8" w:rsidP="009340AC">
      <w:pPr>
        <w:widowControl/>
        <w:tabs>
          <w:tab w:val="center" w:pos="4677"/>
        </w:tabs>
      </w:pPr>
      <w:r w:rsidRPr="005A7C77">
        <w:br w:type="page"/>
      </w:r>
      <w:r w:rsidRPr="005A7C77">
        <w:lastRenderedPageBreak/>
        <w:t>PR_INI_RecommCFSP</w:t>
      </w:r>
    </w:p>
    <w:p w14:paraId="034A4BF2" w14:textId="55BC0969" w:rsidR="00144AD8" w:rsidRPr="005A7C77" w:rsidRDefault="001220B8">
      <w:pPr>
        <w:pStyle w:val="TOCHeading"/>
      </w:pPr>
      <w:r w:rsidRPr="005A7C77">
        <w:t>SADRŽAJ</w:t>
      </w:r>
    </w:p>
    <w:p w14:paraId="54503BA2" w14:textId="0DAFDF13" w:rsidR="00144AD8" w:rsidRPr="005A7C77" w:rsidRDefault="001220B8">
      <w:pPr>
        <w:pStyle w:val="TOCPage"/>
      </w:pPr>
      <w:r w:rsidRPr="005A7C77">
        <w:t>Stranica</w:t>
      </w:r>
    </w:p>
    <w:p w14:paraId="1A6CDF61" w14:textId="7124661C" w:rsidR="00216277" w:rsidRDefault="00144AD8">
      <w:pPr>
        <w:pStyle w:val="TOC1"/>
        <w:tabs>
          <w:tab w:val="right" w:leader="dot" w:pos="9060"/>
        </w:tabs>
        <w:rPr>
          <w:rFonts w:asciiTheme="minorHAnsi" w:eastAsiaTheme="minorEastAsia" w:hAnsiTheme="minorHAnsi" w:cstheme="minorBidi"/>
          <w:noProof/>
          <w:kern w:val="2"/>
          <w:szCs w:val="24"/>
          <w:lang w:val="en-GB"/>
          <w14:ligatures w14:val="standardContextual"/>
        </w:rPr>
      </w:pPr>
      <w:r w:rsidRPr="005A7C77">
        <w:fldChar w:fldCharType="begin"/>
      </w:r>
      <w:r w:rsidRPr="005A7C77">
        <w:instrText xml:space="preserve"> TOC \t "PageHeading</w:instrText>
      </w:r>
      <w:r w:rsidR="002D72DD" w:rsidRPr="005A7C77">
        <w:instrText>;</w:instrText>
      </w:r>
      <w:r w:rsidRPr="005A7C77">
        <w:instrText xml:space="preserve">1" </w:instrText>
      </w:r>
      <w:r w:rsidRPr="005A7C77">
        <w:fldChar w:fldCharType="separate"/>
      </w:r>
      <w:r w:rsidR="00216277">
        <w:rPr>
          <w:noProof/>
        </w:rPr>
        <w:t>NACRT PREPORUKE EUROPSKOG PARLAMENTA</w:t>
      </w:r>
      <w:r w:rsidR="00216277">
        <w:rPr>
          <w:noProof/>
        </w:rPr>
        <w:tab/>
      </w:r>
      <w:r w:rsidR="00216277">
        <w:rPr>
          <w:noProof/>
        </w:rPr>
        <w:fldChar w:fldCharType="begin"/>
      </w:r>
      <w:r w:rsidR="00216277">
        <w:rPr>
          <w:noProof/>
        </w:rPr>
        <w:instrText xml:space="preserve"> PAGEREF _Toc214608192 \h </w:instrText>
      </w:r>
      <w:r w:rsidR="00216277">
        <w:rPr>
          <w:noProof/>
        </w:rPr>
      </w:r>
      <w:r w:rsidR="00216277">
        <w:rPr>
          <w:noProof/>
        </w:rPr>
        <w:fldChar w:fldCharType="separate"/>
      </w:r>
      <w:r w:rsidR="00216277">
        <w:rPr>
          <w:noProof/>
        </w:rPr>
        <w:t>3</w:t>
      </w:r>
      <w:r w:rsidR="00216277">
        <w:rPr>
          <w:noProof/>
        </w:rPr>
        <w:fldChar w:fldCharType="end"/>
      </w:r>
    </w:p>
    <w:p w14:paraId="5DC254FE" w14:textId="4B0A873F" w:rsidR="00216277" w:rsidRDefault="00216277">
      <w:pPr>
        <w:pStyle w:val="TOC1"/>
        <w:tabs>
          <w:tab w:val="right" w:leader="dot" w:pos="9060"/>
        </w:tabs>
        <w:rPr>
          <w:rFonts w:asciiTheme="minorHAnsi" w:eastAsiaTheme="minorEastAsia" w:hAnsiTheme="minorHAnsi" w:cstheme="minorBidi"/>
          <w:noProof/>
          <w:kern w:val="2"/>
          <w:szCs w:val="24"/>
          <w:lang w:val="en-GB"/>
          <w14:ligatures w14:val="standardContextual"/>
        </w:rPr>
      </w:pPr>
      <w:r>
        <w:rPr>
          <w:noProof/>
        </w:rPr>
        <w:t>OBRAZLOŽENJE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_Toc214608193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14:paraId="14F8D20C" w14:textId="03437C6E" w:rsidR="00627DF1" w:rsidRPr="005A7C77" w:rsidRDefault="00144AD8" w:rsidP="00865AB2">
      <w:r w:rsidRPr="005A7C77">
        <w:fldChar w:fldCharType="end"/>
      </w:r>
    </w:p>
    <w:p w14:paraId="289ED2AE" w14:textId="6C46763B" w:rsidR="00144AD8" w:rsidRPr="005A7C77" w:rsidRDefault="00144AD8">
      <w:pPr>
        <w:pStyle w:val="PageHeading"/>
      </w:pPr>
      <w:r w:rsidRPr="005A7C77">
        <w:br w:type="page"/>
      </w:r>
      <w:bookmarkStart w:id="0" w:name="_Toc214608192"/>
      <w:r w:rsidRPr="005A7C77">
        <w:lastRenderedPageBreak/>
        <w:t>NACRT PREPORUKE EUROPSKOG PARLAMENTA</w:t>
      </w:r>
      <w:bookmarkEnd w:id="0"/>
    </w:p>
    <w:p w14:paraId="70051927" w14:textId="7542EAC1" w:rsidR="00144AD8" w:rsidRPr="005A7C77" w:rsidRDefault="002D72DD">
      <w:pPr>
        <w:pStyle w:val="NormalBold"/>
      </w:pPr>
      <w:r w:rsidRPr="005A7C77">
        <w:t>Vijeću</w:t>
      </w:r>
      <w:r w:rsidR="005A7C77" w:rsidRPr="005A7C77">
        <w:t xml:space="preserve"> </w:t>
      </w:r>
      <w:r w:rsidRPr="005A7C77">
        <w:t xml:space="preserve">u vezi s prioritetima EU-a za 70. sjednicu Komisije UN-a o statusu žena </w:t>
      </w:r>
    </w:p>
    <w:p w14:paraId="0EA2D300" w14:textId="28D7FCA8" w:rsidR="00144AD8" w:rsidRPr="005A7C77" w:rsidRDefault="002D72DD" w:rsidP="00A144CA">
      <w:pPr>
        <w:pStyle w:val="NormalBold"/>
      </w:pPr>
      <w:r w:rsidRPr="005A7C77">
        <w:t>2025/2240(INI))</w:t>
      </w:r>
    </w:p>
    <w:p w14:paraId="178554C9" w14:textId="687187D9" w:rsidR="00144AD8" w:rsidRPr="005A7C77" w:rsidRDefault="001220B8">
      <w:pPr>
        <w:pStyle w:val="EPComma"/>
      </w:pPr>
      <w:r w:rsidRPr="005A7C77">
        <w:rPr>
          <w:i/>
        </w:rPr>
        <w:t>Europski parlament</w:t>
      </w:r>
      <w:r w:rsidRPr="005A7C77">
        <w:t>,</w:t>
      </w:r>
    </w:p>
    <w:p w14:paraId="13700AE5" w14:textId="77777777" w:rsidR="002D72DD" w:rsidRPr="005A7C77" w:rsidRDefault="00144AD8" w:rsidP="002D72DD">
      <w:pPr>
        <w:pStyle w:val="NormalHanging12a"/>
      </w:pPr>
      <w:r w:rsidRPr="005A7C77">
        <w:t>–</w:t>
      </w:r>
      <w:r w:rsidRPr="005A7C77">
        <w:tab/>
        <w:t>uzimajući u obzir 70. sjednicu Komisije UN-a o statusu žena, koja će se održati u ožujku 2026., njezinu prioritetnu temu naslovljenu „Osiguravanje i jačanje pristupa pravosuđu za sve žene i djevojčice, među ostalim promicanjem uključivih i pravednih pravnih sustava, ukidanjem diskriminirajućih zakona, politika i praksi te uklanjanjem strukturnih prepreka” i njezinu temu evaluacije naslovljenu „Potpuno i učinkovito sudjelovanje žena i donošenje odluka u javnom životu, kao i iskorjenjivanje nasilja, radi postizanja rodne ravnopravnosti i osnaživanja svih žena i djevojčica”,</w:t>
      </w:r>
    </w:p>
    <w:p w14:paraId="4C5EBBA6" w14:textId="77777777" w:rsidR="002D72DD" w:rsidRPr="005A7C77" w:rsidRDefault="002D72DD" w:rsidP="002D72DD">
      <w:pPr>
        <w:pStyle w:val="NormalHanging12a"/>
      </w:pPr>
      <w:r w:rsidRPr="005A7C77">
        <w:t>–</w:t>
      </w:r>
      <w:r w:rsidRPr="005A7C77">
        <w:tab/>
        <w:t>uzimajući u obzir Konvenciju UN-a o ukidanju svih oblika diskriminacije žena od 18. prosinca 1979.,</w:t>
      </w:r>
    </w:p>
    <w:p w14:paraId="69519B94" w14:textId="77777777" w:rsidR="002D72DD" w:rsidRPr="005A7C77" w:rsidRDefault="002D72DD" w:rsidP="002D72DD">
      <w:pPr>
        <w:pStyle w:val="pf0"/>
        <w:ind w:left="567" w:hanging="567"/>
        <w:rPr>
          <w:rFonts w:ascii="Arial" w:hAnsi="Arial" w:cs="Arial"/>
          <w:sz w:val="20"/>
        </w:rPr>
      </w:pPr>
      <w:r w:rsidRPr="005A7C77">
        <w:t>–</w:t>
      </w:r>
      <w:r w:rsidRPr="005A7C77">
        <w:tab/>
        <w:t>uzimajući u obzir UN-ov Program održivog razvoja do 2030., odnosno načelo da nitko ne smije biti zapostavljen, a posebno cilj održivog razvoja br. 5, kojim se nastoji postići rodna ravnopravnost i osigurati da žene imaju jednaka prava na ekonomske resurse, kao i pristup vlasništvu i kontroli nad zemljištem i drugim oblicima vlasništva, financijskim uslugama, nasljedstvu i prirodnim resursima te cilj održivog razvoja br. 10, kojim se nastoje ukloniti diskriminacijski zakoni, politike i prakse te promicati odgovarajuće zakonodavstvo, politike i djelovanje,</w:t>
      </w:r>
    </w:p>
    <w:p w14:paraId="7ACA7985" w14:textId="77777777" w:rsidR="002D72DD" w:rsidRPr="005A7C77" w:rsidRDefault="002D72DD" w:rsidP="002D72DD">
      <w:pPr>
        <w:pStyle w:val="NormalHanging12a"/>
      </w:pPr>
      <w:r w:rsidRPr="005A7C77">
        <w:t>–</w:t>
      </w:r>
      <w:r w:rsidRPr="005A7C77">
        <w:tab/>
        <w:t>uzimajući u obzir članke 20., 21., 23. i 47. Povelje Europske unije o temeljnim pravima,</w:t>
      </w:r>
    </w:p>
    <w:p w14:paraId="44A4CDB7" w14:textId="77777777" w:rsidR="002D72DD" w:rsidRPr="005A7C77" w:rsidRDefault="002D72DD" w:rsidP="002D72DD">
      <w:pPr>
        <w:pStyle w:val="NormalHanging12a"/>
      </w:pPr>
      <w:r w:rsidRPr="005A7C77">
        <w:t>–</w:t>
      </w:r>
      <w:r w:rsidRPr="005A7C77">
        <w:tab/>
        <w:t>uzimajući u obzir zajedničku komunikaciju Komisije i Vijeća od 25. studenoga 2020. naslovljenu „Akcijski plan EU-a za rodnu ravnopravnost (GAP) III – Ambiciozan plan za rodnu ravnopravnost i jačanje položaja žena u okviru vanjskog djelovanja EU-a” (JOIN(2020)0017), u kojoj se opisuje akcijski plan EU-a za rodnu ravnopravnost za razdoblje od 2021. do 2025.,</w:t>
      </w:r>
    </w:p>
    <w:p w14:paraId="0174BCA0" w14:textId="77777777" w:rsidR="002D72DD" w:rsidRPr="005A7C77" w:rsidRDefault="002D72DD" w:rsidP="002D72DD">
      <w:pPr>
        <w:pStyle w:val="NormalHanging12a"/>
      </w:pPr>
      <w:r w:rsidRPr="005A7C77">
        <w:t>–</w:t>
      </w:r>
      <w:r w:rsidRPr="005A7C77">
        <w:tab/>
        <w:t>uzimajući u obzir komunikaciju Komisije od 7. ožujka 2025. naslovljenu „Plan za prava žena” (COM(2020)0097), u kojoj se ponovno potvrđuje predanost EU-a rodnoj ravnopravnosti,</w:t>
      </w:r>
    </w:p>
    <w:p w14:paraId="7675031D" w14:textId="77777777" w:rsidR="002D72DD" w:rsidRPr="005A7C77" w:rsidRDefault="002D72DD" w:rsidP="002D72DD">
      <w:pPr>
        <w:pStyle w:val="NormalHanging12a"/>
      </w:pPr>
      <w:r w:rsidRPr="005A7C77">
        <w:t>–</w:t>
      </w:r>
      <w:r w:rsidRPr="005A7C77">
        <w:tab/>
        <w:t>uzimajući u obzir komunikaciju Komisije od 5. ožujka 2020. naslovljenu „Unija jednakosti: Strategija za rodnu ravnopravnost 2020. – 2025.” (COM(2020)0152),</w:t>
      </w:r>
    </w:p>
    <w:p w14:paraId="02056A33" w14:textId="77777777" w:rsidR="002D72DD" w:rsidRPr="005A7C77" w:rsidRDefault="002D72DD" w:rsidP="002D72DD">
      <w:pPr>
        <w:pStyle w:val="NormalHanging12a"/>
        <w:rPr>
          <w:szCs w:val="24"/>
        </w:rPr>
      </w:pPr>
      <w:r w:rsidRPr="005A7C77">
        <w:t>–</w:t>
      </w:r>
      <w:r w:rsidRPr="005A7C77">
        <w:tab/>
        <w:t>uzimajući u obzir Direktivu 2012/29/EU Europskog parlamenta i Vijeća od 25. listopada 2012. o uspostavi minimalnih standarda za prava, potporu i zaštitu žrtava kaznenih djela te o zamjeni Okvirne odluke Vijeća 2001/220/PUP</w:t>
      </w:r>
      <w:r w:rsidRPr="005A7C77">
        <w:rPr>
          <w:rStyle w:val="FootnoteReference"/>
          <w:szCs w:val="24"/>
        </w:rPr>
        <w:footnoteReference w:id="1"/>
      </w:r>
      <w:r w:rsidRPr="005A7C77">
        <w:t>,</w:t>
      </w:r>
    </w:p>
    <w:p w14:paraId="24C7CC85" w14:textId="77777777" w:rsidR="002D72DD" w:rsidRPr="005A7C77" w:rsidRDefault="002D72DD" w:rsidP="002D72DD">
      <w:pPr>
        <w:pStyle w:val="NormalHanging12a"/>
      </w:pPr>
      <w:r w:rsidRPr="005A7C77">
        <w:t>–</w:t>
      </w:r>
      <w:r w:rsidRPr="005A7C77">
        <w:tab/>
        <w:t xml:space="preserve">uzimajući u obzir Komisijin program Pravosuđe za razdoblje 2021. – 2027., kojim se </w:t>
      </w:r>
      <w:r w:rsidRPr="005A7C77">
        <w:lastRenderedPageBreak/>
        <w:t>osiguravaju financijska sredstva za potporu pravosudnoj suradnji u građanskim i kaznenim stvarima, kao što su obuke za suce i druge pravosudne djelatnike te djelotvoran pristup pravosuđu za građane i poduzeća,</w:t>
      </w:r>
    </w:p>
    <w:p w14:paraId="1FFDC152" w14:textId="77777777" w:rsidR="002D72DD" w:rsidRPr="005A7C77" w:rsidRDefault="002D72DD" w:rsidP="002D72DD">
      <w:pPr>
        <w:pStyle w:val="NormalHanging12a"/>
      </w:pPr>
      <w:r w:rsidRPr="005A7C77">
        <w:t>–</w:t>
      </w:r>
      <w:r w:rsidRPr="005A7C77">
        <w:tab/>
        <w:t>uzimajući u obzir Konvenciju Vijeća Europe o sprečavanju i borbi protiv nasilja nad ženama i nasilja u obitelji (Istanbulska konvencija),</w:t>
      </w:r>
    </w:p>
    <w:p w14:paraId="711255D1" w14:textId="502FC296" w:rsidR="00144AD8" w:rsidRPr="005A7C77" w:rsidRDefault="002D72DD" w:rsidP="002D72DD">
      <w:pPr>
        <w:pStyle w:val="NormalHanging12a"/>
      </w:pPr>
      <w:r w:rsidRPr="005A7C77">
        <w:t>–</w:t>
      </w:r>
      <w:r w:rsidRPr="005A7C77">
        <w:tab/>
        <w:t>uzimajući u obzir članak 81. stavak 2. Ugovora o funkcioniranju Europske unije,</w:t>
      </w:r>
    </w:p>
    <w:p w14:paraId="677338F8" w14:textId="6840D561" w:rsidR="00144AD8" w:rsidRPr="005A7C77" w:rsidRDefault="00144AD8">
      <w:pPr>
        <w:pStyle w:val="NormalHanging12a"/>
      </w:pPr>
      <w:r w:rsidRPr="005A7C77">
        <w:t>–</w:t>
      </w:r>
      <w:r w:rsidRPr="005A7C77">
        <w:tab/>
        <w:t>uzimajući u obzir članak 121. Poslovnika,</w:t>
      </w:r>
    </w:p>
    <w:p w14:paraId="4A5D80A6" w14:textId="09932D12" w:rsidR="00144AD8" w:rsidRPr="005A7C77" w:rsidRDefault="00144AD8">
      <w:pPr>
        <w:pStyle w:val="NormalHanging12a"/>
      </w:pPr>
      <w:r w:rsidRPr="005A7C77">
        <w:t>–</w:t>
      </w:r>
      <w:r w:rsidRPr="005A7C77">
        <w:tab/>
        <w:t>uzimajući u obzir izvješće Odbora za prava žena i rodnu ravnopravnost (A10</w:t>
      </w:r>
      <w:r w:rsidRPr="005A7C77">
        <w:noBreakHyphen/>
        <w:t>0000/2025),</w:t>
      </w:r>
    </w:p>
    <w:p w14:paraId="672B7D58" w14:textId="77777777" w:rsidR="002D72DD" w:rsidRPr="005A7C77" w:rsidRDefault="00144AD8" w:rsidP="002D72DD">
      <w:pPr>
        <w:pStyle w:val="NormalHanging12a"/>
      </w:pPr>
      <w:r w:rsidRPr="005A7C77">
        <w:t>A.</w:t>
      </w:r>
      <w:r w:rsidRPr="005A7C77">
        <w:tab/>
        <w:t>budući da je ravnopravnost žena i muškaraca temeljno načelo EU-a; budući da bi rodno osviještenu politiku i intersekcijski pristup trebalo provesti i integrirati u sve politike EU-a; budući da bi unutarnje i vanjske politike trebale ostati dosljedne i usklađene kako bi se osiguralo učinkovito i uvjerljivo promicanje ljudskih prava, demokracije i rodne ravnopravnosti u cijelom svijetu;</w:t>
      </w:r>
    </w:p>
    <w:p w14:paraId="0A749906" w14:textId="77777777" w:rsidR="002D72DD" w:rsidRPr="005A7C77" w:rsidRDefault="002D72DD" w:rsidP="002D72DD">
      <w:pPr>
        <w:pStyle w:val="NormalHanging12a"/>
        <w:rPr>
          <w:szCs w:val="24"/>
        </w:rPr>
      </w:pPr>
      <w:r w:rsidRPr="005A7C77">
        <w:t>B.</w:t>
      </w:r>
      <w:r w:rsidRPr="005A7C77">
        <w:tab/>
        <w:t>budući da prava žena i rodna ravnopravnost nisu samo temeljna ljudska prava nego i preduvjeti za unapređenje ljudskog razvoja, smanjenje siromaštva te izgradnju potrebnog temelja za miroljubiv, napredan i održiv svijet;</w:t>
      </w:r>
    </w:p>
    <w:p w14:paraId="361F3EEA" w14:textId="77777777" w:rsidR="002D72DD" w:rsidRPr="005A7C77" w:rsidRDefault="002D72DD" w:rsidP="002D72DD">
      <w:pPr>
        <w:pStyle w:val="NormalHanging12a"/>
        <w:rPr>
          <w:szCs w:val="24"/>
        </w:rPr>
      </w:pPr>
      <w:r w:rsidRPr="005A7C77">
        <w:t>C.</w:t>
      </w:r>
      <w:r w:rsidRPr="005A7C77">
        <w:tab/>
        <w:t>budući da je pristup pravosuđu općepriznat kao temeljno ljudsko pravo u skladu s međunarodnim pravom, temeljni koncept u širem području pravosuđa i temelj vladavine prava i demokracije; budući da EU prepoznaje pristup pravosuđu kao temeljno pravo u skladu s člankom 47. Povelje Europske unije o temeljnim pravima;</w:t>
      </w:r>
    </w:p>
    <w:p w14:paraId="67BD78A3" w14:textId="77777777" w:rsidR="002D72DD" w:rsidRPr="005A7C77" w:rsidRDefault="002D72DD" w:rsidP="002D72DD">
      <w:pPr>
        <w:pStyle w:val="NormalHanging12a"/>
        <w:rPr>
          <w:szCs w:val="24"/>
        </w:rPr>
      </w:pPr>
      <w:r w:rsidRPr="005A7C77">
        <w:t>D.</w:t>
      </w:r>
      <w:r w:rsidRPr="005A7C77">
        <w:tab/>
        <w:t>budući da je pristup žena pravosuđu i dalje složen i ključan problem u svim regijama svijeta;</w:t>
      </w:r>
    </w:p>
    <w:p w14:paraId="6AC9F90D" w14:textId="77777777" w:rsidR="002D72DD" w:rsidRPr="005A7C77" w:rsidRDefault="002D72DD" w:rsidP="002D72DD">
      <w:pPr>
        <w:pStyle w:val="NormalHanging12a"/>
        <w:rPr>
          <w:szCs w:val="24"/>
        </w:rPr>
      </w:pPr>
      <w:r w:rsidRPr="005A7C77">
        <w:t>E.</w:t>
      </w:r>
      <w:r w:rsidRPr="005A7C77">
        <w:tab/>
        <w:t>budući da su u cijelom svijetu žene i dalje znatno nedovoljno zastupljene na najvišim razinama pravosuđa i tužiteljstva, posebno na vodećim položajima kao što su predsjednici sudova, predsjednici vrhovnog suda i voditelji ureda tužitelja;</w:t>
      </w:r>
    </w:p>
    <w:p w14:paraId="616460E1" w14:textId="77777777" w:rsidR="002D72DD" w:rsidRPr="005A7C77" w:rsidRDefault="002D72DD" w:rsidP="002D72DD">
      <w:pPr>
        <w:pStyle w:val="NormalHanging12a"/>
        <w:rPr>
          <w:szCs w:val="24"/>
        </w:rPr>
      </w:pPr>
      <w:r w:rsidRPr="005A7C77">
        <w:t>F.</w:t>
      </w:r>
      <w:r w:rsidRPr="005A7C77">
        <w:tab/>
        <w:t>budući da UN namjenskim inicijativama i kampanjama aktivno promiče veće sudjelovanje žena u sektoru pravosuđa; budući da je veća zastupljenost žena u pravosudnim institucijama povezana s promicanjem pristupa pravosuđu koji su više usmjereni na žrtve;</w:t>
      </w:r>
    </w:p>
    <w:p w14:paraId="62E58D00" w14:textId="77777777" w:rsidR="002D72DD" w:rsidRPr="005A7C77" w:rsidRDefault="002D72DD" w:rsidP="002D72DD">
      <w:pPr>
        <w:pStyle w:val="NormalHanging12a"/>
        <w:rPr>
          <w:szCs w:val="24"/>
        </w:rPr>
      </w:pPr>
      <w:r w:rsidRPr="005A7C77">
        <w:t>G.</w:t>
      </w:r>
      <w:r w:rsidRPr="005A7C77">
        <w:tab/>
        <w:t>budući da nasilje nad ženama i nasilje u obitelji predstavljaju kršenje temeljnih prava; budući da pravni sustavi moraju odgovarati na posebne potrebe žrtava rodno uvjetovanog nasilja osiguravanjem odgovarajuće zaštite i pravnih lijekova; budući da se mnoge žene i dalje suočavaju sa znatnim preprekama u prijavljivanju zlostavljanja i pristupu pravnoj potpori;</w:t>
      </w:r>
    </w:p>
    <w:p w14:paraId="1B5F1D1B" w14:textId="77777777" w:rsidR="002D72DD" w:rsidRPr="005A7C77" w:rsidRDefault="002D72DD" w:rsidP="002D72DD">
      <w:pPr>
        <w:pStyle w:val="NormalHanging12a"/>
        <w:rPr>
          <w:szCs w:val="24"/>
        </w:rPr>
      </w:pPr>
      <w:r w:rsidRPr="005A7C77">
        <w:t>H.</w:t>
      </w:r>
      <w:r w:rsidRPr="005A7C77">
        <w:tab/>
        <w:t>budući da stereotipiziranje u pravosuđu i prevladavajuće rodne norme mogu otežati pravdu za žene koje su žrtve nasilja i koje su preživjele nasilje;</w:t>
      </w:r>
    </w:p>
    <w:p w14:paraId="7B18DCF3" w14:textId="11E85F0B" w:rsidR="00267945" w:rsidRPr="005A7C77" w:rsidRDefault="00267945" w:rsidP="00267945">
      <w:pPr>
        <w:pStyle w:val="NormalHanging12a"/>
      </w:pPr>
      <w:r w:rsidRPr="005A7C77">
        <w:lastRenderedPageBreak/>
        <w:t>1.</w:t>
      </w:r>
      <w:r w:rsidRPr="005A7C77">
        <w:tab/>
        <w:t>preporučuje Vijeću:</w:t>
      </w:r>
    </w:p>
    <w:p w14:paraId="57D30ABB" w14:textId="77777777" w:rsidR="002D72DD" w:rsidRPr="005A7C77" w:rsidRDefault="001220B8" w:rsidP="002D72DD">
      <w:pPr>
        <w:pStyle w:val="NormalHanging12a"/>
        <w:ind w:firstLine="0"/>
      </w:pPr>
      <w:r w:rsidRPr="005A7C77">
        <w:t>a)</w:t>
      </w:r>
      <w:r w:rsidRPr="005A7C77">
        <w:tab/>
        <w:t>da ponovo potvrdi nepokolebljivu predanost EU-a rodnoj ravnopravnosti i osigura da se prava žena u potpunosti provode u svim aspektima vanjskog djelovanja EU-a pomoću primjereno financiranog, rodno transformativnog, uključivog i intersekcijskog pristupa;</w:t>
      </w:r>
    </w:p>
    <w:p w14:paraId="564F8EA9" w14:textId="77777777" w:rsidR="002D72DD" w:rsidRPr="005A7C77" w:rsidRDefault="002D72DD" w:rsidP="002D72DD">
      <w:pPr>
        <w:pStyle w:val="NormalHanging12a"/>
        <w:ind w:firstLine="0"/>
      </w:pPr>
      <w:r w:rsidRPr="005A7C77">
        <w:t>b)</w:t>
      </w:r>
      <w:r w:rsidRPr="005A7C77">
        <w:tab/>
        <w:t>da zajamči puno sudjelovanje Parlamenta i njegova Odbora za prava žena i rodnu ravnopravnost u postupku donošenja odluka o stajalištu EU-a na 70. sjednici Komisije UN-a o statusu žena; da osigura da Parlament ima odgovarajuće informacije i pristup dokumentu o stajalištu EU-a prije pregovora; da dodatno poboljša međuinstitucijsku suradnju, među ostalim tijekom pregovora, kako bi se na odgovarajući način uključili prioriteti Parlamenta;</w:t>
      </w:r>
    </w:p>
    <w:p w14:paraId="4520C45C" w14:textId="77777777" w:rsidR="002D72DD" w:rsidRPr="005A7C77" w:rsidRDefault="002D72DD" w:rsidP="002D72DD">
      <w:pPr>
        <w:pStyle w:val="NormalHanging12a"/>
        <w:ind w:firstLine="0"/>
      </w:pPr>
      <w:r w:rsidRPr="005A7C77">
        <w:t>c)</w:t>
      </w:r>
      <w:r w:rsidRPr="005A7C77">
        <w:tab/>
        <w:t>da se obveže na snažnu potporu radu organizacije UN Women, središnjeg aktera u sustavu UN-a za unaprjeđenje prava žena u svoj njihovoj raznolikosti i okupljanje svih relevantnih dionika kako bi se generirale promjene u politikama i koordinirala djelovanja; da pozove sve države članice UN-a, zajedno s EU-om, da osiguraju odgovarajuća financijska sredstva za organizaciju UN Women;</w:t>
      </w:r>
    </w:p>
    <w:p w14:paraId="1519C488" w14:textId="77777777" w:rsidR="002D72DD" w:rsidRPr="005A7C77" w:rsidRDefault="002D72DD" w:rsidP="002D72DD">
      <w:pPr>
        <w:pStyle w:val="NormalHanging12a"/>
        <w:ind w:firstLine="0"/>
      </w:pPr>
      <w:r w:rsidRPr="005A7C77">
        <w:t>d)</w:t>
      </w:r>
      <w:r w:rsidRPr="005A7C77">
        <w:tab/>
        <w:t>da osigura da europski i međunarodni instrumenti budu komplementarni i ambiciozni, sa strogim i materijalnim odredbama za osnaživanje žena i jamčenje pristupa pravosuđu te da uzme u obzir da je pravo na pravnu pomoć ključno u tom pogledu; da osigura da EU pokaže snažno vodstvo i zauzme jedinstveno stajalište o uključivim i nepristranim pravosudnim sustavima dostupnima svima, posebno skupinama u nepovoljnom položaju i ranjivim skupinama žena koje se često suočavaju s preprekama u pristupu pravosuđu zbog nedostataka u institucionalnim kapacitetima, društveno-kulturnih razloga i diskriminacije; da ispita mogućnost osnivanja posebnih sudova za rodno uvjetovano nasilje; da se zalaže za sveobuhvatne pravne okvire kojima se štite prava žena i osigurava potpuno i ravnopravno sudjelovanje žena u skladu s nacionalnim i međunarodnim pravom;</w:t>
      </w:r>
    </w:p>
    <w:p w14:paraId="18955759" w14:textId="77777777" w:rsidR="002D72DD" w:rsidRPr="005A7C77" w:rsidRDefault="002D72DD" w:rsidP="002D72DD">
      <w:pPr>
        <w:pStyle w:val="NormalHanging12a"/>
        <w:ind w:firstLine="0"/>
      </w:pPr>
      <w:r w:rsidRPr="005A7C77">
        <w:t>e)</w:t>
      </w:r>
      <w:r w:rsidRPr="005A7C77">
        <w:tab/>
        <w:t>da primijeni rodno osviještenu politiku i rodno osviještenu izradu proračuna u svim područjima politika EU-a, uključujući vanjsko djelovanje; da naglasi potrebu da države dodijele dostatna sredstva za rodno osjetljivu pravnu pomoć i usluge potpore, posebno za osobe koje su preživjele rodno uvjetovano nasilje, te dostatan pristup odšteti jer postojeće prepreke nerazmjerno utječu na pristup žena pravosuđu;</w:t>
      </w:r>
    </w:p>
    <w:p w14:paraId="34449ED1" w14:textId="77777777" w:rsidR="002D72DD" w:rsidRPr="005A7C77" w:rsidRDefault="002D72DD" w:rsidP="002D72DD">
      <w:pPr>
        <w:pStyle w:val="NormalHanging12a"/>
        <w:ind w:firstLine="0"/>
      </w:pPr>
      <w:r w:rsidRPr="005A7C77">
        <w:t>f)</w:t>
      </w:r>
      <w:r w:rsidRPr="005A7C77">
        <w:tab/>
        <w:t>da ubrza provedbu međunarodnih obveza za daljnje sprečavanje svih oblika nasilja nad ženama i djevojčicama u javnoj i privatnoj sferi i odgovor na te oblike nasilja, uključujući genitalno sakaćenje žena, prisilni brak, dijeljenje intimnog ili manipuliranog materijala bez pristanka, uhođenje na internetu, uznemiravanje na internetu, neželjeno pokazivanje intimnog sadržaja na internetu i poticanje na nasilje ili mržnju na internetu;</w:t>
      </w:r>
    </w:p>
    <w:p w14:paraId="478D7538" w14:textId="77777777" w:rsidR="002D72DD" w:rsidRPr="005A7C77" w:rsidRDefault="002D72DD" w:rsidP="002D72DD">
      <w:pPr>
        <w:pStyle w:val="NormalHanging12a"/>
        <w:ind w:firstLine="0"/>
      </w:pPr>
      <w:r w:rsidRPr="005A7C77">
        <w:t>g)</w:t>
      </w:r>
      <w:r w:rsidRPr="005A7C77">
        <w:tab/>
        <w:t>da poduzme mjere za potpunu provedbu postojećih obveza u pogledu rodne ravnopravnosti i osnaživanja žena, osiguravajući pritom zaštitu jednakih ljudskih prava i temeljnih sloboda žena bez diskriminacije, kako bi se unaprijedilo njihovo sudjelovanje u javnom životu;</w:t>
      </w:r>
    </w:p>
    <w:p w14:paraId="18D6AF27" w14:textId="77777777" w:rsidR="002D72DD" w:rsidRPr="005A7C77" w:rsidRDefault="002D72DD" w:rsidP="002D72DD">
      <w:pPr>
        <w:pStyle w:val="NormalHanging12a"/>
        <w:ind w:firstLine="0"/>
      </w:pPr>
      <w:r w:rsidRPr="005A7C77">
        <w:lastRenderedPageBreak/>
        <w:t>h)</w:t>
      </w:r>
      <w:r w:rsidRPr="005A7C77">
        <w:tab/>
        <w:t>da naglasi da su prava žena i rodna ravnopravnost temeljna ljudska prava ključna za vladavinu prava, otporne i uključive demokracije te temeljne vrijednosti EU-a; da istakne da je žalosno što se milijuni žena i djevojčica, posebno u slučajevima sukoba i raseljavanja, i dalje suočavaju s diskriminacijom, nasiljem i uskraćivanjem njihova dostojanstva i mogućnosti djelovanja; da ponovno naglasi da je silovanje i dalje jedno od najraširenijih oblika kršenja ljudskih prava na svijetu; da naglasi važnost zakonodavstva u kojem je silovanje definirano izostankom pristanka;</w:t>
      </w:r>
    </w:p>
    <w:p w14:paraId="7F0A1B6B" w14:textId="77777777" w:rsidR="002D72DD" w:rsidRPr="005A7C77" w:rsidRDefault="002D72DD" w:rsidP="002D72DD">
      <w:pPr>
        <w:pStyle w:val="NormalHanging12a"/>
        <w:ind w:firstLine="0"/>
      </w:pPr>
      <w:r w:rsidRPr="005A7C77">
        <w:t>i)</w:t>
      </w:r>
      <w:r w:rsidRPr="005A7C77">
        <w:tab/>
      </w:r>
      <w:r w:rsidRPr="005A7C77">
        <w:tab/>
        <w:t>da promiče zastupljenost žena u pravosuđu i njegovim upravljačkim tijelima radi uklanjanja strukturnih prepreka koje perpetuira patrijarhalni i androcentrički pravosudni sustav;</w:t>
      </w:r>
    </w:p>
    <w:p w14:paraId="41CAD72D" w14:textId="77777777" w:rsidR="002D72DD" w:rsidRPr="005A7C77" w:rsidRDefault="002D72DD" w:rsidP="002D72DD">
      <w:pPr>
        <w:pStyle w:val="NormalHanging12a"/>
      </w:pPr>
      <w:r w:rsidRPr="005A7C77">
        <w:t>2.</w:t>
      </w:r>
      <w:r w:rsidRPr="005A7C77">
        <w:tab/>
        <w:t>nalaže svojoj predsjednici da ovu preporuku proslijedi Vijeću, Komisiji i potpredsjednici Komisije / visokoj predstavnici Unije za vanjske poslove i sigurnosnu politiku te, radi obavijesti, posebnoj predstavnici EU-a za ljudska prava.</w:t>
      </w:r>
    </w:p>
    <w:p w14:paraId="06A38C98" w14:textId="1DADA434" w:rsidR="00902C4B" w:rsidRPr="005A7C77" w:rsidRDefault="00902C4B" w:rsidP="002D72DD">
      <w:pPr>
        <w:pStyle w:val="NormalHangingLeft12a"/>
        <w:sectPr w:rsidR="00902C4B" w:rsidRPr="005A7C77" w:rsidSect="005A7C77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footnotePr>
            <w:numRestart w:val="eachSect"/>
          </w:footnotePr>
          <w:endnotePr>
            <w:numFmt w:val="decimal"/>
          </w:endnotePr>
          <w:pgSz w:w="11906" w:h="16838" w:code="9"/>
          <w:pgMar w:top="1134" w:right="1418" w:bottom="1418" w:left="1418" w:header="1134" w:footer="567" w:gutter="0"/>
          <w:cols w:space="720"/>
          <w:noEndnote/>
          <w:titlePg/>
        </w:sectPr>
      </w:pPr>
    </w:p>
    <w:p w14:paraId="4B556947" w14:textId="24F47595" w:rsidR="00902C4B" w:rsidRPr="005A7C77" w:rsidRDefault="001220B8" w:rsidP="00902C4B">
      <w:pPr>
        <w:pStyle w:val="PageHeading"/>
      </w:pPr>
      <w:bookmarkStart w:id="1" w:name="_Toc214608193"/>
      <w:r w:rsidRPr="005A7C77">
        <w:lastRenderedPageBreak/>
        <w:t>OBRAZLOŽENJE</w:t>
      </w:r>
      <w:bookmarkEnd w:id="1"/>
    </w:p>
    <w:p w14:paraId="1A94388A" w14:textId="77777777" w:rsidR="002D72DD" w:rsidRPr="005A7C77" w:rsidRDefault="002D72DD" w:rsidP="002D72DD">
      <w:r w:rsidRPr="005A7C77">
        <w:t>Ravnopravnost žena i muškaraca predstavlja temeljno načelo Europske unije. Rodno osviještena politika i intersekcijski pristup moraju se provoditi i integrirati u sve politike EU-a, pri čemu je potrebno osigurati dosljednost između unutarnjeg i vanjskog djelovanja kako bi se u cijelom svijetu promicala ljudska prava, demokracija i rodna ravnopravnost. Prava žena i rodna ravnopravnost nisu samo temeljna ljudska prava nego i preduvjeti za razvoj, smanjenje siromaštva i izgradnju miroljubivih, naprednih i održivih društava.</w:t>
      </w:r>
    </w:p>
    <w:p w14:paraId="4349C932" w14:textId="77777777" w:rsidR="002D72DD" w:rsidRPr="005A7C77" w:rsidRDefault="002D72DD" w:rsidP="002D72DD"/>
    <w:p w14:paraId="00B84C73" w14:textId="77777777" w:rsidR="002D72DD" w:rsidRPr="005A7C77" w:rsidRDefault="002D72DD" w:rsidP="002D72DD">
      <w:r w:rsidRPr="005A7C77">
        <w:t>Pristup pravosuđu, utvrđen u međunarodnom pravu i članku 47. Povelje Europske unije o temeljnim pravima, ključan je za vladavinu prava i demokraciju. No pristup žena pravosuđu i dalje je složeno i ključno pitanje u svim regijama. Žene su i dalje u znatnoj mjeri nedovoljno zastupljene na najvišim razinama pravosuđa i tužiteljstva, posebno na vodećim položajima kao što su predsjednici sudova, predsjednici vrhovnih sudova i voditelji ureda tužitelja; Istovremeno stereotipiziranje u pravosuđu i prevladavajuće rodne norme otežavaju pravdu za žene koje su žrtve nasilja i koje su preživjele nasilje.</w:t>
      </w:r>
    </w:p>
    <w:p w14:paraId="39597D9E" w14:textId="77777777" w:rsidR="002D72DD" w:rsidRPr="005A7C77" w:rsidRDefault="002D72DD" w:rsidP="002D72DD"/>
    <w:p w14:paraId="3934E5D3" w14:textId="77777777" w:rsidR="002D72DD" w:rsidRPr="005A7C77" w:rsidRDefault="002D72DD" w:rsidP="002D72DD">
      <w:r w:rsidRPr="005A7C77">
        <w:t>Ujedinjeni narodi promiču veće sudjelovanje žena u pravosudnom sektoru, a dokazi pokazuju da se većom zastupljenošću žena u pravosudnim institucijama promiču pristupi pravosuđu koji su više usmjereni na žrtve. To je posebno bitno u reagiranju na nasilje nad ženama i nasilje u obitelji, koji predstavljaju kršenje temeljnih prava. Pravni sustavi moraju odgovarati potrebama žrtava osiguranjem odgovarajuće zaštite i pravnih lijekova, no mnoge žene i dalje se suočavaju sa znatnim preprekama u prijavljivanju zlostavljanja i pristupu pravnoj potpori. Mnoge žene i djevojčice, posebno one koje se suočavaju s višestrukim i intersekcijskim oblicima diskriminacije, doživljavaju pravosudni sustav kao nedovoljno osjetljiv na stvarnost ranjivih skupina.</w:t>
      </w:r>
    </w:p>
    <w:p w14:paraId="3D61A346" w14:textId="77777777" w:rsidR="002D72DD" w:rsidRPr="005A7C77" w:rsidRDefault="002D72DD" w:rsidP="002D72DD"/>
    <w:p w14:paraId="65C1832D" w14:textId="77777777" w:rsidR="002D72DD" w:rsidRPr="005A7C77" w:rsidRDefault="002D72DD" w:rsidP="002D72DD">
      <w:r w:rsidRPr="005A7C77">
        <w:t>Ovom se preporukom poziva Vijeće da ponovo potvrdi predanost EU-a rodnoj ravnopravnosti i osigura da se prava žena u potpunosti provode u svim aspektima vanjskog djelovanja EU-a pomoću uključivog, intersekcijskog i primjereno financiranog pristupa. Također se ističe da je potrebno puno sudjelovanje Parlamenta i njegova Odbora za prava žena i rodnu ravnopravnost u oblikovanju stajališta EU-a na 70. sjednici Komisije UN-a o statusu žena.</w:t>
      </w:r>
    </w:p>
    <w:p w14:paraId="4BD251E1" w14:textId="77777777" w:rsidR="002D72DD" w:rsidRPr="005A7C77" w:rsidRDefault="002D72DD" w:rsidP="002D72DD"/>
    <w:p w14:paraId="5E9BFA3B" w14:textId="77777777" w:rsidR="002D72DD" w:rsidRPr="005A7C77" w:rsidRDefault="002D72DD" w:rsidP="002D72DD">
      <w:r w:rsidRPr="005A7C77">
        <w:t>Osim toga, preporuka uključuje obvezu pružanja snažne potpore organizaciji UN Women kao središnjem akteru u okviru sustava UN-a za promicanje prava žena te se sve države članice UN-a, zajedno s EU-om, pozivaju da osiguraju odgovarajuća financijska sredstva. U njoj se naglašava važnost ambicioznih i komplementarnih europskih i međunarodnih instrumenata sa strogim odredbama kojima se jamči osnaživanje žena i pristup pravosuđu, uključujući pristup pravnoj pomoći i razmatranje specijaliziranih sudova za rodno uvjetovano nasilje. Zaštita prava žena učinkovitim pravosudnim sustavima predstavlja put prema pravednijim društvima, u skladu s učinkovitom provedbom Programa održivog razvoja do 2030. (SDG16).</w:t>
      </w:r>
    </w:p>
    <w:p w14:paraId="20DB8CF1" w14:textId="77777777" w:rsidR="002D72DD" w:rsidRPr="005A7C77" w:rsidRDefault="002D72DD" w:rsidP="002D72DD"/>
    <w:p w14:paraId="21BAB56C" w14:textId="77777777" w:rsidR="002D72DD" w:rsidRPr="005A7C77" w:rsidRDefault="002D72DD" w:rsidP="002D72DD">
      <w:r w:rsidRPr="005A7C77">
        <w:t xml:space="preserve">Naposljetku, u preporuci se naglašava potreba za rodno osviještenom politikom i rodno osviještenom izradom proračuna u svim područjima politika EU-a, za ubrzanjem međunarodnih obveza kako bi se spriječili svi oblici nasilja nad ženama i djevojčicama te za promicanjem jednake zastupljenosti žena u pravosuđu. Prava žena i rodna ravnopravnost ključni su za vladavinu prava, otporne demokracije i temeljne vrijednosti EU-a, a Unija mora preuzeti vodeću ulogu u osiguravanju da su ta prava zajamčena u praksi. Pristup pravosuđu za </w:t>
      </w:r>
      <w:r w:rsidRPr="005A7C77">
        <w:lastRenderedPageBreak/>
        <w:t>sve ključan je za pravedna i uključiva društva te je preduvjet za stvarnu rodnu ravnopravnost i ljudska prava.</w:t>
      </w:r>
    </w:p>
    <w:sectPr w:rsidR="002D72DD" w:rsidRPr="005A7C77" w:rsidSect="005A7C77">
      <w:footnotePr>
        <w:numRestart w:val="eachSect"/>
      </w:footnotePr>
      <w:endnotePr>
        <w:numFmt w:val="decimal"/>
      </w:endnotePr>
      <w:pgSz w:w="11906" w:h="16838" w:code="9"/>
      <w:pgMar w:top="1134" w:right="1418" w:bottom="1418" w:left="1418" w:header="1134" w:footer="567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9E481F" w14:textId="77777777" w:rsidR="001220B8" w:rsidRPr="005A7C77" w:rsidRDefault="001220B8">
      <w:r w:rsidRPr="005A7C77">
        <w:separator/>
      </w:r>
    </w:p>
  </w:endnote>
  <w:endnote w:type="continuationSeparator" w:id="0">
    <w:p w14:paraId="35B5672E" w14:textId="77777777" w:rsidR="001220B8" w:rsidRPr="005A7C77" w:rsidRDefault="001220B8">
      <w:r w:rsidRPr="005A7C77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DokChampa">
    <w:altName w:val="Leelawadee UI"/>
    <w:charset w:val="DE"/>
    <w:family w:val="swiss"/>
    <w:pitch w:val="variable"/>
    <w:sig w:usb0="83000003" w:usb1="00000000" w:usb2="00000000" w:usb3="00000000" w:csb0="0001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17A1CA" w14:textId="77777777" w:rsidR="005A7C77" w:rsidRPr="005A7C77" w:rsidRDefault="005A7C77" w:rsidP="005A7C77">
    <w:pPr>
      <w:pStyle w:val="EPFooter"/>
    </w:pPr>
    <w:r w:rsidRPr="005A7C77">
      <w:t>PE</w:t>
    </w:r>
    <w:r w:rsidRPr="005A7C77">
      <w:rPr>
        <w:rStyle w:val="HideTWBExt"/>
      </w:rPr>
      <w:t>&lt;NoPE&gt;</w:t>
    </w:r>
    <w:r w:rsidRPr="005A7C77">
      <w:t>776.895</w:t>
    </w:r>
    <w:r w:rsidRPr="005A7C77">
      <w:rPr>
        <w:rStyle w:val="HideTWBExt"/>
      </w:rPr>
      <w:t>&lt;/NoPE&gt;&lt;Version&gt;</w:t>
    </w:r>
    <w:r w:rsidRPr="005A7C77">
      <w:t>v02-00</w:t>
    </w:r>
    <w:r w:rsidRPr="005A7C77">
      <w:rPr>
        <w:rStyle w:val="HideTWBExt"/>
      </w:rPr>
      <w:t>&lt;/Version&gt;</w:t>
    </w:r>
    <w:r w:rsidRPr="005A7C77">
      <w:tab/>
    </w:r>
    <w:r w:rsidRPr="005A7C77">
      <w:fldChar w:fldCharType="begin"/>
    </w:r>
    <w:r w:rsidRPr="005A7C77">
      <w:instrText xml:space="preserve"> PAGE  \* MERGEFORMAT </w:instrText>
    </w:r>
    <w:r w:rsidRPr="005A7C77">
      <w:fldChar w:fldCharType="separate"/>
    </w:r>
    <w:r w:rsidRPr="005A7C77">
      <w:rPr>
        <w:noProof/>
      </w:rPr>
      <w:t>8</w:t>
    </w:r>
    <w:r w:rsidRPr="005A7C77">
      <w:fldChar w:fldCharType="end"/>
    </w:r>
    <w:r w:rsidRPr="005A7C77">
      <w:t>/</w:t>
    </w:r>
    <w:fldSimple w:instr=" NUMPAGES  \* MERGEFORMAT ">
      <w:r w:rsidRPr="005A7C77">
        <w:rPr>
          <w:noProof/>
        </w:rPr>
        <w:t>8</w:t>
      </w:r>
    </w:fldSimple>
    <w:r w:rsidRPr="005A7C77">
      <w:tab/>
    </w:r>
    <w:r w:rsidRPr="005A7C77">
      <w:rPr>
        <w:rStyle w:val="HideTWBExt"/>
      </w:rPr>
      <w:t>&lt;PathFdR&gt;</w:t>
    </w:r>
    <w:r w:rsidRPr="005A7C77">
      <w:t>PR\1332470HR.docx</w:t>
    </w:r>
    <w:r w:rsidRPr="005A7C77">
      <w:rPr>
        <w:rStyle w:val="HideTWBExt"/>
      </w:rPr>
      <w:t>&lt;/PathFdR&gt;</w:t>
    </w:r>
  </w:p>
  <w:p w14:paraId="3EE7F1E2" w14:textId="23655D75" w:rsidR="00144AD8" w:rsidRPr="005A7C77" w:rsidRDefault="005A7C77" w:rsidP="005A7C77">
    <w:pPr>
      <w:pStyle w:val="EPFooter2"/>
    </w:pPr>
    <w:r w:rsidRPr="005A7C77">
      <w:t>HR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A95B07" w14:textId="77777777" w:rsidR="005A7C77" w:rsidRPr="005A7C77" w:rsidRDefault="005A7C77" w:rsidP="005A7C77">
    <w:pPr>
      <w:pStyle w:val="EPFooter"/>
    </w:pPr>
    <w:r w:rsidRPr="005A7C77">
      <w:rPr>
        <w:rStyle w:val="HideTWBExt"/>
      </w:rPr>
      <w:t>&lt;PathFdR&gt;</w:t>
    </w:r>
    <w:r w:rsidRPr="005A7C77">
      <w:t>PR\1332470HR.docx</w:t>
    </w:r>
    <w:r w:rsidRPr="005A7C77">
      <w:rPr>
        <w:rStyle w:val="HideTWBExt"/>
      </w:rPr>
      <w:t>&lt;/PathFdR&gt;</w:t>
    </w:r>
    <w:r w:rsidRPr="005A7C77">
      <w:tab/>
    </w:r>
    <w:r w:rsidRPr="005A7C77">
      <w:fldChar w:fldCharType="begin"/>
    </w:r>
    <w:r w:rsidRPr="005A7C77">
      <w:instrText xml:space="preserve"> PAGE  \* MERGEFORMAT </w:instrText>
    </w:r>
    <w:r w:rsidRPr="005A7C77">
      <w:fldChar w:fldCharType="separate"/>
    </w:r>
    <w:r w:rsidRPr="005A7C77">
      <w:rPr>
        <w:noProof/>
      </w:rPr>
      <w:t>7</w:t>
    </w:r>
    <w:r w:rsidRPr="005A7C77">
      <w:fldChar w:fldCharType="end"/>
    </w:r>
    <w:r w:rsidRPr="005A7C77">
      <w:t>/</w:t>
    </w:r>
    <w:fldSimple w:instr=" NUMPAGES  \* MERGEFORMAT ">
      <w:r w:rsidRPr="005A7C77">
        <w:rPr>
          <w:noProof/>
        </w:rPr>
        <w:t>8</w:t>
      </w:r>
    </w:fldSimple>
    <w:r w:rsidRPr="005A7C77">
      <w:tab/>
      <w:t>PE</w:t>
    </w:r>
    <w:r w:rsidRPr="005A7C77">
      <w:rPr>
        <w:rStyle w:val="HideTWBExt"/>
      </w:rPr>
      <w:t>&lt;NoPE&gt;</w:t>
    </w:r>
    <w:r w:rsidRPr="005A7C77">
      <w:t>776.895</w:t>
    </w:r>
    <w:r w:rsidRPr="005A7C77">
      <w:rPr>
        <w:rStyle w:val="HideTWBExt"/>
      </w:rPr>
      <w:t>&lt;/NoPE&gt;&lt;Version&gt;</w:t>
    </w:r>
    <w:r w:rsidRPr="005A7C77">
      <w:t>v02-00</w:t>
    </w:r>
    <w:r w:rsidRPr="005A7C77">
      <w:rPr>
        <w:rStyle w:val="HideTWBExt"/>
      </w:rPr>
      <w:t>&lt;/Version&gt;</w:t>
    </w:r>
  </w:p>
  <w:p w14:paraId="0031339B" w14:textId="38FD7536" w:rsidR="00144AD8" w:rsidRPr="005A7C77" w:rsidRDefault="005A7C77" w:rsidP="005A7C77">
    <w:pPr>
      <w:pStyle w:val="EPFooter2"/>
    </w:pPr>
    <w:r w:rsidRPr="005A7C77">
      <w:tab/>
    </w:r>
    <w:r w:rsidRPr="005A7C77">
      <w:tab/>
      <w:t>HR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BDF6D6" w14:textId="77777777" w:rsidR="005A7C77" w:rsidRPr="005A7C77" w:rsidRDefault="005A7C77" w:rsidP="005A7C77">
    <w:pPr>
      <w:pStyle w:val="EPFooter"/>
    </w:pPr>
    <w:r w:rsidRPr="005A7C77">
      <w:rPr>
        <w:rStyle w:val="HideTWBExt"/>
      </w:rPr>
      <w:t>&lt;PathFdR&gt;</w:t>
    </w:r>
    <w:r w:rsidRPr="005A7C77">
      <w:t>PR\1332470HR.docx</w:t>
    </w:r>
    <w:r w:rsidRPr="005A7C77">
      <w:rPr>
        <w:rStyle w:val="HideTWBExt"/>
      </w:rPr>
      <w:t>&lt;/PathFdR&gt;</w:t>
    </w:r>
    <w:r w:rsidRPr="005A7C77">
      <w:tab/>
    </w:r>
    <w:r w:rsidRPr="005A7C77">
      <w:tab/>
      <w:t>PE</w:t>
    </w:r>
    <w:r w:rsidRPr="005A7C77">
      <w:rPr>
        <w:rStyle w:val="HideTWBExt"/>
      </w:rPr>
      <w:t>&lt;NoPE&gt;</w:t>
    </w:r>
    <w:r w:rsidRPr="005A7C77">
      <w:t>776.895</w:t>
    </w:r>
    <w:r w:rsidRPr="005A7C77">
      <w:rPr>
        <w:rStyle w:val="HideTWBExt"/>
      </w:rPr>
      <w:t>&lt;/NoPE&gt;&lt;Version&gt;</w:t>
    </w:r>
    <w:r w:rsidRPr="005A7C77">
      <w:t>v02-00</w:t>
    </w:r>
    <w:r w:rsidRPr="005A7C77">
      <w:rPr>
        <w:rStyle w:val="HideTWBExt"/>
      </w:rPr>
      <w:t>&lt;/Version&gt;</w:t>
    </w:r>
  </w:p>
  <w:p w14:paraId="7382E79B" w14:textId="32C7A2CB" w:rsidR="00144AD8" w:rsidRPr="005A7C77" w:rsidRDefault="005A7C77" w:rsidP="005A7C77">
    <w:pPr>
      <w:pStyle w:val="EPFooter2"/>
    </w:pPr>
    <w:r w:rsidRPr="005A7C77">
      <w:t>HR</w:t>
    </w:r>
    <w:r w:rsidRPr="005A7C77">
      <w:tab/>
    </w:r>
    <w:r w:rsidRPr="005A7C77">
      <w:rPr>
        <w:b w:val="0"/>
        <w:i/>
        <w:color w:val="C0C0C0"/>
        <w:sz w:val="22"/>
      </w:rPr>
      <w:t>Ujedinjena u raznolikosti</w:t>
    </w:r>
    <w:r w:rsidRPr="005A7C77">
      <w:tab/>
      <w:t>HR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2726D4" w14:textId="77777777" w:rsidR="001220B8" w:rsidRPr="005A7C77" w:rsidRDefault="001220B8">
      <w:r w:rsidRPr="005A7C77">
        <w:separator/>
      </w:r>
    </w:p>
  </w:footnote>
  <w:footnote w:type="continuationSeparator" w:id="0">
    <w:p w14:paraId="46FB26BB" w14:textId="77777777" w:rsidR="001220B8" w:rsidRPr="005A7C77" w:rsidRDefault="001220B8">
      <w:r w:rsidRPr="005A7C77">
        <w:continuationSeparator/>
      </w:r>
    </w:p>
  </w:footnote>
  <w:footnote w:id="1">
    <w:p w14:paraId="7E2D3E86" w14:textId="40C4973D" w:rsidR="002D72DD" w:rsidRPr="005A7C77" w:rsidRDefault="002D72DD" w:rsidP="002D72DD">
      <w:pPr>
        <w:pStyle w:val="FootnoteText"/>
      </w:pPr>
      <w:r w:rsidRPr="005A7C77">
        <w:rPr>
          <w:rStyle w:val="FootnoteReference"/>
        </w:rPr>
        <w:footnoteRef/>
      </w:r>
      <w:r w:rsidRPr="005A7C77">
        <w:t xml:space="preserve"> SL L 315, 14.11.2012., str. 57., ELI: </w:t>
      </w:r>
      <w:hyperlink r:id="rId1" w:tooltip="Omogućuje pristup tom dokumentu preko identifikatora ELI URI." w:history="1">
        <w:r w:rsidRPr="005A7C77">
          <w:rPr>
            <w:rStyle w:val="Hyperlink"/>
          </w:rPr>
          <w:t>http://data.europa.eu/eli/dir/2012/29/oj</w:t>
        </w:r>
      </w:hyperlink>
      <w:r w:rsidRPr="005A7C77"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094A4F" w14:textId="77777777" w:rsidR="00FF02C9" w:rsidRDefault="00FF02C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DF2F92" w14:textId="77777777" w:rsidR="00FF02C9" w:rsidRDefault="00FF02C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26D16" w14:textId="77777777" w:rsidR="00FF02C9" w:rsidRDefault="00FF02C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5B22A8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0C0EE6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FB40F5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BF525D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730919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026A28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CDC9AF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E120C2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92AAA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B4278A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2101246537">
    <w:abstractNumId w:val="9"/>
  </w:num>
  <w:num w:numId="2" w16cid:durableId="731192836">
    <w:abstractNumId w:val="9"/>
  </w:num>
  <w:num w:numId="3" w16cid:durableId="1508447065">
    <w:abstractNumId w:val="7"/>
  </w:num>
  <w:num w:numId="4" w16cid:durableId="1439059727">
    <w:abstractNumId w:val="7"/>
  </w:num>
  <w:num w:numId="5" w16cid:durableId="1001741968">
    <w:abstractNumId w:val="6"/>
  </w:num>
  <w:num w:numId="6" w16cid:durableId="1896114594">
    <w:abstractNumId w:val="6"/>
  </w:num>
  <w:num w:numId="7" w16cid:durableId="621350676">
    <w:abstractNumId w:val="5"/>
  </w:num>
  <w:num w:numId="8" w16cid:durableId="259679455">
    <w:abstractNumId w:val="5"/>
  </w:num>
  <w:num w:numId="9" w16cid:durableId="711728602">
    <w:abstractNumId w:val="4"/>
  </w:num>
  <w:num w:numId="10" w16cid:durableId="1157846432">
    <w:abstractNumId w:val="4"/>
  </w:num>
  <w:num w:numId="11" w16cid:durableId="672605806">
    <w:abstractNumId w:val="8"/>
  </w:num>
  <w:num w:numId="12" w16cid:durableId="1295521415">
    <w:abstractNumId w:val="8"/>
  </w:num>
  <w:num w:numId="13" w16cid:durableId="564534668">
    <w:abstractNumId w:val="3"/>
  </w:num>
  <w:num w:numId="14" w16cid:durableId="1067000833">
    <w:abstractNumId w:val="3"/>
  </w:num>
  <w:num w:numId="15" w16cid:durableId="925924140">
    <w:abstractNumId w:val="2"/>
  </w:num>
  <w:num w:numId="16" w16cid:durableId="1664510945">
    <w:abstractNumId w:val="2"/>
  </w:num>
  <w:num w:numId="17" w16cid:durableId="2127001263">
    <w:abstractNumId w:val="1"/>
  </w:num>
  <w:num w:numId="18" w16cid:durableId="1171067215">
    <w:abstractNumId w:val="1"/>
  </w:num>
  <w:num w:numId="19" w16cid:durableId="91172666">
    <w:abstractNumId w:val="0"/>
  </w:num>
  <w:num w:numId="20" w16cid:durableId="129370072">
    <w:abstractNumId w:val="0"/>
  </w:num>
  <w:num w:numId="21" w16cid:durableId="469828005">
    <w:abstractNumId w:val="9"/>
  </w:num>
  <w:num w:numId="22" w16cid:durableId="141624484">
    <w:abstractNumId w:val="7"/>
  </w:num>
  <w:num w:numId="23" w16cid:durableId="626737826">
    <w:abstractNumId w:val="6"/>
  </w:num>
  <w:num w:numId="24" w16cid:durableId="999114082">
    <w:abstractNumId w:val="5"/>
  </w:num>
  <w:num w:numId="25" w16cid:durableId="1600139021">
    <w:abstractNumId w:val="4"/>
  </w:num>
  <w:num w:numId="26" w16cid:durableId="804465900">
    <w:abstractNumId w:val="8"/>
  </w:num>
  <w:num w:numId="27" w16cid:durableId="1630934599">
    <w:abstractNumId w:val="3"/>
  </w:num>
  <w:num w:numId="28" w16cid:durableId="1635064542">
    <w:abstractNumId w:val="2"/>
  </w:num>
  <w:num w:numId="29" w16cid:durableId="1023552787">
    <w:abstractNumId w:val="1"/>
  </w:num>
  <w:num w:numId="30" w16cid:durableId="1066106599">
    <w:abstractNumId w:val="0"/>
  </w:num>
  <w:num w:numId="31" w16cid:durableId="428619211">
    <w:abstractNumId w:val="9"/>
  </w:num>
  <w:num w:numId="32" w16cid:durableId="211894273">
    <w:abstractNumId w:val="7"/>
  </w:num>
  <w:num w:numId="33" w16cid:durableId="1681466007">
    <w:abstractNumId w:val="6"/>
  </w:num>
  <w:num w:numId="34" w16cid:durableId="1880389015">
    <w:abstractNumId w:val="5"/>
  </w:num>
  <w:num w:numId="35" w16cid:durableId="204567833">
    <w:abstractNumId w:val="4"/>
  </w:num>
  <w:num w:numId="36" w16cid:durableId="105468281">
    <w:abstractNumId w:val="8"/>
  </w:num>
  <w:num w:numId="37" w16cid:durableId="1189031075">
    <w:abstractNumId w:val="3"/>
  </w:num>
  <w:num w:numId="38" w16cid:durableId="49160851">
    <w:abstractNumId w:val="2"/>
  </w:num>
  <w:num w:numId="39" w16cid:durableId="1074162204">
    <w:abstractNumId w:val="1"/>
  </w:num>
  <w:num w:numId="40" w16cid:durableId="2655819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mirrorMargin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footnotePr>
    <w:numRestart w:val="eachSect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UTHORMNU" w:val=" 2"/>
    <w:docVar w:name="COMKEY" w:val="FEMM"/>
    <w:docVar w:name="INSTMNU" w:val=" 1"/>
    <w:docVar w:name="LastEditedSection" w:val=" 1"/>
    <w:docVar w:name="strDocTypeID" w:val="PR_INI_RecommCFSP"/>
    <w:docVar w:name="strSubDir" w:val="1332"/>
    <w:docVar w:name="TXTLANGUE" w:val="HR"/>
    <w:docVar w:name="TXTLANGUEMIN" w:val="hr"/>
    <w:docVar w:name="TXTNRINI" w:val="2025/2240"/>
    <w:docVar w:name="TXTNRPE" w:val="776.895"/>
    <w:docVar w:name="TXTPEorAP" w:val="PE"/>
    <w:docVar w:name="TXTROUTE" w:val="PR\1332470HR.docx"/>
    <w:docVar w:name="TXTTITLE" w:val=" concerning the EU priorities for the 70th session of the UN Commission on the Status of Women "/>
    <w:docVar w:name="TXTVERSION" w:val="02-00"/>
  </w:docVars>
  <w:rsids>
    <w:rsidRoot w:val="001220B8"/>
    <w:rsid w:val="000005E5"/>
    <w:rsid w:val="00001993"/>
    <w:rsid w:val="00005D56"/>
    <w:rsid w:val="00010437"/>
    <w:rsid w:val="001220B8"/>
    <w:rsid w:val="00144AD8"/>
    <w:rsid w:val="001533B4"/>
    <w:rsid w:val="00160F77"/>
    <w:rsid w:val="001B22EB"/>
    <w:rsid w:val="00216277"/>
    <w:rsid w:val="00234B03"/>
    <w:rsid w:val="0024591C"/>
    <w:rsid w:val="00267945"/>
    <w:rsid w:val="00270ADC"/>
    <w:rsid w:val="002D72DD"/>
    <w:rsid w:val="0032649C"/>
    <w:rsid w:val="00387C58"/>
    <w:rsid w:val="00392F42"/>
    <w:rsid w:val="003D0074"/>
    <w:rsid w:val="00434A68"/>
    <w:rsid w:val="004A388E"/>
    <w:rsid w:val="004A5141"/>
    <w:rsid w:val="005577F1"/>
    <w:rsid w:val="005A7C77"/>
    <w:rsid w:val="0062719E"/>
    <w:rsid w:val="00627DF1"/>
    <w:rsid w:val="006548B7"/>
    <w:rsid w:val="00677765"/>
    <w:rsid w:val="00686DFF"/>
    <w:rsid w:val="0069495A"/>
    <w:rsid w:val="006D4C8E"/>
    <w:rsid w:val="006E363A"/>
    <w:rsid w:val="007C4764"/>
    <w:rsid w:val="0081489C"/>
    <w:rsid w:val="00855A58"/>
    <w:rsid w:val="0086407B"/>
    <w:rsid w:val="00865AB2"/>
    <w:rsid w:val="00902C4B"/>
    <w:rsid w:val="009062FC"/>
    <w:rsid w:val="009302EC"/>
    <w:rsid w:val="00931782"/>
    <w:rsid w:val="009340AC"/>
    <w:rsid w:val="009B3734"/>
    <w:rsid w:val="00A144CA"/>
    <w:rsid w:val="00A22B21"/>
    <w:rsid w:val="00A40948"/>
    <w:rsid w:val="00AF2187"/>
    <w:rsid w:val="00B10048"/>
    <w:rsid w:val="00B26C55"/>
    <w:rsid w:val="00B6527B"/>
    <w:rsid w:val="00B6642B"/>
    <w:rsid w:val="00BE7750"/>
    <w:rsid w:val="00C3019B"/>
    <w:rsid w:val="00C47D1A"/>
    <w:rsid w:val="00C7235E"/>
    <w:rsid w:val="00C7360B"/>
    <w:rsid w:val="00CA0DE5"/>
    <w:rsid w:val="00CB2AC0"/>
    <w:rsid w:val="00D349C1"/>
    <w:rsid w:val="00D860C1"/>
    <w:rsid w:val="00E048E2"/>
    <w:rsid w:val="00E05579"/>
    <w:rsid w:val="00E24484"/>
    <w:rsid w:val="00E26C78"/>
    <w:rsid w:val="00E34F46"/>
    <w:rsid w:val="00EA624D"/>
    <w:rsid w:val="00F65426"/>
    <w:rsid w:val="00FA7E38"/>
    <w:rsid w:val="00FC504F"/>
    <w:rsid w:val="00FC5F47"/>
    <w:rsid w:val="00FD4651"/>
    <w:rsid w:val="00FF0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3728C4E"/>
  <w15:chartTrackingRefBased/>
  <w15:docId w15:val="{F1C028A0-4C25-4356-9848-C319B64C72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footer" w:semiHidden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34B03"/>
    <w:pPr>
      <w:widowControl w:val="0"/>
    </w:pPr>
    <w:rPr>
      <w:sz w:val="24"/>
    </w:rPr>
  </w:style>
  <w:style w:type="paragraph" w:styleId="Heading1">
    <w:name w:val="heading 1"/>
    <w:basedOn w:val="Normal"/>
    <w:next w:val="Normal"/>
    <w:semiHidden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semiHidden/>
    <w:qFormat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semiHidden/>
    <w:qFormat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semiHidden/>
    <w:qFormat/>
    <w:pPr>
      <w:keepNext/>
      <w:spacing w:before="240" w:after="60"/>
      <w:outlineLvl w:val="3"/>
    </w:pPr>
    <w:rPr>
      <w:rFonts w:ascii="Arial" w:hAnsi="Arial"/>
      <w:b/>
    </w:rPr>
  </w:style>
  <w:style w:type="paragraph" w:styleId="Heading5">
    <w:name w:val="heading 5"/>
    <w:basedOn w:val="Normal"/>
    <w:next w:val="Normal"/>
    <w:semiHidden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semiHidden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semiHidden/>
    <w:qFormat/>
    <w:pPr>
      <w:spacing w:before="240" w:after="60"/>
      <w:outlineLvl w:val="6"/>
    </w:pPr>
    <w:rPr>
      <w:rFonts w:ascii="Arial" w:hAnsi="Arial"/>
    </w:rPr>
  </w:style>
  <w:style w:type="paragraph" w:styleId="Heading8">
    <w:name w:val="heading 8"/>
    <w:basedOn w:val="Normal"/>
    <w:next w:val="Normal"/>
    <w:semiHidden/>
    <w:qFormat/>
    <w:pPr>
      <w:spacing w:before="240" w:after="60"/>
      <w:outlineLvl w:val="7"/>
    </w:pPr>
    <w:rPr>
      <w:rFonts w:ascii="Arial" w:hAnsi="Arial"/>
      <w:i/>
    </w:rPr>
  </w:style>
  <w:style w:type="paragraph" w:styleId="Heading9">
    <w:name w:val="heading 9"/>
    <w:basedOn w:val="Normal"/>
    <w:next w:val="Normal"/>
    <w:semiHidden/>
    <w:qFormat/>
    <w:p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ideTWBExt">
    <w:name w:val="HideTWBExt"/>
    <w:rPr>
      <w:rFonts w:ascii="Arial" w:hAnsi="Arial"/>
      <w:noProof/>
      <w:vanish/>
      <w:color w:val="000080"/>
      <w:sz w:val="20"/>
    </w:rPr>
  </w:style>
  <w:style w:type="paragraph" w:customStyle="1" w:styleId="EPFooter2">
    <w:name w:val="EPFooter2"/>
    <w:basedOn w:val="Normal"/>
    <w:next w:val="Normal"/>
    <w:pPr>
      <w:widowControl/>
      <w:tabs>
        <w:tab w:val="center" w:pos="4535"/>
        <w:tab w:val="right" w:pos="9921"/>
      </w:tabs>
      <w:ind w:left="-850" w:right="-850"/>
    </w:pPr>
    <w:rPr>
      <w:rFonts w:ascii="Arial" w:hAnsi="Arial" w:cs="Arial"/>
      <w:b/>
      <w:sz w:val="48"/>
    </w:rPr>
  </w:style>
  <w:style w:type="paragraph" w:customStyle="1" w:styleId="EPComma">
    <w:name w:val="EPComma"/>
    <w:basedOn w:val="Normal"/>
    <w:rsid w:val="00A144CA"/>
    <w:pPr>
      <w:spacing w:before="480" w:after="240"/>
    </w:pPr>
  </w:style>
  <w:style w:type="paragraph" w:styleId="TOC1">
    <w:name w:val="toc 1"/>
    <w:basedOn w:val="Normal"/>
    <w:next w:val="Normal"/>
    <w:autoRedefine/>
    <w:uiPriority w:val="39"/>
    <w:rsid w:val="00005D56"/>
    <w:pPr>
      <w:spacing w:after="240"/>
    </w:pPr>
  </w:style>
  <w:style w:type="paragraph" w:styleId="TOCHeading">
    <w:name w:val="TOC Heading"/>
    <w:basedOn w:val="Normal"/>
    <w:next w:val="TOCPage"/>
    <w:qFormat/>
    <w:pPr>
      <w:keepNext/>
      <w:spacing w:before="240" w:after="240"/>
      <w:jc w:val="center"/>
    </w:pPr>
    <w:rPr>
      <w:rFonts w:ascii="Arial" w:hAnsi="Arial"/>
      <w:b/>
    </w:rPr>
  </w:style>
  <w:style w:type="paragraph" w:customStyle="1" w:styleId="TOCPage">
    <w:name w:val="TOC Page"/>
    <w:basedOn w:val="Normal"/>
    <w:next w:val="TOC1"/>
    <w:pPr>
      <w:keepNext/>
      <w:spacing w:after="240"/>
      <w:jc w:val="right"/>
    </w:pPr>
    <w:rPr>
      <w:rFonts w:ascii="Arial" w:hAnsi="Arial"/>
      <w:b/>
    </w:rPr>
  </w:style>
  <w:style w:type="character" w:customStyle="1" w:styleId="HideTWBInt">
    <w:name w:val="HideTWBInt"/>
    <w:rPr>
      <w:rFonts w:ascii="Arial" w:hAnsi="Arial" w:cs="Arial"/>
      <w:vanish/>
      <w:color w:val="808080"/>
      <w:sz w:val="20"/>
    </w:rPr>
  </w:style>
  <w:style w:type="paragraph" w:customStyle="1" w:styleId="PageHeading">
    <w:name w:val="PageHeading"/>
    <w:basedOn w:val="Normal"/>
    <w:pPr>
      <w:keepNext/>
      <w:spacing w:after="480"/>
      <w:jc w:val="center"/>
    </w:pPr>
    <w:rPr>
      <w:rFonts w:ascii="Arial" w:hAnsi="Arial" w:cs="Arial"/>
      <w:b/>
    </w:rPr>
  </w:style>
  <w:style w:type="paragraph" w:customStyle="1" w:styleId="NormalBold">
    <w:name w:val="NormalBold"/>
    <w:basedOn w:val="Normal"/>
    <w:rPr>
      <w:b/>
    </w:rPr>
  </w:style>
  <w:style w:type="paragraph" w:customStyle="1" w:styleId="NormalHanging12a">
    <w:name w:val="NormalHanging12a"/>
    <w:basedOn w:val="Normal"/>
    <w:link w:val="NormalHanging12aChar"/>
    <w:pPr>
      <w:spacing w:after="240"/>
      <w:ind w:left="567" w:hanging="567"/>
    </w:pPr>
  </w:style>
  <w:style w:type="paragraph" w:customStyle="1" w:styleId="EPName">
    <w:name w:val="EPName"/>
    <w:basedOn w:val="Normal"/>
    <w:rsid w:val="009340AC"/>
    <w:pPr>
      <w:spacing w:before="80" w:after="80"/>
    </w:pPr>
    <w:rPr>
      <w:rFonts w:ascii="Arial Narrow" w:hAnsi="Arial Narrow" w:cs="Arial"/>
      <w:b/>
      <w:sz w:val="32"/>
      <w:szCs w:val="22"/>
    </w:rPr>
  </w:style>
  <w:style w:type="paragraph" w:customStyle="1" w:styleId="CoverNormal24a">
    <w:name w:val="CoverNormal24a"/>
    <w:basedOn w:val="Normal"/>
    <w:rsid w:val="00C47D1A"/>
    <w:pPr>
      <w:spacing w:after="480"/>
      <w:ind w:left="1417"/>
    </w:pPr>
  </w:style>
  <w:style w:type="paragraph" w:customStyle="1" w:styleId="CoverNormal">
    <w:name w:val="CoverNormal"/>
    <w:basedOn w:val="Normal"/>
    <w:pPr>
      <w:ind w:left="1418"/>
    </w:pPr>
  </w:style>
  <w:style w:type="paragraph" w:customStyle="1" w:styleId="CoverReference">
    <w:name w:val="CoverReference"/>
    <w:basedOn w:val="Normal"/>
    <w:rsid w:val="006E363A"/>
    <w:pPr>
      <w:spacing w:before="1080"/>
      <w:jc w:val="right"/>
    </w:pPr>
    <w:rPr>
      <w:rFonts w:ascii="Arial" w:hAnsi="Arial" w:cs="Arial"/>
      <w:b/>
    </w:rPr>
  </w:style>
  <w:style w:type="paragraph" w:customStyle="1" w:styleId="CoverDocType24a">
    <w:name w:val="CoverDocType24a"/>
    <w:basedOn w:val="Normal"/>
    <w:rsid w:val="00C47D1A"/>
    <w:pPr>
      <w:spacing w:after="480"/>
      <w:ind w:left="1418"/>
    </w:pPr>
    <w:rPr>
      <w:rFonts w:ascii="Arial" w:hAnsi="Arial"/>
      <w:b/>
      <w:sz w:val="48"/>
    </w:rPr>
  </w:style>
  <w:style w:type="paragraph" w:customStyle="1" w:styleId="CoverDate">
    <w:name w:val="CoverDate"/>
    <w:basedOn w:val="Normal"/>
    <w:pPr>
      <w:spacing w:before="240" w:after="1200"/>
    </w:pPr>
  </w:style>
  <w:style w:type="paragraph" w:styleId="Header">
    <w:name w:val="header"/>
    <w:basedOn w:val="Normal"/>
    <w:link w:val="HeaderChar"/>
    <w:semiHidden/>
    <w:rsid w:val="006D4C8E"/>
    <w:pPr>
      <w:tabs>
        <w:tab w:val="center" w:pos="4513"/>
        <w:tab w:val="right" w:pos="9026"/>
      </w:tabs>
    </w:pPr>
  </w:style>
  <w:style w:type="character" w:styleId="PageNumber">
    <w:name w:val="page number"/>
    <w:basedOn w:val="DefaultParagraphFont"/>
    <w:semiHidden/>
  </w:style>
  <w:style w:type="table" w:styleId="TableGrid">
    <w:name w:val="Table Grid"/>
    <w:basedOn w:val="TableNormal"/>
    <w:rsid w:val="00C723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PBody">
    <w:name w:val="EPBody"/>
    <w:basedOn w:val="Normal"/>
    <w:rsid w:val="00C7235E"/>
    <w:pPr>
      <w:jc w:val="center"/>
    </w:pPr>
    <w:rPr>
      <w:rFonts w:ascii="Arial" w:hAnsi="Arial" w:cs="Arial"/>
      <w:i/>
      <w:sz w:val="22"/>
      <w:szCs w:val="22"/>
    </w:rPr>
  </w:style>
  <w:style w:type="paragraph" w:customStyle="1" w:styleId="LineTop">
    <w:name w:val="LineTop"/>
    <w:basedOn w:val="Normal"/>
    <w:next w:val="Normal"/>
    <w:rsid w:val="00C7235E"/>
    <w:pPr>
      <w:pBdr>
        <w:top w:val="single" w:sz="4" w:space="1" w:color="auto"/>
      </w:pBdr>
      <w:jc w:val="center"/>
    </w:pPr>
    <w:rPr>
      <w:rFonts w:ascii="Arial" w:hAnsi="Arial" w:cs="Arial"/>
      <w:sz w:val="16"/>
      <w:szCs w:val="16"/>
    </w:rPr>
  </w:style>
  <w:style w:type="paragraph" w:customStyle="1" w:styleId="LineBottom">
    <w:name w:val="LineBottom"/>
    <w:basedOn w:val="Normal"/>
    <w:next w:val="Normal"/>
    <w:rsid w:val="00C7235E"/>
    <w:pPr>
      <w:pBdr>
        <w:bottom w:val="single" w:sz="4" w:space="1" w:color="auto"/>
      </w:pBdr>
      <w:spacing w:after="240"/>
      <w:jc w:val="center"/>
    </w:pPr>
    <w:rPr>
      <w:rFonts w:ascii="Arial" w:hAnsi="Arial" w:cs="Arial"/>
      <w:sz w:val="16"/>
      <w:szCs w:val="16"/>
    </w:rPr>
  </w:style>
  <w:style w:type="paragraph" w:customStyle="1" w:styleId="EPTerm">
    <w:name w:val="EPTerm"/>
    <w:basedOn w:val="Normal"/>
    <w:next w:val="Normal"/>
    <w:rsid w:val="009340AC"/>
    <w:pPr>
      <w:spacing w:after="80"/>
    </w:pPr>
    <w:rPr>
      <w:rFonts w:ascii="Arial" w:hAnsi="Arial" w:cs="Arial"/>
      <w:sz w:val="20"/>
      <w:szCs w:val="22"/>
    </w:rPr>
  </w:style>
  <w:style w:type="paragraph" w:customStyle="1" w:styleId="EPLogo">
    <w:name w:val="EPLogo"/>
    <w:basedOn w:val="Normal"/>
    <w:qFormat/>
    <w:rsid w:val="009340AC"/>
    <w:pPr>
      <w:jc w:val="right"/>
    </w:pPr>
  </w:style>
  <w:style w:type="paragraph" w:customStyle="1" w:styleId="EPFooter">
    <w:name w:val="EPFooter"/>
    <w:basedOn w:val="Normal"/>
    <w:rsid w:val="00C47D1A"/>
    <w:pPr>
      <w:tabs>
        <w:tab w:val="center" w:pos="4535"/>
        <w:tab w:val="right" w:pos="9071"/>
      </w:tabs>
      <w:spacing w:before="240" w:after="240"/>
    </w:pPr>
    <w:rPr>
      <w:color w:val="010000"/>
      <w:sz w:val="22"/>
    </w:rPr>
  </w:style>
  <w:style w:type="character" w:customStyle="1" w:styleId="HeaderChar">
    <w:name w:val="Header Char"/>
    <w:basedOn w:val="DefaultParagraphFont"/>
    <w:link w:val="Header"/>
    <w:semiHidden/>
    <w:rsid w:val="006D4C8E"/>
    <w:rPr>
      <w:sz w:val="24"/>
    </w:rPr>
  </w:style>
  <w:style w:type="paragraph" w:customStyle="1" w:styleId="NormalHangingLeft12a">
    <w:name w:val="NormalHangingLeft12a"/>
    <w:basedOn w:val="Normal"/>
    <w:rsid w:val="00F65426"/>
    <w:pPr>
      <w:spacing w:after="240"/>
      <w:ind w:left="1134" w:hanging="567"/>
    </w:pPr>
  </w:style>
  <w:style w:type="paragraph" w:customStyle="1" w:styleId="Normal12a">
    <w:name w:val="Normal12a"/>
    <w:basedOn w:val="Normal"/>
    <w:rsid w:val="00902C4B"/>
    <w:pPr>
      <w:spacing w:after="240"/>
    </w:pPr>
  </w:style>
  <w:style w:type="character" w:customStyle="1" w:styleId="NormalHanging12aChar">
    <w:name w:val="NormalHanging12a Char"/>
    <w:basedOn w:val="DefaultParagraphFont"/>
    <w:link w:val="NormalHanging12a"/>
    <w:locked/>
    <w:rsid w:val="002D72DD"/>
    <w:rPr>
      <w:sz w:val="24"/>
      <w:lang w:val="hr-HR"/>
    </w:rPr>
  </w:style>
  <w:style w:type="paragraph" w:styleId="FootnoteText">
    <w:name w:val="footnote text"/>
    <w:basedOn w:val="Normal"/>
    <w:link w:val="FootnoteTextChar"/>
    <w:rsid w:val="002D72DD"/>
    <w:rPr>
      <w:sz w:val="20"/>
    </w:rPr>
  </w:style>
  <w:style w:type="character" w:customStyle="1" w:styleId="FootnoteTextChar">
    <w:name w:val="Footnote Text Char"/>
    <w:basedOn w:val="DefaultParagraphFont"/>
    <w:link w:val="FootnoteText"/>
    <w:rsid w:val="002D72DD"/>
  </w:style>
  <w:style w:type="character" w:styleId="FootnoteReference">
    <w:name w:val="footnote reference"/>
    <w:basedOn w:val="DefaultParagraphFont"/>
    <w:rsid w:val="002D72DD"/>
    <w:rPr>
      <w:vertAlign w:val="superscript"/>
    </w:rPr>
  </w:style>
  <w:style w:type="character" w:styleId="Hyperlink">
    <w:name w:val="Hyperlink"/>
    <w:basedOn w:val="DefaultParagraphFont"/>
    <w:rsid w:val="002D72DD"/>
    <w:rPr>
      <w:color w:val="0563C1" w:themeColor="hyperlink"/>
      <w:u w:val="single"/>
    </w:rPr>
  </w:style>
  <w:style w:type="paragraph" w:customStyle="1" w:styleId="pf0">
    <w:name w:val="pf0"/>
    <w:basedOn w:val="Normal"/>
    <w:rsid w:val="002D72DD"/>
    <w:pPr>
      <w:widowControl/>
      <w:spacing w:before="100" w:beforeAutospacing="1" w:after="100" w:afterAutospacing="1"/>
    </w:pPr>
    <w:rPr>
      <w:szCs w:val="24"/>
    </w:rPr>
  </w:style>
  <w:style w:type="paragraph" w:styleId="Footer">
    <w:name w:val="footer"/>
    <w:basedOn w:val="Normal"/>
    <w:link w:val="FooterChar"/>
    <w:semiHidden/>
    <w:rsid w:val="002D72D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semiHidden/>
    <w:rsid w:val="002D72DD"/>
    <w:rPr>
      <w:sz w:val="24"/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data.europa.eu/eli/dir/2012/29/oj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1914</Words>
  <Characters>11638</Characters>
  <Application>Microsoft Office Word</Application>
  <DocSecurity>0</DocSecurity>
  <Lines>207</Lines>
  <Paragraphs>69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PR_INI_RecommCFSP</vt:lpstr>
    </vt:vector>
  </TitlesOfParts>
  <Company/>
  <LinksUpToDate>false</LinksUpToDate>
  <CharactersWithSpaces>13483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PR_INI_RecommCFSP</dc:title>
  <dc:subject/>
  <dc:creator>BULJAN Jakov</dc:creator>
  <cp:keywords/>
  <dc:description/>
  <cp:lastModifiedBy>RAONIĆ Ena</cp:lastModifiedBy>
  <cp:revision>2</cp:revision>
  <cp:lastPrinted>2006-05-02T14:58:00Z</cp:lastPrinted>
  <dcterms:created xsi:type="dcterms:W3CDTF">2025-11-21T08:02:00Z</dcterms:created>
  <dcterms:modified xsi:type="dcterms:W3CDTF">2025-11-21T08:02:00Z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&lt;Extension&gt;">
    <vt:lpwstr>HR</vt:lpwstr>
  </property>
  <property fmtid="{D5CDD505-2E9C-101B-9397-08002B2CF9AE}" pid="3" name="Created with">
    <vt:lpwstr>10.2.0 Build [20251001]</vt:lpwstr>
  </property>
  <property fmtid="{D5CDD505-2E9C-101B-9397-08002B2CF9AE}" pid="4" name="LastEdited with">
    <vt:lpwstr>10.2.0 Build [20251001]</vt:lpwstr>
  </property>
  <property fmtid="{D5CDD505-2E9C-101B-9397-08002B2CF9AE}" pid="5" name="&lt;FdR&gt;">
    <vt:lpwstr>1332470</vt:lpwstr>
  </property>
  <property fmtid="{D5CDD505-2E9C-101B-9397-08002B2CF9AE}" pid="6" name="&lt;Type&gt;">
    <vt:lpwstr>PR</vt:lpwstr>
  </property>
  <property fmtid="{D5CDD505-2E9C-101B-9397-08002B2CF9AE}" pid="7" name="&lt;ModelCod&gt;">
    <vt:lpwstr>\\eiciLUXpr1\pdocep$\DocEP\DOCS\General\PR\PR_NonLeg\INI\PR_INI_RecommCFSP.dotx(23/11/2023 19:35:01)</vt:lpwstr>
  </property>
  <property fmtid="{D5CDD505-2E9C-101B-9397-08002B2CF9AE}" pid="8" name="&lt;ModelTra&gt;">
    <vt:lpwstr>\\eiciLUXpr1\pdocep$\DocEP\TRANSFIL\HR\PR_INI_RecommCFSP.HR(14/08/2024 19:08:10)</vt:lpwstr>
  </property>
  <property fmtid="{D5CDD505-2E9C-101B-9397-08002B2CF9AE}" pid="9" name="&lt;Model&gt;">
    <vt:lpwstr>PR_INI_RecommCFSP</vt:lpwstr>
  </property>
  <property fmtid="{D5CDD505-2E9C-101B-9397-08002B2CF9AE}" pid="10" name="FooterPath">
    <vt:lpwstr>PR\1332470HR.docx</vt:lpwstr>
  </property>
  <property fmtid="{D5CDD505-2E9C-101B-9397-08002B2CF9AE}" pid="11" name="PE number">
    <vt:lpwstr>776.895</vt:lpwstr>
  </property>
  <property fmtid="{D5CDD505-2E9C-101B-9397-08002B2CF9AE}" pid="12" name="Bookout">
    <vt:lpwstr>OK - 2025/11/21 09:02</vt:lpwstr>
  </property>
  <property fmtid="{D5CDD505-2E9C-101B-9397-08002B2CF9AE}" pid="13" name="SDLStudio">
    <vt:lpwstr/>
  </property>
</Properties>
</file>