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9495A" w:rsidRPr="004949BF" w14:paraId="0C190E27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5B5958" w14:textId="77777777" w:rsidR="0069495A" w:rsidRPr="004949BF" w:rsidRDefault="006738C5" w:rsidP="00C85D0F">
            <w:pPr>
              <w:pStyle w:val="EPName"/>
            </w:pPr>
            <w:r w:rsidRPr="004949BF">
              <w:t>Parlamento europeo</w:t>
            </w:r>
          </w:p>
          <w:p w14:paraId="7F7F5F07" w14:textId="0482CF56" w:rsidR="0069495A" w:rsidRPr="004949BF" w:rsidRDefault="008C5F17" w:rsidP="00C85D0F">
            <w:pPr>
              <w:pStyle w:val="EPTerm"/>
            </w:pPr>
            <w:r w:rsidRPr="004949BF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46D9C7B" w14:textId="77777777" w:rsidR="0069495A" w:rsidRPr="004949BF" w:rsidRDefault="0069495A" w:rsidP="00C85D0F">
            <w:pPr>
              <w:pStyle w:val="EPLogo"/>
            </w:pPr>
            <w:r w:rsidRPr="004949BF">
              <w:rPr>
                <w:noProof/>
                <w:lang w:eastAsia="ja-JP"/>
              </w:rPr>
              <w:drawing>
                <wp:inline distT="0" distB="0" distL="0" distR="0" wp14:anchorId="73492BED" wp14:editId="592707A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409E1F" w14:textId="77777777" w:rsidR="00C7235E" w:rsidRPr="004949BF" w:rsidRDefault="00C7235E" w:rsidP="00C7235E">
      <w:pPr>
        <w:pStyle w:val="LineTop"/>
      </w:pPr>
    </w:p>
    <w:p w14:paraId="21FEEEB2" w14:textId="4B9BE7E8" w:rsidR="00C7235E" w:rsidRPr="004949BF" w:rsidRDefault="00C7235E" w:rsidP="00C7235E">
      <w:pPr>
        <w:pStyle w:val="EPBody"/>
      </w:pPr>
      <w:r w:rsidRPr="002A5D70">
        <w:rPr>
          <w:rStyle w:val="HideTWBExt"/>
          <w:i w:val="0"/>
          <w:szCs w:val="20"/>
        </w:rPr>
        <w:t>&lt;Commission&gt;</w:t>
      </w:r>
      <w:r w:rsidRPr="002A5D70">
        <w:rPr>
          <w:rStyle w:val="HideTWBInt"/>
          <w:i w:val="0"/>
          <w:szCs w:val="20"/>
        </w:rPr>
        <w:t>{FEMM}</w:t>
      </w:r>
      <w:r w:rsidRPr="004949BF">
        <w:t>Commissione per i diritti delle donne e l'uguaglianza di genere</w:t>
      </w:r>
      <w:r w:rsidRPr="002A5D70">
        <w:rPr>
          <w:rStyle w:val="HideTWBExt"/>
          <w:i w:val="0"/>
          <w:szCs w:val="20"/>
        </w:rPr>
        <w:t>&lt;/Commission&gt;</w:t>
      </w:r>
    </w:p>
    <w:p w14:paraId="4C17D790" w14:textId="77777777" w:rsidR="00C7235E" w:rsidRPr="004949BF" w:rsidRDefault="00C7235E" w:rsidP="00C7235E">
      <w:pPr>
        <w:pStyle w:val="LineBottom"/>
      </w:pPr>
    </w:p>
    <w:p w14:paraId="49B5924B" w14:textId="67EF0C10" w:rsidR="00144AD8" w:rsidRPr="004949BF" w:rsidRDefault="00144AD8">
      <w:pPr>
        <w:pStyle w:val="CoverReference"/>
      </w:pPr>
      <w:r w:rsidRPr="002A5D70">
        <w:rPr>
          <w:rStyle w:val="HideTWBExt"/>
          <w:b w:val="0"/>
        </w:rPr>
        <w:t>&lt;RefProc&gt;</w:t>
      </w:r>
      <w:r w:rsidRPr="004949BF">
        <w:t>2025/</w:t>
      </w:r>
      <w:r w:rsidR="002A5D70">
        <w:t>224</w:t>
      </w:r>
      <w:r w:rsidRPr="004949BF">
        <w:t>0</w:t>
      </w:r>
      <w:r w:rsidRPr="002A5D70">
        <w:rPr>
          <w:rStyle w:val="HideTWBExt"/>
          <w:b w:val="0"/>
        </w:rPr>
        <w:t>&lt;/RefProc&gt;&lt;RefTypeProc&gt;</w:t>
      </w:r>
      <w:r w:rsidRPr="004949BF">
        <w:t>(INI)</w:t>
      </w:r>
      <w:r w:rsidRPr="002A5D70">
        <w:rPr>
          <w:rStyle w:val="HideTWBExt"/>
          <w:b w:val="0"/>
        </w:rPr>
        <w:t>&lt;/RefTypeProc&gt;</w:t>
      </w:r>
    </w:p>
    <w:p w14:paraId="55BA1F10" w14:textId="33ED7CE5" w:rsidR="00144AD8" w:rsidRPr="004949BF" w:rsidRDefault="00144AD8">
      <w:pPr>
        <w:pStyle w:val="CoverDate"/>
      </w:pPr>
      <w:r w:rsidRPr="002A5D70">
        <w:rPr>
          <w:rStyle w:val="HideTWBExt"/>
        </w:rPr>
        <w:t>&lt;Date&gt;</w:t>
      </w:r>
      <w:r w:rsidRPr="002A5D70">
        <w:rPr>
          <w:rStyle w:val="HideTWBInt"/>
        </w:rPr>
        <w:t>{</w:t>
      </w:r>
      <w:r w:rsidR="002A5D70" w:rsidRPr="002A5D70">
        <w:rPr>
          <w:rStyle w:val="HideTWBInt"/>
        </w:rPr>
        <w:t>20</w:t>
      </w:r>
      <w:r w:rsidRPr="002A5D70">
        <w:rPr>
          <w:rStyle w:val="HideTWBInt"/>
        </w:rPr>
        <w:t>/</w:t>
      </w:r>
      <w:r w:rsidR="002A5D70" w:rsidRPr="002A5D70">
        <w:rPr>
          <w:rStyle w:val="HideTWBInt"/>
        </w:rPr>
        <w:t>11</w:t>
      </w:r>
      <w:r w:rsidRPr="002A5D70">
        <w:rPr>
          <w:rStyle w:val="HideTWBInt"/>
        </w:rPr>
        <w:t>/2025}</w:t>
      </w:r>
      <w:r w:rsidR="002A5D70">
        <w:t>20</w:t>
      </w:r>
      <w:r w:rsidRPr="004949BF">
        <w:t>.</w:t>
      </w:r>
      <w:r w:rsidR="002A5D70">
        <w:t>11</w:t>
      </w:r>
      <w:r w:rsidRPr="004949BF">
        <w:t>.2025</w:t>
      </w:r>
      <w:r w:rsidRPr="002A5D70">
        <w:rPr>
          <w:rStyle w:val="HideTWBExt"/>
        </w:rPr>
        <w:t>&lt;/Date&gt;</w:t>
      </w:r>
    </w:p>
    <w:p w14:paraId="60467E27" w14:textId="77777777" w:rsidR="00144AD8" w:rsidRPr="004949BF" w:rsidRDefault="00144AD8">
      <w:pPr>
        <w:pStyle w:val="CoverDocType24a"/>
      </w:pPr>
      <w:r w:rsidRPr="002A5D70">
        <w:rPr>
          <w:rStyle w:val="HideTWBExt"/>
          <w:b w:val="0"/>
        </w:rPr>
        <w:t>&lt;TitreType&gt;</w:t>
      </w:r>
      <w:r w:rsidRPr="004949BF">
        <w:t>PROGETTO DI RELAZIONE</w:t>
      </w:r>
      <w:r w:rsidRPr="002A5D70">
        <w:rPr>
          <w:rStyle w:val="HideTWBExt"/>
          <w:b w:val="0"/>
        </w:rPr>
        <w:t>&lt;/TitreType&gt;</w:t>
      </w:r>
    </w:p>
    <w:p w14:paraId="1C028B77" w14:textId="77777777" w:rsidR="008C5F17" w:rsidRPr="004949BF" w:rsidRDefault="008C5F17" w:rsidP="008C5F17">
      <w:pPr>
        <w:pStyle w:val="CoverNormal"/>
      </w:pPr>
      <w:r w:rsidRPr="002A5D70">
        <w:rPr>
          <w:rStyle w:val="HideTWBExt"/>
        </w:rPr>
        <w:t>&lt;Titre&gt;</w:t>
      </w:r>
      <w:r w:rsidRPr="004949BF">
        <w:t>sulla raccomandazione del Parlamento europeo al Consiglio concernente le priorità dell'UE in vista della 70</w:t>
      </w:r>
      <w:r w:rsidRPr="004949BF">
        <w:rPr>
          <w:vertAlign w:val="superscript"/>
        </w:rPr>
        <w:t>a</w:t>
      </w:r>
      <w:r w:rsidRPr="004949BF">
        <w:t xml:space="preserve"> sessione della commissione delle Nazioni Unite sulla condizione femminile</w:t>
      </w:r>
      <w:r w:rsidRPr="002A5D70">
        <w:rPr>
          <w:rStyle w:val="HideTWBExt"/>
        </w:rPr>
        <w:t>&lt;/Titre&gt;</w:t>
      </w:r>
    </w:p>
    <w:p w14:paraId="60BE9B8E" w14:textId="0AE66F77" w:rsidR="00144AD8" w:rsidRPr="004949BF" w:rsidRDefault="008C5F17" w:rsidP="008C5F17">
      <w:pPr>
        <w:pStyle w:val="CoverNormal24a"/>
      </w:pPr>
      <w:r w:rsidRPr="002A5D70">
        <w:rPr>
          <w:rStyle w:val="HideTWBExt"/>
        </w:rPr>
        <w:t>&lt;DocRef&gt;</w:t>
      </w:r>
      <w:r w:rsidRPr="004949BF">
        <w:t>(2025/</w:t>
      </w:r>
      <w:r w:rsidR="002A5D70">
        <w:t>224</w:t>
      </w:r>
      <w:r w:rsidRPr="004949BF">
        <w:t>0(INI))</w:t>
      </w:r>
      <w:r w:rsidRPr="002A5D70">
        <w:rPr>
          <w:rStyle w:val="HideTWBExt"/>
        </w:rPr>
        <w:t>&lt;/DocRef&gt;</w:t>
      </w:r>
    </w:p>
    <w:p w14:paraId="0B6274B3" w14:textId="0C652077" w:rsidR="00144AD8" w:rsidRPr="004949BF" w:rsidRDefault="00144AD8">
      <w:pPr>
        <w:pStyle w:val="CoverNormal24a"/>
      </w:pPr>
      <w:r w:rsidRPr="002A5D70">
        <w:rPr>
          <w:rStyle w:val="HideTWBExt"/>
        </w:rPr>
        <w:t>&lt;Commission&gt;</w:t>
      </w:r>
      <w:r w:rsidRPr="002A5D70">
        <w:rPr>
          <w:rStyle w:val="HideTWBInt"/>
        </w:rPr>
        <w:t>{FEMM}</w:t>
      </w:r>
      <w:r w:rsidRPr="004949BF">
        <w:t>Commissione per i diritti delle donne e l'uguaglianza di genere</w:t>
      </w:r>
      <w:r w:rsidRPr="002A5D70">
        <w:rPr>
          <w:rStyle w:val="HideTWBExt"/>
        </w:rPr>
        <w:t>&lt;/Commission&gt;</w:t>
      </w:r>
    </w:p>
    <w:p w14:paraId="5B23AFE6" w14:textId="77800E41" w:rsidR="00144AD8" w:rsidRPr="008454E2" w:rsidRDefault="008C5F17">
      <w:pPr>
        <w:pStyle w:val="CoverNormal24a"/>
        <w:rPr>
          <w:lang w:val="pt-PT"/>
        </w:rPr>
      </w:pPr>
      <w:r w:rsidRPr="008454E2">
        <w:rPr>
          <w:lang w:val="pt-PT"/>
        </w:rPr>
        <w:t xml:space="preserve">Relatrice: </w:t>
      </w:r>
      <w:r w:rsidRPr="008454E2">
        <w:rPr>
          <w:rStyle w:val="HideTWBExt"/>
          <w:lang w:val="pt-PT"/>
        </w:rPr>
        <w:t>&lt;Depute&gt;</w:t>
      </w:r>
      <w:r w:rsidRPr="008454E2">
        <w:rPr>
          <w:lang w:val="pt-PT"/>
        </w:rPr>
        <w:t>Lina Gálvez</w:t>
      </w:r>
      <w:r w:rsidRPr="008454E2">
        <w:rPr>
          <w:rStyle w:val="HideTWBExt"/>
          <w:lang w:val="pt-PT"/>
        </w:rPr>
        <w:t>&lt;/Depute&gt;</w:t>
      </w:r>
    </w:p>
    <w:p w14:paraId="031FDF3A" w14:textId="77777777" w:rsidR="00627DF1" w:rsidRPr="008454E2" w:rsidRDefault="00627DF1" w:rsidP="00627DF1">
      <w:pPr>
        <w:pStyle w:val="CoverNormal"/>
        <w:rPr>
          <w:lang w:val="pt-PT"/>
        </w:rPr>
      </w:pPr>
    </w:p>
    <w:p w14:paraId="78C37149" w14:textId="77777777" w:rsidR="00144AD8" w:rsidRPr="004949BF" w:rsidRDefault="00144AD8" w:rsidP="009340AC">
      <w:pPr>
        <w:widowControl/>
        <w:tabs>
          <w:tab w:val="center" w:pos="4677"/>
        </w:tabs>
      </w:pPr>
      <w:r w:rsidRPr="008454E2">
        <w:br w:type="page"/>
      </w:r>
      <w:r w:rsidRPr="004949BF">
        <w:lastRenderedPageBreak/>
        <w:t>PR_INI_RecommCFSP</w:t>
      </w:r>
    </w:p>
    <w:p w14:paraId="7CDDE6B8" w14:textId="77777777" w:rsidR="00144AD8" w:rsidRPr="004949BF" w:rsidRDefault="006738C5">
      <w:pPr>
        <w:pStyle w:val="TOCHeading"/>
      </w:pPr>
      <w:r w:rsidRPr="004949BF">
        <w:t>INDICE</w:t>
      </w:r>
    </w:p>
    <w:p w14:paraId="67E912A8" w14:textId="77777777" w:rsidR="00144AD8" w:rsidRPr="004949BF" w:rsidRDefault="006738C5">
      <w:pPr>
        <w:pStyle w:val="TOCPage"/>
      </w:pPr>
      <w:r w:rsidRPr="004949BF">
        <w:t>Pagina</w:t>
      </w:r>
    </w:p>
    <w:p w14:paraId="0BCDAAF5" w14:textId="77A071EF" w:rsidR="008454E2" w:rsidRDefault="00144AD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4949BF">
        <w:fldChar w:fldCharType="begin"/>
      </w:r>
      <w:r w:rsidRPr="004949BF">
        <w:instrText xml:space="preserve"> TOC \t "PageHeading</w:instrText>
      </w:r>
      <w:r w:rsidR="008454E2">
        <w:instrText>;</w:instrText>
      </w:r>
      <w:r w:rsidRPr="004949BF">
        <w:instrText xml:space="preserve">1" </w:instrText>
      </w:r>
      <w:r w:rsidRPr="004949BF">
        <w:fldChar w:fldCharType="separate"/>
      </w:r>
      <w:r w:rsidR="008454E2">
        <w:rPr>
          <w:noProof/>
        </w:rPr>
        <w:t>PROGETTO DI RACCOMANDAZIONE DEL PARLAMENTO EUROPEO</w:t>
      </w:r>
      <w:r w:rsidR="008454E2">
        <w:rPr>
          <w:noProof/>
        </w:rPr>
        <w:tab/>
      </w:r>
      <w:r w:rsidR="008454E2">
        <w:rPr>
          <w:noProof/>
        </w:rPr>
        <w:fldChar w:fldCharType="begin"/>
      </w:r>
      <w:r w:rsidR="008454E2">
        <w:rPr>
          <w:noProof/>
        </w:rPr>
        <w:instrText xml:space="preserve"> PAGEREF _Toc214611308 \h </w:instrText>
      </w:r>
      <w:r w:rsidR="008454E2">
        <w:rPr>
          <w:noProof/>
        </w:rPr>
      </w:r>
      <w:r w:rsidR="008454E2">
        <w:rPr>
          <w:noProof/>
        </w:rPr>
        <w:fldChar w:fldCharType="separate"/>
      </w:r>
      <w:r w:rsidR="008454E2">
        <w:rPr>
          <w:noProof/>
        </w:rPr>
        <w:t>3</w:t>
      </w:r>
      <w:r w:rsidR="008454E2">
        <w:rPr>
          <w:noProof/>
        </w:rPr>
        <w:fldChar w:fldCharType="end"/>
      </w:r>
    </w:p>
    <w:p w14:paraId="6C2427AF" w14:textId="67DCBF64" w:rsidR="008454E2" w:rsidRDefault="008454E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MOTIVAZIONE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_Toc214611309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417A83F2" w14:textId="421344A2" w:rsidR="00627DF1" w:rsidRPr="004949BF" w:rsidRDefault="00144AD8" w:rsidP="00865AB2">
      <w:r w:rsidRPr="004949BF">
        <w:fldChar w:fldCharType="end"/>
      </w:r>
    </w:p>
    <w:p w14:paraId="1424A698" w14:textId="77777777" w:rsidR="00144AD8" w:rsidRPr="004949BF" w:rsidRDefault="00144AD8">
      <w:pPr>
        <w:pStyle w:val="PageHeading"/>
      </w:pPr>
      <w:r w:rsidRPr="004949BF">
        <w:br w:type="page"/>
      </w:r>
      <w:bookmarkStart w:id="0" w:name="_Toc214611308"/>
      <w:r w:rsidRPr="004949BF">
        <w:lastRenderedPageBreak/>
        <w:t>PROGETTO DI RACCOMANDAZIONE DEL PARLAMENTO EUROPEO</w:t>
      </w:r>
      <w:bookmarkEnd w:id="0"/>
    </w:p>
    <w:p w14:paraId="0B636DBF" w14:textId="77777777" w:rsidR="008C5F17" w:rsidRPr="004949BF" w:rsidRDefault="008C5F17" w:rsidP="008C5F17">
      <w:pPr>
        <w:pStyle w:val="NormalBold"/>
      </w:pPr>
      <w:r w:rsidRPr="004949BF">
        <w:t>al Consiglio concernente le priorità dell'UE in vista della 70</w:t>
      </w:r>
      <w:r w:rsidRPr="004949BF">
        <w:rPr>
          <w:vertAlign w:val="superscript"/>
        </w:rPr>
        <w:t>a</w:t>
      </w:r>
      <w:r w:rsidRPr="004949BF">
        <w:t xml:space="preserve"> sessione della commissione delle Nazioni Unite sulla condizione femminile</w:t>
      </w:r>
    </w:p>
    <w:p w14:paraId="771BC812" w14:textId="4443D979" w:rsidR="00144AD8" w:rsidRPr="004949BF" w:rsidRDefault="008C5F17" w:rsidP="008C5F17">
      <w:pPr>
        <w:pStyle w:val="NormalBold"/>
      </w:pPr>
      <w:r w:rsidRPr="004949BF">
        <w:t>(2025/</w:t>
      </w:r>
      <w:r w:rsidR="008454E2">
        <w:t>224</w:t>
      </w:r>
      <w:r w:rsidRPr="004949BF">
        <w:t>0(INI))</w:t>
      </w:r>
    </w:p>
    <w:p w14:paraId="7FD7550B" w14:textId="77777777" w:rsidR="00144AD8" w:rsidRPr="004949BF" w:rsidRDefault="006738C5">
      <w:pPr>
        <w:pStyle w:val="EPComma"/>
      </w:pPr>
      <w:r w:rsidRPr="004949BF">
        <w:rPr>
          <w:i/>
        </w:rPr>
        <w:t>Il Parlamento europeo</w:t>
      </w:r>
      <w:r w:rsidRPr="004949BF">
        <w:t>,</w:t>
      </w:r>
    </w:p>
    <w:p w14:paraId="27A7AB9F" w14:textId="77777777" w:rsidR="008C5F17" w:rsidRPr="004949BF" w:rsidRDefault="008C5F17" w:rsidP="008C5F17">
      <w:pPr>
        <w:pStyle w:val="NormalHanging12a"/>
      </w:pPr>
      <w:r w:rsidRPr="004949BF">
        <w:t>–</w:t>
      </w:r>
      <w:r w:rsidRPr="004949BF">
        <w:tab/>
        <w:t>viste la 70</w:t>
      </w:r>
      <w:r w:rsidRPr="004949BF">
        <w:rPr>
          <w:vertAlign w:val="superscript"/>
        </w:rPr>
        <w:t>a</w:t>
      </w:r>
      <w:r w:rsidRPr="004949BF">
        <w:t xml:space="preserve"> sessione della commissione delle Nazioni Unite sulla condizione femminile, prevista per marzo 2026, la sua tematica prioritaria "Garantire e rafforzare l'accesso alla giustizia per tutte le donne e le ragazze, anche promuovendo sistemi giuridici inclusivi ed equi, eliminando leggi, politiche e pratiche discriminatorie e affrontando gli ostacoli strutturali" e la sua tematica di revisione "La partecipazione piena ed effettiva delle donne al processo decisionale nella vita pubblica e l'eliminazione della violenza per conseguire la parità di genere e l'emancipazione di tutte le donne e le ragazze",</w:t>
      </w:r>
    </w:p>
    <w:p w14:paraId="666FABB5" w14:textId="77777777" w:rsidR="008C5F17" w:rsidRPr="004949BF" w:rsidRDefault="008C5F17" w:rsidP="008C5F17">
      <w:pPr>
        <w:pStyle w:val="NormalHanging12a"/>
      </w:pPr>
      <w:r w:rsidRPr="004949BF">
        <w:t>–</w:t>
      </w:r>
      <w:r w:rsidRPr="004949BF">
        <w:tab/>
        <w:t>vista la convenzione delle Nazioni Unite sull'eliminazione di ogni forma di discriminazione nei confronti della donna del 18 dicembre 1979,</w:t>
      </w:r>
    </w:p>
    <w:p w14:paraId="651B1A64" w14:textId="77777777" w:rsidR="008C5F17" w:rsidRPr="004949BF" w:rsidRDefault="008C5F17" w:rsidP="008C5F17">
      <w:pPr>
        <w:pStyle w:val="pf0"/>
        <w:numPr>
          <w:ilvl w:val="0"/>
          <w:numId w:val="41"/>
        </w:numPr>
        <w:ind w:left="567" w:hanging="567"/>
        <w:rPr>
          <w:rFonts w:ascii="Arial" w:hAnsi="Arial" w:cs="Arial"/>
          <w:sz w:val="20"/>
        </w:rPr>
      </w:pPr>
      <w:r w:rsidRPr="004949BF">
        <w:t>visti l'Agenda 2030 delle Nazioni Unite per lo sviluppo sostenibile, segnatamente il principio del "non lasciare indietro nessuno" e, in particolare, l'obiettivo di sviluppo sostenibile n. 5, che mira a conseguire la parità di genere e a garantire che le donne godano di pari diritti in materia di risorse economiche, come pure dell'accesso alla titolarità e al controllo della terra e ad altre forme di proprietà, ai servizi finanziari, all'eredità e alle risorse naturali, nonché l'obiettivo di sviluppo sostenibile n. 10, che mira a eliminare leggi, politiche e pratiche discriminatorie e a promuovere una legislazione, politiche e azioni appropriate,</w:t>
      </w:r>
    </w:p>
    <w:p w14:paraId="5BD04DC9" w14:textId="77777777" w:rsidR="008C5F17" w:rsidRPr="004949BF" w:rsidRDefault="008C5F17" w:rsidP="008C5F17">
      <w:pPr>
        <w:pStyle w:val="NormalHanging12a"/>
      </w:pPr>
      <w:r w:rsidRPr="004949BF">
        <w:t>–</w:t>
      </w:r>
      <w:r w:rsidRPr="004949BF">
        <w:tab/>
        <w:t>visti gli articoli 20, 21, 23 e 47 della Carta dei diritti fondamentali dell'Unione europea,</w:t>
      </w:r>
    </w:p>
    <w:p w14:paraId="61450197" w14:textId="77777777" w:rsidR="008C5F17" w:rsidRPr="004949BF" w:rsidRDefault="008C5F17" w:rsidP="008C5F17">
      <w:pPr>
        <w:pStyle w:val="NormalHanging12a"/>
      </w:pPr>
      <w:r w:rsidRPr="004949BF">
        <w:t>–</w:t>
      </w:r>
      <w:r w:rsidRPr="004949BF">
        <w:tab/>
        <w:t>vista la comunicazione congiunta della Commissione del 25 novembre 2020 dal titolo "Piano d'azione dell'Unione europea sulla parità di genere III – Un'agenda ambiziosa per la parità di genere e l'emancipazione femminile nell'azione esterna dell'UE" (JOIN(2020)0017), che delinea il piano d'azione dell'UE sulla parità di genere per il periodo 2021-2025,</w:t>
      </w:r>
    </w:p>
    <w:p w14:paraId="2F5AFB70" w14:textId="77777777" w:rsidR="008C5F17" w:rsidRPr="004949BF" w:rsidRDefault="008C5F17" w:rsidP="008C5F17">
      <w:pPr>
        <w:pStyle w:val="NormalHanging12a"/>
      </w:pPr>
      <w:r w:rsidRPr="004949BF">
        <w:t>–</w:t>
      </w:r>
      <w:r w:rsidRPr="004949BF">
        <w:tab/>
        <w:t>vista la comunicazione della Commissione del 7 marzo 2025 dal titolo "Una tabella di marcia per i diritti delle donne" (COM(2025)0097), che ribadisce l'impegno dell'UE a favore della parità di genere,</w:t>
      </w:r>
    </w:p>
    <w:p w14:paraId="506CBBA6" w14:textId="77777777" w:rsidR="008C5F17" w:rsidRPr="004949BF" w:rsidRDefault="008C5F17" w:rsidP="008C5F17">
      <w:pPr>
        <w:pStyle w:val="NormalHanging12a"/>
      </w:pPr>
      <w:r w:rsidRPr="004949BF">
        <w:t>–</w:t>
      </w:r>
      <w:r w:rsidRPr="004949BF">
        <w:tab/>
        <w:t>vista la comunicazione della Commissione del 5 marzo 2020 intitolata "Un'Unione dell'uguaglianza: la strategia per la parità di genere 2020-2025" (COM(2020)0152),</w:t>
      </w:r>
    </w:p>
    <w:p w14:paraId="76679F7A" w14:textId="77777777" w:rsidR="008C5F17" w:rsidRPr="004949BF" w:rsidRDefault="008C5F17" w:rsidP="008C5F17">
      <w:pPr>
        <w:pStyle w:val="NormalHanging12a"/>
        <w:rPr>
          <w:szCs w:val="24"/>
        </w:rPr>
      </w:pPr>
      <w:r w:rsidRPr="004949BF">
        <w:t>–</w:t>
      </w:r>
      <w:r w:rsidRPr="004949BF">
        <w:tab/>
        <w:t>vista la direttiva 2012/29/UE del Parlamento europeo e del Consiglio, del 25 ottobre 2012, che istituisce norme minime in materia di diritti, assistenza e protezione delle vittime di reato e che sostituisce la decisione quadro 2001/220/GAI</w:t>
      </w:r>
      <w:r w:rsidRPr="004949BF">
        <w:rPr>
          <w:rStyle w:val="FootnoteReference"/>
          <w:szCs w:val="24"/>
        </w:rPr>
        <w:footnoteReference w:id="1"/>
      </w:r>
      <w:r w:rsidRPr="004949BF">
        <w:t>,</w:t>
      </w:r>
    </w:p>
    <w:p w14:paraId="005DF2CD" w14:textId="77777777" w:rsidR="008C5F17" w:rsidRPr="004949BF" w:rsidRDefault="008C5F17" w:rsidP="008C5F17">
      <w:pPr>
        <w:pStyle w:val="NormalHanging12a"/>
      </w:pPr>
      <w:r w:rsidRPr="004949BF">
        <w:t>–</w:t>
      </w:r>
      <w:r w:rsidRPr="004949BF">
        <w:tab/>
        <w:t>visto il programma Giustizia della Commissione 2021-2027, che prevede finanziamenti a sostegno della cooperazione giudiziaria in materia civile e penale, come la formazione dei giudici e di altri operatori del diritto, e di un accesso effettivo alla giustizia per i cittadini e le imprese,</w:t>
      </w:r>
    </w:p>
    <w:p w14:paraId="2F38501B" w14:textId="77777777" w:rsidR="008C5F17" w:rsidRPr="004949BF" w:rsidRDefault="008C5F17" w:rsidP="008C5F17">
      <w:pPr>
        <w:pStyle w:val="NormalHanging12a"/>
      </w:pPr>
      <w:r w:rsidRPr="004949BF">
        <w:t>–</w:t>
      </w:r>
      <w:r w:rsidRPr="004949BF">
        <w:tab/>
        <w:t>vista la convenzione del Consiglio d'Europa sulla prevenzione e la lotta contro la violenza nei confronti delle donne e la violenza domestica (convenzione di Istanbul),</w:t>
      </w:r>
    </w:p>
    <w:p w14:paraId="02E6869A" w14:textId="1E65E70A" w:rsidR="00144AD8" w:rsidRPr="004949BF" w:rsidRDefault="008C5F17" w:rsidP="008C5F17">
      <w:pPr>
        <w:pStyle w:val="NormalHanging12a"/>
      </w:pPr>
      <w:r w:rsidRPr="004949BF">
        <w:t>–</w:t>
      </w:r>
      <w:r w:rsidRPr="004949BF">
        <w:tab/>
        <w:t>visto l'articolo 81, paragrafo 2, del trattato sul funzionamento dell'Unione europea,</w:t>
      </w:r>
    </w:p>
    <w:p w14:paraId="60C6824F" w14:textId="77777777" w:rsidR="00144AD8" w:rsidRPr="004949BF" w:rsidRDefault="00144AD8">
      <w:pPr>
        <w:pStyle w:val="NormalHanging12a"/>
      </w:pPr>
      <w:r w:rsidRPr="004949BF">
        <w:t>–</w:t>
      </w:r>
      <w:r w:rsidRPr="004949BF">
        <w:tab/>
        <w:t>visto l'articolo 121 del suo regolamento,</w:t>
      </w:r>
    </w:p>
    <w:p w14:paraId="3A81EBAA" w14:textId="74C6045A" w:rsidR="00144AD8" w:rsidRPr="004949BF" w:rsidRDefault="00144AD8">
      <w:pPr>
        <w:pStyle w:val="NormalHanging12a"/>
      </w:pPr>
      <w:r w:rsidRPr="004949BF">
        <w:t>–</w:t>
      </w:r>
      <w:r w:rsidRPr="004949BF">
        <w:tab/>
        <w:t>vista la relazione della commissione per i diritti delle donne e l'uguaglianza di genere (A10</w:t>
      </w:r>
      <w:r w:rsidRPr="004949BF">
        <w:noBreakHyphen/>
        <w:t>0000/2025),</w:t>
      </w:r>
    </w:p>
    <w:p w14:paraId="4D709503" w14:textId="77777777" w:rsidR="008C5F17" w:rsidRPr="004949BF" w:rsidRDefault="008C5F17" w:rsidP="008C5F17">
      <w:pPr>
        <w:pStyle w:val="NormalHanging12a"/>
      </w:pPr>
      <w:r w:rsidRPr="004949BF">
        <w:t>A.</w:t>
      </w:r>
      <w:r w:rsidRPr="004949BF">
        <w:tab/>
        <w:t>considerando che la parità tra donne e uomini è un principio fondamentale dell'UE; che l'integrazione della dimensione di genere e un approccio intersezionale dovrebbero essere attuati e integrati in tutte le politiche dell'UE; che le politiche interne ed esterne dovrebbero rimanere coerenti e uniformi al fine di garantire la promozione efficace e credibile dei diritti umani, della democrazia e della parità di genere in tutto il mondo;</w:t>
      </w:r>
    </w:p>
    <w:p w14:paraId="73116B4E" w14:textId="77777777" w:rsidR="008C5F17" w:rsidRPr="004949BF" w:rsidRDefault="008C5F17" w:rsidP="008C5F17">
      <w:pPr>
        <w:pStyle w:val="NormalHanging12a"/>
        <w:rPr>
          <w:szCs w:val="24"/>
        </w:rPr>
      </w:pPr>
      <w:r w:rsidRPr="004949BF">
        <w:t>B.</w:t>
      </w:r>
      <w:r w:rsidRPr="004949BF">
        <w:tab/>
        <w:t>considerando che i diritti delle donne e la parità di genere non sono soltanto diritti umani fondamentali, ma anche presupposti indispensabili per promuovere lo sviluppo umano, ridurre la povertà e gettare le basi necessarie per un mondo pacifico, prospero e sostenibile;</w:t>
      </w:r>
    </w:p>
    <w:p w14:paraId="7E4E79A8" w14:textId="77777777" w:rsidR="008C5F17" w:rsidRPr="004949BF" w:rsidRDefault="008C5F17" w:rsidP="008C5F17">
      <w:pPr>
        <w:pStyle w:val="NormalHanging12a"/>
        <w:rPr>
          <w:szCs w:val="24"/>
        </w:rPr>
      </w:pPr>
      <w:r w:rsidRPr="004949BF">
        <w:t>C.</w:t>
      </w:r>
      <w:r w:rsidRPr="004949BF">
        <w:tab/>
        <w:t>considerando che l'accesso alla giustizia è ampiamente riconosciuto come un diritto umano fondamentale ai sensi del diritto internazionale, un concetto centrale nel più ampio ambito della giustizia e una pietra angolare per lo Stato di diritto e la democrazia; che l'UE riconosce l'accesso alla giustizia come diritto fondamentale sancito dall'articolo 47 della Carta dei diritti fondamentali dell'Unione europea;</w:t>
      </w:r>
    </w:p>
    <w:p w14:paraId="239E18A5" w14:textId="77777777" w:rsidR="008C5F17" w:rsidRPr="004949BF" w:rsidRDefault="008C5F17" w:rsidP="008C5F17">
      <w:pPr>
        <w:pStyle w:val="NormalHanging12a"/>
        <w:rPr>
          <w:szCs w:val="24"/>
        </w:rPr>
      </w:pPr>
      <w:r w:rsidRPr="004949BF">
        <w:t>D.</w:t>
      </w:r>
      <w:r w:rsidRPr="004949BF">
        <w:tab/>
        <w:t>considerando che l'accesso alla giustizia per le donne continua a rappresentare una questione complessa e critica in tutte le regioni del mondo;</w:t>
      </w:r>
    </w:p>
    <w:p w14:paraId="03243A1A" w14:textId="77777777" w:rsidR="008C5F17" w:rsidRPr="004949BF" w:rsidRDefault="008C5F17" w:rsidP="008C5F17">
      <w:pPr>
        <w:pStyle w:val="NormalHanging12a"/>
        <w:rPr>
          <w:szCs w:val="24"/>
        </w:rPr>
      </w:pPr>
      <w:r w:rsidRPr="004949BF">
        <w:t>E.</w:t>
      </w:r>
      <w:r w:rsidRPr="004949BF">
        <w:tab/>
        <w:t>considerando che, in tutto il mondo, le donne continuano a essere significativamente sottorappresentate ai massimi livelli della magistratura e delle autorità giudiziarie, in particolare nelle posizioni dirigenziali quali presidenti di tribunale, giudici supremi e capi delle procure;</w:t>
      </w:r>
    </w:p>
    <w:p w14:paraId="1FD5A7DA" w14:textId="77777777" w:rsidR="008C5F17" w:rsidRPr="004949BF" w:rsidRDefault="008C5F17" w:rsidP="008C5F17">
      <w:pPr>
        <w:pStyle w:val="NormalHanging12a"/>
        <w:rPr>
          <w:szCs w:val="24"/>
        </w:rPr>
      </w:pPr>
      <w:r w:rsidRPr="004949BF">
        <w:t>F.</w:t>
      </w:r>
      <w:r w:rsidRPr="004949BF">
        <w:tab/>
        <w:t>considerando che le Nazioni Unite promuovono attivamente una maggiore partecipazione delle donne al settore della giustizia attraverso iniziative e campagne specifiche; che una maggiore rappresentanza delle donne all'interno delle istituzioni giudiziarie è stata associata al progresso di approcci alla giustizia maggiormente incentrati sulle vittime;</w:t>
      </w:r>
    </w:p>
    <w:p w14:paraId="629516B6" w14:textId="77777777" w:rsidR="008C5F17" w:rsidRPr="004949BF" w:rsidRDefault="008C5F17" w:rsidP="008C5F17">
      <w:pPr>
        <w:pStyle w:val="NormalHanging12a"/>
        <w:rPr>
          <w:szCs w:val="24"/>
        </w:rPr>
      </w:pPr>
      <w:r w:rsidRPr="004949BF">
        <w:t>G.</w:t>
      </w:r>
      <w:r w:rsidRPr="004949BF">
        <w:tab/>
        <w:t>considerando che la violenza nei confronti delle donne e la violenza domestica costituiscono violazioni dei diritti fondamentali; che i sistemi giuridici devono rispondere alle esigenze specifiche delle vittime di violenza di genere garantendo una protezione e mezzi di ricorso adeguati; che molte donne incontrano ancora ostacoli sostanziali nella denuncia di abusi e nell'accesso all'assistenza legale;</w:t>
      </w:r>
    </w:p>
    <w:p w14:paraId="0C951DA9" w14:textId="77777777" w:rsidR="008C5F17" w:rsidRPr="004949BF" w:rsidRDefault="008C5F17" w:rsidP="008C5F17">
      <w:pPr>
        <w:pStyle w:val="NormalHanging12a"/>
        <w:rPr>
          <w:szCs w:val="24"/>
        </w:rPr>
      </w:pPr>
      <w:r w:rsidRPr="004949BF">
        <w:t>H.</w:t>
      </w:r>
      <w:r w:rsidRPr="004949BF">
        <w:tab/>
        <w:t>considerando che la stereotipizzazione giudiziaria e le norme di genere prevalenti possono ostacolare la giustizia per le donne vittime e sopravvissute alla violenza;</w:t>
      </w:r>
    </w:p>
    <w:p w14:paraId="4F9F9231" w14:textId="77777777" w:rsidR="008C5F17" w:rsidRPr="004949BF" w:rsidRDefault="008C5F17" w:rsidP="008C5F17">
      <w:pPr>
        <w:pStyle w:val="NormalHanging12a"/>
      </w:pPr>
      <w:r w:rsidRPr="004949BF">
        <w:t>1.</w:t>
      </w:r>
      <w:r w:rsidRPr="004949BF">
        <w:tab/>
        <w:t>raccomanda al Consiglio di:</w:t>
      </w:r>
    </w:p>
    <w:p w14:paraId="37B84BAD" w14:textId="77777777" w:rsidR="008C5F17" w:rsidRPr="004949BF" w:rsidRDefault="008C5F17" w:rsidP="008C5F17">
      <w:pPr>
        <w:pStyle w:val="NormalHanging12a"/>
        <w:ind w:firstLine="0"/>
      </w:pPr>
      <w:r w:rsidRPr="004949BF">
        <w:t>a)</w:t>
      </w:r>
      <w:r w:rsidRPr="004949BF">
        <w:tab/>
        <w:t>ribadire il fermo impegno dell'UE a favore della parità di genere e assicurare che i diritti delle donne siano attuati appieno in tutti gli ambiti dell'azione esterna dell'UE attraverso un approccio sufficientemente finanziato che sia trasformativo in termini di genere, inclusivo e intersezionale;</w:t>
      </w:r>
    </w:p>
    <w:p w14:paraId="343BF893" w14:textId="77777777" w:rsidR="008C5F17" w:rsidRPr="004949BF" w:rsidRDefault="008C5F17" w:rsidP="008C5F17">
      <w:pPr>
        <w:pStyle w:val="NormalHanging12a"/>
        <w:ind w:firstLine="0"/>
      </w:pPr>
      <w:r w:rsidRPr="004949BF">
        <w:t>b)</w:t>
      </w:r>
      <w:r w:rsidRPr="004949BF">
        <w:tab/>
        <w:t>garantire il pieno coinvolgimento del Parlamento e della sua commissione per i diritti delle donne e l'uguaglianza di genere nel processo decisionale sulla posizione dell'UE alla 70</w:t>
      </w:r>
      <w:r w:rsidRPr="004949BF">
        <w:rPr>
          <w:vertAlign w:val="superscript"/>
        </w:rPr>
        <w:t>a</w:t>
      </w:r>
      <w:r w:rsidRPr="004949BF">
        <w:t xml:space="preserve"> sessione della commissione delle Nazioni Unite sulla condizione femminile; garantire che il Parlamento disponga di informazioni adeguate e acceda al documento di posizione dell'UE prima dei negoziati; migliorare ulteriormente la cooperazione interistituzionale, anche durante i negoziati, in modo che le priorità del Parlamento siano adeguatamente integrate;</w:t>
      </w:r>
    </w:p>
    <w:p w14:paraId="7BBBF93D" w14:textId="77777777" w:rsidR="008C5F17" w:rsidRPr="004949BF" w:rsidRDefault="008C5F17" w:rsidP="008C5F17">
      <w:pPr>
        <w:pStyle w:val="NormalHanging12a"/>
        <w:ind w:firstLine="0"/>
      </w:pPr>
      <w:r w:rsidRPr="004949BF">
        <w:t>c)</w:t>
      </w:r>
      <w:r w:rsidRPr="004949BF">
        <w:tab/>
        <w:t>impegnarsi a sostenere fermamente le attività dell'organismo delle Nazioni Unite per l'uguaglianza di genere e l'emancipazione delle donne (UN Women), che svolge un ruolo centrale nel sistema delle Nazioni Unite nel promuovere i diritti delle donne in tutta la loro diversità e nel riunire tutte le pertinenti parti interessate al fine di consentire un cambiamento delle politiche e il coordinamento delle azioni; invitare tutti gli Stati membri delle Nazioni Unite, unitamente all'UE, ad assicurare finanziamenti adeguati a UN Women;</w:t>
      </w:r>
    </w:p>
    <w:p w14:paraId="75559131" w14:textId="77777777" w:rsidR="008C5F17" w:rsidRPr="004949BF" w:rsidRDefault="008C5F17" w:rsidP="008C5F17">
      <w:pPr>
        <w:pStyle w:val="NormalHanging12a"/>
        <w:ind w:firstLine="0"/>
      </w:pPr>
      <w:r w:rsidRPr="004949BF">
        <w:t>d)</w:t>
      </w:r>
      <w:r w:rsidRPr="004949BF">
        <w:tab/>
        <w:t>garantire che gli strumenti europei e internazionali siano complementari e ambiziosi, con disposizioni solide e sostanziali volte a emancipare le donne e a garantire l'accesso alla giustizia, tenendo conto del fatto che il diritto al patrocinio a spese dello Stato è essenziale a tal fine; garantire che l'UE dimostri una forte leadership e adotti una posizione unitaria in materia di sistemi giudiziari inclusivi e imparziali accessibili a tutti, in particolare ai gruppi di donne svantaggiati e vulnerabili, che spesso incontrano ostacoli nell'accesso alla giustizia a causa di lacune delle capacità istituzionali, motivi socioculturali e discriminazioni; esaminare l'attuazione di tribunali specifici per la violenza di genere; promuovere quadri giuridici completi che tutelino i diritti delle donne e garantiscano la loro piena ed equa partecipazione ai sensi del diritto nazionale e internazionale;</w:t>
      </w:r>
    </w:p>
    <w:p w14:paraId="6EB004B3" w14:textId="77777777" w:rsidR="008C5F17" w:rsidRPr="004949BF" w:rsidRDefault="008C5F17" w:rsidP="008C5F17">
      <w:pPr>
        <w:pStyle w:val="NormalHanging12a"/>
        <w:ind w:firstLine="0"/>
      </w:pPr>
      <w:r w:rsidRPr="004949BF">
        <w:t>e)</w:t>
      </w:r>
      <w:r w:rsidRPr="004949BF">
        <w:tab/>
        <w:t>applicare l'integrazione della dimensione di genere e il bilancio di genere a tutti i settori d'intervento dell'UE, compresa l'azione esterna; insistere sulla necessità che gli Stati stanzino finanziamenti sufficienti per il patrocinio a spese dello Stato e i servizi di sostegno che tengano conto della dimensione di genere, in particolare per le sopravvissute alla violenza di genere, e per un accesso sufficiente al risarcimento, dal momento che gli ostacoli esistenti incidono in modo sproporzionato sull'accesso delle donne alla giustizia;</w:t>
      </w:r>
    </w:p>
    <w:p w14:paraId="71B149A0" w14:textId="77777777" w:rsidR="008C5F17" w:rsidRPr="004949BF" w:rsidRDefault="008C5F17" w:rsidP="008C5F17">
      <w:pPr>
        <w:pStyle w:val="NormalHanging12a"/>
        <w:ind w:firstLine="0"/>
      </w:pPr>
      <w:r w:rsidRPr="004949BF">
        <w:t>f)</w:t>
      </w:r>
      <w:r w:rsidRPr="004949BF">
        <w:tab/>
        <w:t>accelerare l'attuazione degli impegni internazionali per prevenire e contrastare ulteriormente tutte le forme di violenza contro le donne e le ragazze sia nella sfera pubblica che in quella privata, comprese le mutilazioni genitali femminili, i matrimoni forzati, la condivisione non consensuale di materiale intimo o manipolato, il cyberstalking, le molestie online, il cyberflashing e l'istigazione alla violenza o all'odio online;</w:t>
      </w:r>
    </w:p>
    <w:p w14:paraId="3962700B" w14:textId="77777777" w:rsidR="008C5F17" w:rsidRPr="004949BF" w:rsidRDefault="008C5F17" w:rsidP="008C5F17">
      <w:pPr>
        <w:pStyle w:val="NormalHanging12a"/>
        <w:ind w:firstLine="0"/>
      </w:pPr>
      <w:r w:rsidRPr="004949BF">
        <w:t>g)</w:t>
      </w:r>
      <w:r w:rsidRPr="004949BF">
        <w:tab/>
        <w:t>adottare misure per attuare pienamente gli impegni esistenti in materia di parità di genere ed emancipazione femminile, garantendo la tutela dei diritti umani e delle libertà fondamentali delle donne in condizioni di uguaglianza e senza discriminazioni, al fine di promuovere la loro partecipazione alla vita pubblica;</w:t>
      </w:r>
    </w:p>
    <w:p w14:paraId="107125A6" w14:textId="77777777" w:rsidR="008C5F17" w:rsidRPr="004949BF" w:rsidRDefault="008C5F17" w:rsidP="008C5F17">
      <w:pPr>
        <w:pStyle w:val="NormalHanging12a"/>
        <w:ind w:firstLine="0"/>
      </w:pPr>
      <w:r w:rsidRPr="004949BF">
        <w:t>h)</w:t>
      </w:r>
      <w:r w:rsidRPr="004949BF">
        <w:tab/>
        <w:t>sottolineare che i diritti delle donne e la parità di genere sono diritti umani fondamentali essenziali per lo Stato di diritto, democrazie resilienti e inclusive e i valori fondamentali dell'UE; sottolineare che è deplorevole che milioni di donne e ragazze, in particolare nei contesti di conflitto e sfollamento, continuino a subire discriminazioni, violenze e la negazione della loro dignità e del loro operato; ribadire che lo stupro rimane una delle violazioni dei diritti umani più diffuse a livello mondiale; insistere sull'importanza di una legislazione in materia di stupro basata sul consenso;</w:t>
      </w:r>
    </w:p>
    <w:p w14:paraId="5FBE0800" w14:textId="77777777" w:rsidR="008C5F17" w:rsidRPr="004949BF" w:rsidRDefault="008C5F17" w:rsidP="008C5F17">
      <w:pPr>
        <w:pStyle w:val="NormalHanging12a"/>
        <w:ind w:firstLine="0"/>
      </w:pPr>
      <w:r w:rsidRPr="004949BF">
        <w:t>i)</w:t>
      </w:r>
      <w:r w:rsidRPr="004949BF">
        <w:tab/>
      </w:r>
      <w:r w:rsidRPr="004949BF">
        <w:tab/>
        <w:t>promuovere la rappresentanza delle donne all'interno del sistema giudiziario e dei suoi organi direttivi al fine di eliminare le barriere strutturali perpetuate da un sistema giudiziario patriarcale e androcentrico;</w:t>
      </w:r>
    </w:p>
    <w:p w14:paraId="07F31C26" w14:textId="1845D8C5" w:rsidR="00144AD8" w:rsidRPr="004949BF" w:rsidRDefault="008C5F17" w:rsidP="008C5F17">
      <w:pPr>
        <w:pStyle w:val="NormalHanging12a"/>
      </w:pPr>
      <w:r w:rsidRPr="004949BF">
        <w:t>2.</w:t>
      </w:r>
      <w:r w:rsidRPr="004949BF">
        <w:tab/>
        <w:t>incarica la sua Presidente di trasmettere la presente raccomandazione al Consiglio, alla Commissione e alla vicepresidente della Commissione/alta rappresentante dell'Unione per gli affari esteri e la politica di sicurezza, nonché, per informazione, alla rappresentante speciale dell'Unione europea per i diritti umani.</w:t>
      </w:r>
    </w:p>
    <w:p w14:paraId="148BA0A5" w14:textId="77777777" w:rsidR="00902C4B" w:rsidRPr="004949BF" w:rsidRDefault="00902C4B" w:rsidP="00FD4651">
      <w:pPr>
        <w:sectPr w:rsidR="00902C4B" w:rsidRPr="004949BF" w:rsidSect="0003524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4B9E8E51" w14:textId="77777777" w:rsidR="00902C4B" w:rsidRPr="004949BF" w:rsidRDefault="006738C5" w:rsidP="00902C4B">
      <w:pPr>
        <w:pStyle w:val="PageHeading"/>
      </w:pPr>
      <w:bookmarkStart w:id="1" w:name="_Toc214611309"/>
      <w:r w:rsidRPr="004949BF">
        <w:t>MOTIVAZIONE</w:t>
      </w:r>
      <w:bookmarkEnd w:id="1"/>
    </w:p>
    <w:p w14:paraId="68D54AB4" w14:textId="77777777" w:rsidR="008C5F17" w:rsidRPr="004949BF" w:rsidRDefault="008C5F17" w:rsidP="008C5F17">
      <w:r w:rsidRPr="004949BF">
        <w:t>La parità tra donne e uomini è un principio fondamentale dell'Unione europea. L'integrazione della dimensione di genere e un approccio intersezionale devono essere attuati e integrati in tutte le politiche dell'UE, garantendo la coerenza tra l'azione interna ed esterna al fine di promuovere i diritti umani, la democrazia e la parità di genere in tutto il mondo. I diritti umani delle donne e la parità di genere non sono soltanto diritti fondamentali, ma anche presupposti indispensabili per lo sviluppo, la riduzione della povertà e la costruzione di società pacifiche, prospere e sostenibili.</w:t>
      </w:r>
    </w:p>
    <w:p w14:paraId="599FB78D" w14:textId="77777777" w:rsidR="008C5F17" w:rsidRPr="004949BF" w:rsidRDefault="008C5F17" w:rsidP="008C5F17"/>
    <w:p w14:paraId="5F518618" w14:textId="77777777" w:rsidR="008C5F17" w:rsidRPr="004949BF" w:rsidRDefault="008C5F17" w:rsidP="008C5F17">
      <w:r w:rsidRPr="004949BF">
        <w:t>L'accesso alla giustizia, sancito dal diritto internazionale e dall'articolo 47 della Carta dei diritti fondamentali dell'Unione europea, è centrale per lo Stato di diritto e la democrazia. Eppure l'accesso alla giustizia per le donne rimane una questione complessa e critica in tutte le regioni. Le donne continuano a essere significativamente sottorappresentate ai massimi livelli della magistratura e delle autorità giudiziarie, in particolare nelle posizioni dirigenziali quali presidenti di tribunale, giudici supremi e capi delle procure. Al tempo stesso, la stereotipizzazione giudiziaria e le norme di genere prevalenti ostacolano la giustizia per le donne vittime e sopravvissute alla violenza.</w:t>
      </w:r>
    </w:p>
    <w:p w14:paraId="559239CF" w14:textId="77777777" w:rsidR="008C5F17" w:rsidRPr="004949BF" w:rsidRDefault="008C5F17" w:rsidP="008C5F17"/>
    <w:p w14:paraId="65C09409" w14:textId="77777777" w:rsidR="008C5F17" w:rsidRPr="004949BF" w:rsidRDefault="008C5F17" w:rsidP="008C5F17">
      <w:r w:rsidRPr="004949BF">
        <w:t>Le Nazioni Unite hanno promosso una maggiore partecipazione delle donne al settore della giustizia e i dati dimostrano che una maggiore rappresentanza femminile all'interno delle istituzioni giudiziarie promuove approcci alla giustizia maggiormente incentrati sulle vittime. Ciò è particolarmente rilevante nella risposta alla violenza nei confronti delle donne e alla violenza domestica, che costituiscono violazioni dei diritti fondamentali. I sistemi giuridici devono rispondere alle esigenze delle vittime garantendo una protezione e mezzi di ricorso adeguati, ma molte donne incontrano ancora notevoli ostacoli nel denunciare gli abusi e nell'accedere all'assistenza legale. Molte donne e ragazze, in particolare quelle che subiscono forme multiple e intersezionali di discriminazione, percepiscono il sistema giudiziario come poco sensibile alle realtà vissute dai gruppi vulnerabili.</w:t>
      </w:r>
    </w:p>
    <w:p w14:paraId="27FC154E" w14:textId="77777777" w:rsidR="008C5F17" w:rsidRPr="004949BF" w:rsidRDefault="008C5F17" w:rsidP="008C5F17"/>
    <w:p w14:paraId="0CCA2ABB" w14:textId="77777777" w:rsidR="008C5F17" w:rsidRPr="004949BF" w:rsidRDefault="008C5F17" w:rsidP="008C5F17">
      <w:r w:rsidRPr="004949BF">
        <w:t>La presente raccomandazione invita il Consiglio a riconfermare l'impegno dell'UE a favore della parità di genere e ad assicurare che i diritti delle donne siano attuati appieno in tutti gli ambiti dell'azione esterna dell'UE attraverso un approccio inclusivo, intersezionale e adeguatamente finanziato. Sottolinea inoltre la necessità del pieno coinvolgimento del Parlamento e della sua commissione per i diritti delle donne e l'uguaglianza di genere nel definire la posizione dell'Unione nella 70</w:t>
      </w:r>
      <w:r w:rsidRPr="004949BF">
        <w:rPr>
          <w:vertAlign w:val="superscript"/>
        </w:rPr>
        <w:t>a</w:t>
      </w:r>
      <w:r w:rsidRPr="004949BF">
        <w:t xml:space="preserve"> sessione della Commissione delle Nazioni Unite sulla condizione femminile.</w:t>
      </w:r>
    </w:p>
    <w:p w14:paraId="42D5EFCC" w14:textId="77777777" w:rsidR="008C5F17" w:rsidRPr="004949BF" w:rsidRDefault="008C5F17" w:rsidP="008C5F17"/>
    <w:p w14:paraId="245D30DD" w14:textId="77777777" w:rsidR="008C5F17" w:rsidRPr="004949BF" w:rsidRDefault="008C5F17" w:rsidP="008C5F17">
      <w:r w:rsidRPr="004949BF">
        <w:t>La raccomandazione promette inoltre un forte sostegno a UN Women quale attore centrale del sistema delle Nazioni Unite per la promozione dei diritti delle donne e invita tutti gli Stati membri delle Nazioni Unite, insieme all'UE, a fornire finanziamenti adeguati. Sottolinea l'importanza di strumenti europei e internazionali ambiziosi e complementari, con solide disposizioni per garantire l'emancipazione delle donne e l'accesso alla giustizia, compreso l'accesso al patrocinio a spese dello Stato e la valutazione di tribunali specializzati per la violenza di genere. La tutela dei diritti delle donne attraverso sistemi giudiziari efficaci apre la strada a società più eque, in linea con l'effettiva attuazione dell'Agenda 2030 per lo sviluppo sostenibile (OSS n. 16).</w:t>
      </w:r>
    </w:p>
    <w:p w14:paraId="26285A44" w14:textId="77777777" w:rsidR="008C5F17" w:rsidRPr="004949BF" w:rsidRDefault="008C5F17" w:rsidP="008C5F17"/>
    <w:p w14:paraId="1CC691FE" w14:textId="751B9D38" w:rsidR="00902C4B" w:rsidRPr="004949BF" w:rsidRDefault="008C5F17" w:rsidP="008C5F17">
      <w:pPr>
        <w:pStyle w:val="Normal12a"/>
      </w:pPr>
      <w:r w:rsidRPr="004949BF">
        <w:t>Infine, la raccomandazione sottolinea la necessità di integrare la dimensione di genere e il bilancio di genere in tutti i settori d'intervento dell'UE, di accelerare gli impegni internazionali per prevenire tutte le forme di violenza contro le donne e le ragazze e di promuovere la pari rappresentanza delle donne nel sistema giudiziario. I diritti delle donne e la parità di genere sono essenziali per lo Stato di diritto, democrazie resilienti e i valori fondamentali dell'UE, e l'Unione deve assumere un ruolo guida nel garantire che tali diritti siano effettivamente tutelati. L'accesso alla giustizia per tutti è fondamentale per società giuste e inclusive e una condizione preliminare per la parità sostanziale di genere e per i diritti umani.</w:t>
      </w:r>
    </w:p>
    <w:p w14:paraId="08DB8B94" w14:textId="77777777" w:rsidR="00144AD8" w:rsidRPr="004949BF" w:rsidRDefault="00144AD8" w:rsidP="00FD4651"/>
    <w:sectPr w:rsidR="00144AD8" w:rsidRPr="004949BF" w:rsidSect="0003524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89796" w14:textId="77777777" w:rsidR="006738C5" w:rsidRPr="004949BF" w:rsidRDefault="006738C5">
      <w:r w:rsidRPr="004949BF">
        <w:separator/>
      </w:r>
    </w:p>
  </w:endnote>
  <w:endnote w:type="continuationSeparator" w:id="0">
    <w:p w14:paraId="166E0E4D" w14:textId="77777777" w:rsidR="006738C5" w:rsidRPr="004949BF" w:rsidRDefault="006738C5">
      <w:r w:rsidRPr="004949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525D4" w14:textId="77777777" w:rsidR="00035247" w:rsidRPr="004949BF" w:rsidRDefault="00035247" w:rsidP="00035247">
    <w:pPr>
      <w:pStyle w:val="EPFooter"/>
    </w:pPr>
    <w:r w:rsidRPr="004949BF">
      <w:t>PE</w:t>
    </w:r>
    <w:r w:rsidRPr="002A5D70">
      <w:rPr>
        <w:rStyle w:val="HideTWBExt"/>
      </w:rPr>
      <w:t>&lt;NoPE&gt;</w:t>
    </w:r>
    <w:r w:rsidRPr="004949BF">
      <w:t>776.895</w:t>
    </w:r>
    <w:r w:rsidRPr="002A5D70">
      <w:rPr>
        <w:rStyle w:val="HideTWBExt"/>
      </w:rPr>
      <w:t>&lt;/NoPE&gt;&lt;Version&gt;</w:t>
    </w:r>
    <w:r w:rsidRPr="004949BF">
      <w:t>v02-00</w:t>
    </w:r>
    <w:r w:rsidRPr="002A5D70">
      <w:rPr>
        <w:rStyle w:val="HideTWBExt"/>
      </w:rPr>
      <w:t>&lt;/Version&gt;</w:t>
    </w:r>
    <w:r w:rsidRPr="004949BF">
      <w:tab/>
    </w:r>
    <w:r w:rsidRPr="004949BF">
      <w:fldChar w:fldCharType="begin"/>
    </w:r>
    <w:r w:rsidRPr="004949BF">
      <w:instrText xml:space="preserve"> PAGE  \* MERGEFORMAT </w:instrText>
    </w:r>
    <w:r w:rsidRPr="004949BF">
      <w:fldChar w:fldCharType="separate"/>
    </w:r>
    <w:r w:rsidRPr="004949BF">
      <w:rPr>
        <w:noProof/>
      </w:rPr>
      <w:t>2</w:t>
    </w:r>
    <w:r w:rsidRPr="004949BF">
      <w:fldChar w:fldCharType="end"/>
    </w:r>
    <w:r w:rsidRPr="004949BF">
      <w:t>/</w:t>
    </w:r>
    <w:r w:rsidR="008454E2">
      <w:fldChar w:fldCharType="begin"/>
    </w:r>
    <w:r w:rsidR="008454E2">
      <w:instrText xml:space="preserve"> NUMPAGES  \* MERGEFORMAT </w:instrText>
    </w:r>
    <w:r w:rsidR="008454E2">
      <w:fldChar w:fldCharType="separate"/>
    </w:r>
    <w:r w:rsidRPr="004949BF">
      <w:rPr>
        <w:noProof/>
      </w:rPr>
      <w:t>8</w:t>
    </w:r>
    <w:r w:rsidR="008454E2">
      <w:rPr>
        <w:noProof/>
      </w:rPr>
      <w:fldChar w:fldCharType="end"/>
    </w:r>
    <w:r w:rsidRPr="004949BF">
      <w:tab/>
    </w:r>
    <w:r w:rsidRPr="002A5D70">
      <w:rPr>
        <w:rStyle w:val="HideTWBExt"/>
      </w:rPr>
      <w:t>&lt;PathFdR&gt;</w:t>
    </w:r>
    <w:r w:rsidRPr="004949BF">
      <w:t>PR\1332470IT.docx</w:t>
    </w:r>
    <w:r w:rsidRPr="002A5D70">
      <w:rPr>
        <w:rStyle w:val="HideTWBExt"/>
      </w:rPr>
      <w:t>&lt;/PathFdR&gt;</w:t>
    </w:r>
  </w:p>
  <w:p w14:paraId="041F106D" w14:textId="2F1BC047" w:rsidR="00144AD8" w:rsidRPr="004949BF" w:rsidRDefault="00035247" w:rsidP="00035247">
    <w:pPr>
      <w:pStyle w:val="EPFooter2"/>
    </w:pPr>
    <w:r w:rsidRPr="004949BF">
      <w:t>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EEC97" w14:textId="77777777" w:rsidR="00035247" w:rsidRPr="004949BF" w:rsidRDefault="00035247" w:rsidP="00035247">
    <w:pPr>
      <w:pStyle w:val="EPFooter"/>
    </w:pPr>
    <w:r w:rsidRPr="002A5D70">
      <w:rPr>
        <w:rStyle w:val="HideTWBExt"/>
      </w:rPr>
      <w:t>&lt;PathFdR&gt;</w:t>
    </w:r>
    <w:r w:rsidRPr="004949BF">
      <w:t>PR\1332470IT.docx</w:t>
    </w:r>
    <w:r w:rsidRPr="002A5D70">
      <w:rPr>
        <w:rStyle w:val="HideTWBExt"/>
      </w:rPr>
      <w:t>&lt;/PathFdR&gt;</w:t>
    </w:r>
    <w:r w:rsidRPr="004949BF">
      <w:tab/>
    </w:r>
    <w:r w:rsidRPr="004949BF">
      <w:fldChar w:fldCharType="begin"/>
    </w:r>
    <w:r w:rsidRPr="004949BF">
      <w:instrText xml:space="preserve"> PAGE  \* MERGEFORMAT </w:instrText>
    </w:r>
    <w:r w:rsidRPr="004949BF">
      <w:fldChar w:fldCharType="separate"/>
    </w:r>
    <w:r w:rsidRPr="004949BF">
      <w:rPr>
        <w:noProof/>
      </w:rPr>
      <w:t>3</w:t>
    </w:r>
    <w:r w:rsidRPr="004949BF">
      <w:fldChar w:fldCharType="end"/>
    </w:r>
    <w:r w:rsidRPr="004949BF">
      <w:t>/</w:t>
    </w:r>
    <w:r w:rsidR="008454E2">
      <w:fldChar w:fldCharType="begin"/>
    </w:r>
    <w:r w:rsidR="008454E2">
      <w:instrText xml:space="preserve"> NUMPAGES  \* MERGEFORMAT </w:instrText>
    </w:r>
    <w:r w:rsidR="008454E2">
      <w:fldChar w:fldCharType="separate"/>
    </w:r>
    <w:r w:rsidRPr="004949BF">
      <w:rPr>
        <w:noProof/>
      </w:rPr>
      <w:t>8</w:t>
    </w:r>
    <w:r w:rsidR="008454E2">
      <w:rPr>
        <w:noProof/>
      </w:rPr>
      <w:fldChar w:fldCharType="end"/>
    </w:r>
    <w:r w:rsidRPr="004949BF">
      <w:tab/>
      <w:t>PE</w:t>
    </w:r>
    <w:r w:rsidRPr="002A5D70">
      <w:rPr>
        <w:rStyle w:val="HideTWBExt"/>
      </w:rPr>
      <w:t>&lt;NoPE&gt;</w:t>
    </w:r>
    <w:r w:rsidRPr="004949BF">
      <w:t>776.895</w:t>
    </w:r>
    <w:r w:rsidRPr="002A5D70">
      <w:rPr>
        <w:rStyle w:val="HideTWBExt"/>
      </w:rPr>
      <w:t>&lt;/NoPE&gt;&lt;Version&gt;</w:t>
    </w:r>
    <w:r w:rsidRPr="004949BF">
      <w:t>v02-00</w:t>
    </w:r>
    <w:r w:rsidRPr="002A5D70">
      <w:rPr>
        <w:rStyle w:val="HideTWBExt"/>
      </w:rPr>
      <w:t>&lt;/Version&gt;</w:t>
    </w:r>
  </w:p>
  <w:p w14:paraId="392B92FC" w14:textId="6FBA1F68" w:rsidR="00144AD8" w:rsidRPr="004949BF" w:rsidRDefault="00035247" w:rsidP="00035247">
    <w:pPr>
      <w:pStyle w:val="EPFooter2"/>
    </w:pPr>
    <w:r w:rsidRPr="004949BF">
      <w:tab/>
    </w:r>
    <w:r w:rsidRPr="004949BF">
      <w:tab/>
      <w:t>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03ACB" w14:textId="77777777" w:rsidR="00035247" w:rsidRPr="004949BF" w:rsidRDefault="00035247" w:rsidP="00035247">
    <w:pPr>
      <w:pStyle w:val="EPFooter"/>
    </w:pPr>
    <w:r w:rsidRPr="002A5D70">
      <w:rPr>
        <w:rStyle w:val="HideTWBExt"/>
      </w:rPr>
      <w:t>&lt;PathFdR&gt;</w:t>
    </w:r>
    <w:r w:rsidRPr="004949BF">
      <w:t>PR\1332470IT.docx</w:t>
    </w:r>
    <w:r w:rsidRPr="002A5D70">
      <w:rPr>
        <w:rStyle w:val="HideTWBExt"/>
      </w:rPr>
      <w:t>&lt;/PathFdR&gt;</w:t>
    </w:r>
    <w:r w:rsidRPr="004949BF">
      <w:tab/>
    </w:r>
    <w:r w:rsidRPr="004949BF">
      <w:tab/>
      <w:t>PE</w:t>
    </w:r>
    <w:r w:rsidRPr="002A5D70">
      <w:rPr>
        <w:rStyle w:val="HideTWBExt"/>
      </w:rPr>
      <w:t>&lt;NoPE&gt;</w:t>
    </w:r>
    <w:r w:rsidRPr="004949BF">
      <w:t>776.895</w:t>
    </w:r>
    <w:r w:rsidRPr="002A5D70">
      <w:rPr>
        <w:rStyle w:val="HideTWBExt"/>
      </w:rPr>
      <w:t>&lt;/NoPE&gt;&lt;Version&gt;</w:t>
    </w:r>
    <w:r w:rsidRPr="004949BF">
      <w:t>v02-00</w:t>
    </w:r>
    <w:r w:rsidRPr="002A5D70">
      <w:rPr>
        <w:rStyle w:val="HideTWBExt"/>
      </w:rPr>
      <w:t>&lt;/Version&gt;</w:t>
    </w:r>
  </w:p>
  <w:p w14:paraId="39321793" w14:textId="42CB78FA" w:rsidR="00144AD8" w:rsidRPr="004949BF" w:rsidRDefault="00035247" w:rsidP="00035247">
    <w:pPr>
      <w:pStyle w:val="EPFooter2"/>
    </w:pPr>
    <w:r w:rsidRPr="004949BF">
      <w:t>IT</w:t>
    </w:r>
    <w:r w:rsidRPr="004949BF">
      <w:tab/>
    </w:r>
    <w:r w:rsidRPr="004949BF">
      <w:rPr>
        <w:b w:val="0"/>
        <w:i/>
        <w:color w:val="C0C0C0"/>
        <w:sz w:val="22"/>
      </w:rPr>
      <w:t>Unita nella diversità</w:t>
    </w:r>
    <w:r w:rsidRPr="004949BF">
      <w:tab/>
      <w:t>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93B6B" w14:textId="77777777" w:rsidR="006738C5" w:rsidRPr="004949BF" w:rsidRDefault="006738C5">
      <w:r w:rsidRPr="004949BF">
        <w:separator/>
      </w:r>
    </w:p>
  </w:footnote>
  <w:footnote w:type="continuationSeparator" w:id="0">
    <w:p w14:paraId="695E4CCE" w14:textId="77777777" w:rsidR="006738C5" w:rsidRPr="004949BF" w:rsidRDefault="006738C5">
      <w:r w:rsidRPr="004949BF">
        <w:continuationSeparator/>
      </w:r>
    </w:p>
  </w:footnote>
  <w:footnote w:id="1">
    <w:p w14:paraId="465D3A95" w14:textId="04845C61" w:rsidR="008C5F17" w:rsidRPr="004949BF" w:rsidRDefault="008C5F17" w:rsidP="008C5F17">
      <w:pPr>
        <w:pStyle w:val="FootnoteText"/>
      </w:pPr>
      <w:r w:rsidRPr="004949BF">
        <w:rPr>
          <w:rStyle w:val="FootnoteReference"/>
        </w:rPr>
        <w:footnoteRef/>
      </w:r>
      <w:r w:rsidRPr="004949BF">
        <w:t xml:space="preserve"> GU L 315 del 14.11.2012, pag. 57, ELI: </w:t>
      </w:r>
      <w:hyperlink r:id="rId1" w:tooltip="Accesso al documento tramite l'URI dell'ELI." w:history="1">
        <w:r w:rsidRPr="004949BF">
          <w:rPr>
            <w:rStyle w:val="Hyperlink"/>
          </w:rPr>
          <w:t>http://data.europa.eu/eli/dir/2012/29/oj</w:t>
        </w:r>
      </w:hyperlink>
      <w:r w:rsidRPr="004949BF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F0AE6" w14:textId="77777777" w:rsidR="002A5D70" w:rsidRDefault="002A5D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8956F" w14:textId="77777777" w:rsidR="002A5D70" w:rsidRDefault="002A5D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43988" w14:textId="77777777" w:rsidR="002A5D70" w:rsidRDefault="002A5D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DF5FFC"/>
    <w:multiLevelType w:val="hybridMultilevel"/>
    <w:tmpl w:val="3ED85424"/>
    <w:lvl w:ilvl="0" w:tplc="049AD322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1119700">
    <w:abstractNumId w:val="9"/>
  </w:num>
  <w:num w:numId="2" w16cid:durableId="1723677022">
    <w:abstractNumId w:val="9"/>
  </w:num>
  <w:num w:numId="3" w16cid:durableId="1382094789">
    <w:abstractNumId w:val="7"/>
  </w:num>
  <w:num w:numId="4" w16cid:durableId="969942223">
    <w:abstractNumId w:val="7"/>
  </w:num>
  <w:num w:numId="5" w16cid:durableId="2144418437">
    <w:abstractNumId w:val="6"/>
  </w:num>
  <w:num w:numId="6" w16cid:durableId="637272200">
    <w:abstractNumId w:val="6"/>
  </w:num>
  <w:num w:numId="7" w16cid:durableId="839540733">
    <w:abstractNumId w:val="5"/>
  </w:num>
  <w:num w:numId="8" w16cid:durableId="1021203102">
    <w:abstractNumId w:val="5"/>
  </w:num>
  <w:num w:numId="9" w16cid:durableId="1909001993">
    <w:abstractNumId w:val="4"/>
  </w:num>
  <w:num w:numId="10" w16cid:durableId="1460345361">
    <w:abstractNumId w:val="4"/>
  </w:num>
  <w:num w:numId="11" w16cid:durableId="673649737">
    <w:abstractNumId w:val="8"/>
  </w:num>
  <w:num w:numId="12" w16cid:durableId="323432947">
    <w:abstractNumId w:val="8"/>
  </w:num>
  <w:num w:numId="13" w16cid:durableId="902571111">
    <w:abstractNumId w:val="3"/>
  </w:num>
  <w:num w:numId="14" w16cid:durableId="223612263">
    <w:abstractNumId w:val="3"/>
  </w:num>
  <w:num w:numId="15" w16cid:durableId="2076388349">
    <w:abstractNumId w:val="2"/>
  </w:num>
  <w:num w:numId="16" w16cid:durableId="1818297926">
    <w:abstractNumId w:val="2"/>
  </w:num>
  <w:num w:numId="17" w16cid:durableId="1685210259">
    <w:abstractNumId w:val="1"/>
  </w:num>
  <w:num w:numId="18" w16cid:durableId="1678268446">
    <w:abstractNumId w:val="1"/>
  </w:num>
  <w:num w:numId="19" w16cid:durableId="1599800186">
    <w:abstractNumId w:val="0"/>
  </w:num>
  <w:num w:numId="20" w16cid:durableId="2066220599">
    <w:abstractNumId w:val="0"/>
  </w:num>
  <w:num w:numId="21" w16cid:durableId="1500150361">
    <w:abstractNumId w:val="9"/>
  </w:num>
  <w:num w:numId="22" w16cid:durableId="1682125262">
    <w:abstractNumId w:val="7"/>
  </w:num>
  <w:num w:numId="23" w16cid:durableId="1901091240">
    <w:abstractNumId w:val="6"/>
  </w:num>
  <w:num w:numId="24" w16cid:durableId="1998723522">
    <w:abstractNumId w:val="5"/>
  </w:num>
  <w:num w:numId="25" w16cid:durableId="364797703">
    <w:abstractNumId w:val="4"/>
  </w:num>
  <w:num w:numId="26" w16cid:durableId="1746217835">
    <w:abstractNumId w:val="8"/>
  </w:num>
  <w:num w:numId="27" w16cid:durableId="1266424537">
    <w:abstractNumId w:val="3"/>
  </w:num>
  <w:num w:numId="28" w16cid:durableId="1959994273">
    <w:abstractNumId w:val="2"/>
  </w:num>
  <w:num w:numId="29" w16cid:durableId="1811560193">
    <w:abstractNumId w:val="1"/>
  </w:num>
  <w:num w:numId="30" w16cid:durableId="336423061">
    <w:abstractNumId w:val="0"/>
  </w:num>
  <w:num w:numId="31" w16cid:durableId="636567118">
    <w:abstractNumId w:val="9"/>
  </w:num>
  <w:num w:numId="32" w16cid:durableId="410006585">
    <w:abstractNumId w:val="7"/>
  </w:num>
  <w:num w:numId="33" w16cid:durableId="1026056886">
    <w:abstractNumId w:val="6"/>
  </w:num>
  <w:num w:numId="34" w16cid:durableId="1603217757">
    <w:abstractNumId w:val="5"/>
  </w:num>
  <w:num w:numId="35" w16cid:durableId="1553881460">
    <w:abstractNumId w:val="4"/>
  </w:num>
  <w:num w:numId="36" w16cid:durableId="1161043218">
    <w:abstractNumId w:val="8"/>
  </w:num>
  <w:num w:numId="37" w16cid:durableId="1087456791">
    <w:abstractNumId w:val="3"/>
  </w:num>
  <w:num w:numId="38" w16cid:durableId="613899532">
    <w:abstractNumId w:val="2"/>
  </w:num>
  <w:num w:numId="39" w16cid:durableId="110827384">
    <w:abstractNumId w:val="1"/>
  </w:num>
  <w:num w:numId="40" w16cid:durableId="598753013">
    <w:abstractNumId w:val="0"/>
  </w:num>
  <w:num w:numId="41" w16cid:durableId="10121509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FMNU" w:val=" 2"/>
    <w:docVar w:name="COMKEY" w:val="FEMM"/>
    <w:docVar w:name="LastEditedSection" w:val=" 1"/>
    <w:docVar w:name="strDocTypeID" w:val="PR_INI_RecommCFSP"/>
    <w:docVar w:name="strSubDir" w:val="1332"/>
    <w:docVar w:name="TXTLANGUE" w:val="IT"/>
    <w:docVar w:name="TXTLANGUEMIN" w:val="it"/>
    <w:docVar w:name="TXTNRINI" w:val="2025/0000"/>
    <w:docVar w:name="TXTNRPE" w:val="776.895"/>
    <w:docVar w:name="TXTPEorAP" w:val="PE"/>
    <w:docVar w:name="TXTROUTE" w:val="PR\1332470IT.docx"/>
    <w:docVar w:name="TXTVERSION" w:val="02-00"/>
  </w:docVars>
  <w:rsids>
    <w:rsidRoot w:val="006738C5"/>
    <w:rsid w:val="000005E5"/>
    <w:rsid w:val="00001993"/>
    <w:rsid w:val="00005D56"/>
    <w:rsid w:val="00010437"/>
    <w:rsid w:val="00035247"/>
    <w:rsid w:val="00144AD8"/>
    <w:rsid w:val="001533B4"/>
    <w:rsid w:val="00160F77"/>
    <w:rsid w:val="001B22EB"/>
    <w:rsid w:val="00234B03"/>
    <w:rsid w:val="0024591C"/>
    <w:rsid w:val="00267945"/>
    <w:rsid w:val="002A5D70"/>
    <w:rsid w:val="0032649C"/>
    <w:rsid w:val="00387C58"/>
    <w:rsid w:val="00392F42"/>
    <w:rsid w:val="003D0074"/>
    <w:rsid w:val="00434A68"/>
    <w:rsid w:val="00437B75"/>
    <w:rsid w:val="004949BF"/>
    <w:rsid w:val="004A388E"/>
    <w:rsid w:val="004A5141"/>
    <w:rsid w:val="005577F1"/>
    <w:rsid w:val="005E3ABB"/>
    <w:rsid w:val="0062719E"/>
    <w:rsid w:val="00627DF1"/>
    <w:rsid w:val="006738C5"/>
    <w:rsid w:val="00686DFF"/>
    <w:rsid w:val="0069495A"/>
    <w:rsid w:val="006D4C8E"/>
    <w:rsid w:val="006E363A"/>
    <w:rsid w:val="007C4764"/>
    <w:rsid w:val="0081489C"/>
    <w:rsid w:val="008454E2"/>
    <w:rsid w:val="00855A58"/>
    <w:rsid w:val="0086407B"/>
    <w:rsid w:val="00865AB2"/>
    <w:rsid w:val="008C5F17"/>
    <w:rsid w:val="008E11BD"/>
    <w:rsid w:val="00902C4B"/>
    <w:rsid w:val="009062FC"/>
    <w:rsid w:val="009302EC"/>
    <w:rsid w:val="00931782"/>
    <w:rsid w:val="009340AC"/>
    <w:rsid w:val="009B3734"/>
    <w:rsid w:val="00A144CA"/>
    <w:rsid w:val="00A22B21"/>
    <w:rsid w:val="00A667DB"/>
    <w:rsid w:val="00AC7758"/>
    <w:rsid w:val="00AF2187"/>
    <w:rsid w:val="00B10048"/>
    <w:rsid w:val="00B26C55"/>
    <w:rsid w:val="00B6527B"/>
    <w:rsid w:val="00B6642B"/>
    <w:rsid w:val="00BE7750"/>
    <w:rsid w:val="00C3019B"/>
    <w:rsid w:val="00C47D1A"/>
    <w:rsid w:val="00C7235E"/>
    <w:rsid w:val="00C7360B"/>
    <w:rsid w:val="00CA0DE5"/>
    <w:rsid w:val="00CB2AC0"/>
    <w:rsid w:val="00D349C1"/>
    <w:rsid w:val="00D860C1"/>
    <w:rsid w:val="00DC217F"/>
    <w:rsid w:val="00E048E2"/>
    <w:rsid w:val="00E05579"/>
    <w:rsid w:val="00E24484"/>
    <w:rsid w:val="00E26C78"/>
    <w:rsid w:val="00E34F46"/>
    <w:rsid w:val="00EA624D"/>
    <w:rsid w:val="00F65426"/>
    <w:rsid w:val="00FA7E38"/>
    <w:rsid w:val="00FC504F"/>
    <w:rsid w:val="00FC5F47"/>
    <w:rsid w:val="00FD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5B6CE5"/>
  <w15:chartTrackingRefBased/>
  <w15:docId w15:val="{FB9ABD85-0892-4016-AA59-4B1B8776D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4B03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144CA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05D5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Name">
    <w:name w:val="EPName"/>
    <w:basedOn w:val="Normal"/>
    <w:rsid w:val="009340AC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C47D1A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E363A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C47D1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6D4C8E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table" w:styleId="TableGrid">
    <w:name w:val="Table Grid"/>
    <w:basedOn w:val="TableNormal"/>
    <w:rsid w:val="00C72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235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235E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235E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340AC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340AC"/>
    <w:pPr>
      <w:jc w:val="right"/>
    </w:pPr>
  </w:style>
  <w:style w:type="paragraph" w:customStyle="1" w:styleId="EPFooter">
    <w:name w:val="EPFooter"/>
    <w:basedOn w:val="Normal"/>
    <w:rsid w:val="00C47D1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6D4C8E"/>
    <w:rPr>
      <w:sz w:val="24"/>
    </w:rPr>
  </w:style>
  <w:style w:type="paragraph" w:customStyle="1" w:styleId="NormalHangingLeft12a">
    <w:name w:val="NormalHangingLeft12a"/>
    <w:basedOn w:val="Normal"/>
    <w:rsid w:val="00F65426"/>
    <w:pPr>
      <w:spacing w:after="240"/>
      <w:ind w:left="1134" w:hanging="567"/>
    </w:pPr>
  </w:style>
  <w:style w:type="paragraph" w:customStyle="1" w:styleId="Normal12a">
    <w:name w:val="Normal12a"/>
    <w:basedOn w:val="Normal"/>
    <w:rsid w:val="00902C4B"/>
    <w:pPr>
      <w:spacing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C5F17"/>
    <w:rPr>
      <w:sz w:val="24"/>
      <w:lang w:val="it-IT"/>
    </w:rPr>
  </w:style>
  <w:style w:type="paragraph" w:styleId="FootnoteText">
    <w:name w:val="footnote text"/>
    <w:basedOn w:val="Normal"/>
    <w:link w:val="FootnoteTextChar"/>
    <w:rsid w:val="008C5F17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8C5F17"/>
  </w:style>
  <w:style w:type="character" w:styleId="FootnoteReference">
    <w:name w:val="footnote reference"/>
    <w:basedOn w:val="DefaultParagraphFont"/>
    <w:rsid w:val="008C5F17"/>
    <w:rPr>
      <w:vertAlign w:val="superscript"/>
    </w:rPr>
  </w:style>
  <w:style w:type="character" w:styleId="Hyperlink">
    <w:name w:val="Hyperlink"/>
    <w:basedOn w:val="DefaultParagraphFont"/>
    <w:rsid w:val="008C5F17"/>
    <w:rPr>
      <w:color w:val="0563C1" w:themeColor="hyperlink"/>
      <w:u w:val="single"/>
    </w:rPr>
  </w:style>
  <w:style w:type="paragraph" w:customStyle="1" w:styleId="pf0">
    <w:name w:val="pf0"/>
    <w:basedOn w:val="Normal"/>
    <w:rsid w:val="008C5F17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semiHidden/>
    <w:rsid w:val="008C5F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8C5F17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ir/2012/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2264</Words>
  <Characters>13566</Characters>
  <Application>Microsoft Office Word</Application>
  <DocSecurity>0</DocSecurity>
  <Lines>226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PR_INI_RecommCFSP</vt:lpstr>
    </vt:vector>
  </TitlesOfParts>
  <Company/>
  <LinksUpToDate>false</LinksUpToDate>
  <CharactersWithSpaces>15762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PR_INI_RecommCFSP</dc:title>
  <dc:subject/>
  <dc:creator>LEITENBERGER Andrea</dc:creator>
  <cp:keywords/>
  <dc:description/>
  <cp:lastModifiedBy>LEONETTI BETTONI Francesca</cp:lastModifiedBy>
  <cp:revision>2</cp:revision>
  <cp:lastPrinted>2006-05-02T14:58:00Z</cp:lastPrinted>
  <dcterms:created xsi:type="dcterms:W3CDTF">2025-11-21T08:55:00Z</dcterms:created>
  <dcterms:modified xsi:type="dcterms:W3CDTF">2025-11-21T08:55:00Z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Created with">
    <vt:lpwstr>10.1.2 Build [20250715]</vt:lpwstr>
  </property>
  <property fmtid="{D5CDD505-2E9C-101B-9397-08002B2CF9AE}" pid="4" name="LastEdited with">
    <vt:lpwstr>10.2.0 Build [20251001]</vt:lpwstr>
  </property>
  <property fmtid="{D5CDD505-2E9C-101B-9397-08002B2CF9AE}" pid="5" name="&lt;FdR&gt;">
    <vt:lpwstr>1332470</vt:lpwstr>
  </property>
  <property fmtid="{D5CDD505-2E9C-101B-9397-08002B2CF9AE}" pid="6" name="&lt;Type&gt;">
    <vt:lpwstr>PR</vt:lpwstr>
  </property>
  <property fmtid="{D5CDD505-2E9C-101B-9397-08002B2CF9AE}" pid="7" name="&lt;ModelCod&gt;">
    <vt:lpwstr>\\eiciLUXpr1\pdocep$\DocEP\DOCS\General\PR\PR_NonLeg\INI\PR_INI_RecommCFSP.dotx(23/11/2023 20:35:01)</vt:lpwstr>
  </property>
  <property fmtid="{D5CDD505-2E9C-101B-9397-08002B2CF9AE}" pid="8" name="&lt;ModelTra&gt;">
    <vt:lpwstr>\\eiciLUXpr1\pdocep$\DocEP\TRANSFIL\IT\PR_INI_RecommCFSP.IT(14/08/2024 20:08:11)</vt:lpwstr>
  </property>
  <property fmtid="{D5CDD505-2E9C-101B-9397-08002B2CF9AE}" pid="9" name="&lt;Model&gt;">
    <vt:lpwstr>PR_INI_RecommCFSP</vt:lpwstr>
  </property>
  <property fmtid="{D5CDD505-2E9C-101B-9397-08002B2CF9AE}" pid="10" name="FooterPath">
    <vt:lpwstr>PR\1332470IT.docx</vt:lpwstr>
  </property>
  <property fmtid="{D5CDD505-2E9C-101B-9397-08002B2CF9AE}" pid="11" name="PE number">
    <vt:lpwstr>776.895</vt:lpwstr>
  </property>
  <property fmtid="{D5CDD505-2E9C-101B-9397-08002B2CF9AE}" pid="12" name="Bookout">
    <vt:lpwstr>OK - 2025/11/21 09:54</vt:lpwstr>
  </property>
  <property fmtid="{D5CDD505-2E9C-101B-9397-08002B2CF9AE}" pid="13" name="SDLStudio">
    <vt:lpwstr/>
  </property>
</Properties>
</file>