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262A9" w:rsidRPr="006D02E4" w14:paraId="4263E359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85A37B" w14:textId="77777777" w:rsidR="0069495A" w:rsidRPr="006D02E4" w:rsidRDefault="00CA3A7A" w:rsidP="00C85D0F">
            <w:pPr>
              <w:pStyle w:val="EPName"/>
            </w:pPr>
            <w:r w:rsidRPr="006D02E4">
              <w:t>Parlament Ewropew</w:t>
            </w:r>
          </w:p>
          <w:p w14:paraId="7CDD5BB4" w14:textId="77777777" w:rsidR="0069495A" w:rsidRPr="006D02E4" w:rsidRDefault="00CA3A7A" w:rsidP="006067F0">
            <w:pPr>
              <w:pStyle w:val="EPTerm"/>
            </w:pPr>
            <w:r w:rsidRPr="006D02E4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314072B" w14:textId="77777777" w:rsidR="0069495A" w:rsidRPr="006D02E4" w:rsidRDefault="00CA3A7A" w:rsidP="00C85D0F">
            <w:pPr>
              <w:pStyle w:val="EPLogo"/>
            </w:pPr>
            <w:r w:rsidRPr="006D02E4">
              <w:rPr>
                <w:noProof/>
              </w:rPr>
              <w:drawing>
                <wp:inline distT="0" distB="0" distL="0" distR="0" wp14:anchorId="4C6541A0" wp14:editId="639384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15A84C" w14:textId="77777777" w:rsidR="00C7235E" w:rsidRPr="006D02E4" w:rsidRDefault="00C7235E" w:rsidP="00C7235E">
      <w:pPr>
        <w:pStyle w:val="LineTop"/>
      </w:pPr>
    </w:p>
    <w:p w14:paraId="12E632B8" w14:textId="77777777" w:rsidR="00C7235E" w:rsidRPr="006D02E4" w:rsidRDefault="00CA3A7A" w:rsidP="00C7235E">
      <w:pPr>
        <w:pStyle w:val="EPBody"/>
      </w:pPr>
      <w:r w:rsidRPr="006D02E4">
        <w:rPr>
          <w:rStyle w:val="HideTWBExt"/>
        </w:rPr>
        <w:t>&lt;</w:t>
      </w:r>
      <w:r w:rsidRPr="006D02E4">
        <w:rPr>
          <w:rStyle w:val="HideTWBExt"/>
          <w:i w:val="0"/>
        </w:rPr>
        <w:t>Commission</w:t>
      </w:r>
      <w:r w:rsidRPr="006D02E4">
        <w:rPr>
          <w:rStyle w:val="HideTWBExt"/>
        </w:rPr>
        <w:t>&gt;</w:t>
      </w:r>
      <w:r w:rsidRPr="006D02E4">
        <w:rPr>
          <w:rStyle w:val="HideTWBInt"/>
          <w:color w:val="auto"/>
        </w:rPr>
        <w:t>{FEMM}</w:t>
      </w:r>
      <w:r w:rsidRPr="006D02E4">
        <w:t>Kumitat għad-Drittijiet tan-Nisa u l-Ugwaljanza bejn il-Ġeneri</w:t>
      </w:r>
      <w:r w:rsidRPr="006D02E4">
        <w:rPr>
          <w:rStyle w:val="HideTWBExt"/>
        </w:rPr>
        <w:t>&lt;/</w:t>
      </w:r>
      <w:r w:rsidRPr="006D02E4">
        <w:rPr>
          <w:rStyle w:val="HideTWBExt"/>
          <w:i w:val="0"/>
        </w:rPr>
        <w:t>Commission</w:t>
      </w:r>
      <w:r w:rsidRPr="006D02E4">
        <w:rPr>
          <w:rStyle w:val="HideTWBExt"/>
        </w:rPr>
        <w:t>&gt;</w:t>
      </w:r>
    </w:p>
    <w:p w14:paraId="24347EC8" w14:textId="77777777" w:rsidR="00C7235E" w:rsidRPr="006D02E4" w:rsidRDefault="00C7235E" w:rsidP="00C7235E">
      <w:pPr>
        <w:pStyle w:val="LineBottom"/>
      </w:pPr>
    </w:p>
    <w:p w14:paraId="0CF09281" w14:textId="77777777" w:rsidR="00144AD8" w:rsidRPr="006D02E4" w:rsidRDefault="00CA3A7A">
      <w:pPr>
        <w:pStyle w:val="CoverReference"/>
      </w:pPr>
      <w:r w:rsidRPr="006D02E4">
        <w:rPr>
          <w:rStyle w:val="HideTWBExt"/>
          <w:b w:val="0"/>
        </w:rPr>
        <w:t>&lt;RefProc&gt;</w:t>
      </w:r>
      <w:r w:rsidRPr="006D02E4">
        <w:t>2025/2240</w:t>
      </w:r>
      <w:r w:rsidRPr="006D02E4">
        <w:rPr>
          <w:rStyle w:val="HideTWBExt"/>
          <w:b w:val="0"/>
        </w:rPr>
        <w:t>&lt;/RefProc&gt;&lt;RefTypeProc&gt;</w:t>
      </w:r>
      <w:r w:rsidRPr="006D02E4">
        <w:t>(INI)</w:t>
      </w:r>
      <w:r w:rsidRPr="006D02E4">
        <w:rPr>
          <w:rStyle w:val="HideTWBExt"/>
          <w:b w:val="0"/>
        </w:rPr>
        <w:t>&lt;/RefTypeProc&gt;</w:t>
      </w:r>
    </w:p>
    <w:p w14:paraId="04311C29" w14:textId="77777777" w:rsidR="00144AD8" w:rsidRPr="006D02E4" w:rsidRDefault="00CA3A7A">
      <w:pPr>
        <w:pStyle w:val="CoverDate"/>
      </w:pPr>
      <w:r w:rsidRPr="006D02E4">
        <w:rPr>
          <w:rStyle w:val="HideTWBExt"/>
        </w:rPr>
        <w:t>&lt;Date&gt;</w:t>
      </w:r>
      <w:r w:rsidRPr="006D02E4">
        <w:rPr>
          <w:rStyle w:val="HideTWBInt"/>
          <w:color w:val="auto"/>
        </w:rPr>
        <w:t>{20/11/2025}</w:t>
      </w:r>
      <w:r w:rsidRPr="006D02E4">
        <w:t>20.11.2025</w:t>
      </w:r>
      <w:r w:rsidRPr="006D02E4">
        <w:rPr>
          <w:rStyle w:val="HideTWBExt"/>
        </w:rPr>
        <w:t>&lt;/Date&gt;</w:t>
      </w:r>
    </w:p>
    <w:p w14:paraId="6B11F455" w14:textId="77777777" w:rsidR="00144AD8" w:rsidRPr="006D02E4" w:rsidRDefault="00CA3A7A">
      <w:pPr>
        <w:pStyle w:val="CoverDocType24a"/>
      </w:pPr>
      <w:r w:rsidRPr="006D02E4">
        <w:rPr>
          <w:rStyle w:val="HideTWBExt"/>
          <w:b w:val="0"/>
        </w:rPr>
        <w:t>&lt;TitreType&gt;</w:t>
      </w:r>
      <w:r w:rsidRPr="006D02E4">
        <w:t xml:space="preserve">ABBOZZ TA’ </w:t>
      </w:r>
      <w:r w:rsidRPr="006D02E4">
        <w:t>RAPPORT</w:t>
      </w:r>
      <w:r w:rsidRPr="006D02E4">
        <w:rPr>
          <w:rStyle w:val="HideTWBExt"/>
          <w:b w:val="0"/>
        </w:rPr>
        <w:t>&lt;/TitreType&gt;</w:t>
      </w:r>
    </w:p>
    <w:p w14:paraId="2AD75DDC" w14:textId="77777777" w:rsidR="00144AD8" w:rsidRPr="006D02E4" w:rsidRDefault="00CA3A7A">
      <w:pPr>
        <w:pStyle w:val="CoverNormal"/>
      </w:pPr>
      <w:r w:rsidRPr="006D02E4">
        <w:rPr>
          <w:rStyle w:val="HideTWBExt"/>
        </w:rPr>
        <w:t>&lt;Titre&gt;</w:t>
      </w:r>
      <w:r w:rsidRPr="006D02E4">
        <w:t>dwar rakkomandazzjoni tal-Parlament Ewropew lill-Kunsill dwar il-prijoritajiet tal-UE għas-70 sessjoni tal-Kummissjoni tan-NU dwar l-Istatus tan-Nisa</w:t>
      </w:r>
      <w:r w:rsidRPr="006D02E4">
        <w:rPr>
          <w:rStyle w:val="HideTWBExt"/>
        </w:rPr>
        <w:t>&lt;/Titre&gt;</w:t>
      </w:r>
    </w:p>
    <w:p w14:paraId="233899DD" w14:textId="77777777" w:rsidR="00144AD8" w:rsidRPr="006D02E4" w:rsidRDefault="00CA3A7A">
      <w:pPr>
        <w:pStyle w:val="CoverNormal24a"/>
      </w:pPr>
      <w:r w:rsidRPr="006D02E4">
        <w:rPr>
          <w:rStyle w:val="HideTWBExt"/>
        </w:rPr>
        <w:t>&lt;DocRef&gt;</w:t>
      </w:r>
      <w:r w:rsidRPr="006D02E4">
        <w:t>(2025/2240(INI))</w:t>
      </w:r>
      <w:r w:rsidRPr="006D02E4">
        <w:rPr>
          <w:rStyle w:val="HideTWBExt"/>
        </w:rPr>
        <w:t>&lt;/DocRef&gt;</w:t>
      </w:r>
    </w:p>
    <w:p w14:paraId="4D737E10" w14:textId="77777777" w:rsidR="00144AD8" w:rsidRPr="006D02E4" w:rsidRDefault="00CA3A7A">
      <w:pPr>
        <w:pStyle w:val="CoverNormal24a"/>
      </w:pPr>
      <w:r w:rsidRPr="006D02E4">
        <w:rPr>
          <w:rStyle w:val="HideTWBExt"/>
        </w:rPr>
        <w:t>&lt;Commission&gt;</w:t>
      </w:r>
      <w:r w:rsidRPr="006D02E4">
        <w:rPr>
          <w:rStyle w:val="HideTWBInt"/>
          <w:color w:val="auto"/>
        </w:rPr>
        <w:t>{FEMM}</w:t>
      </w:r>
      <w:r w:rsidRPr="006D02E4">
        <w:t>Kumitat għad-Drittijiet tan-Nisa u l-Ugwaljanza bejn il-Ġeneri</w:t>
      </w:r>
      <w:r w:rsidRPr="006D02E4">
        <w:rPr>
          <w:rStyle w:val="HideTWBExt"/>
        </w:rPr>
        <w:t>&lt;/Commission&gt;</w:t>
      </w:r>
    </w:p>
    <w:p w14:paraId="62B8104A" w14:textId="77777777" w:rsidR="00144AD8" w:rsidRPr="006D02E4" w:rsidRDefault="00CA3A7A">
      <w:pPr>
        <w:pStyle w:val="CoverNormal24a"/>
      </w:pPr>
      <w:r w:rsidRPr="006D02E4">
        <w:t xml:space="preserve">Rapporteur: </w:t>
      </w:r>
      <w:r w:rsidRPr="006D02E4">
        <w:rPr>
          <w:rStyle w:val="HideTWBExt"/>
        </w:rPr>
        <w:t>&lt;Depute&gt;</w:t>
      </w:r>
      <w:r w:rsidRPr="006D02E4">
        <w:t>Lina Gálvez</w:t>
      </w:r>
      <w:r w:rsidRPr="006D02E4">
        <w:rPr>
          <w:rStyle w:val="HideTWBExt"/>
        </w:rPr>
        <w:t>&lt;/Depute&gt;</w:t>
      </w:r>
    </w:p>
    <w:p w14:paraId="4A55D6FA" w14:textId="77777777" w:rsidR="00144AD8" w:rsidRPr="006D02E4" w:rsidRDefault="00CA3A7A" w:rsidP="009340AC">
      <w:pPr>
        <w:widowControl/>
        <w:tabs>
          <w:tab w:val="center" w:pos="4677"/>
        </w:tabs>
      </w:pPr>
      <w:r w:rsidRPr="006D02E4">
        <w:br w:type="page"/>
      </w:r>
      <w:r w:rsidRPr="006D02E4">
        <w:lastRenderedPageBreak/>
        <w:t>PR_INI_RecommCFSP</w:t>
      </w:r>
    </w:p>
    <w:p w14:paraId="5A250478" w14:textId="77777777" w:rsidR="00144AD8" w:rsidRPr="006D02E4" w:rsidRDefault="00CA3A7A">
      <w:pPr>
        <w:pStyle w:val="TOCHeading"/>
      </w:pPr>
      <w:r w:rsidRPr="006D02E4">
        <w:t>WERREJ</w:t>
      </w:r>
    </w:p>
    <w:p w14:paraId="59294CA7" w14:textId="77777777" w:rsidR="00144AD8" w:rsidRPr="006D02E4" w:rsidRDefault="00CA3A7A">
      <w:pPr>
        <w:pStyle w:val="TOCPage"/>
      </w:pPr>
      <w:r w:rsidRPr="006D02E4">
        <w:t>Paġna</w:t>
      </w:r>
    </w:p>
    <w:p w14:paraId="0346EBE6" w14:textId="391F1458" w:rsidR="00CA3A7A" w:rsidRDefault="00CA3A7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6D02E4">
        <w:fldChar w:fldCharType="begin"/>
      </w:r>
      <w:r w:rsidRPr="006D02E4">
        <w:instrText xml:space="preserve"> TOC \t "PageHeading</w:instrText>
      </w:r>
      <w:r w:rsidR="005707B9" w:rsidRPr="006D02E4">
        <w:instrText>;</w:instrText>
      </w:r>
      <w:r w:rsidRPr="006D02E4">
        <w:instrText xml:space="preserve">1" </w:instrText>
      </w:r>
      <w:r w:rsidRPr="006D02E4">
        <w:fldChar w:fldCharType="separate"/>
      </w:r>
      <w:r>
        <w:rPr>
          <w:noProof/>
        </w:rPr>
        <w:t>ABBOZZ TA’ RAKKOMANDAZZJONI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_Toc214615169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52D47A38" w14:textId="053391A1" w:rsidR="00CA3A7A" w:rsidRDefault="00CA3A7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_Toc214615170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1DA8DB7D" w14:textId="3C61A1DE" w:rsidR="00627DF1" w:rsidRPr="006D02E4" w:rsidRDefault="00CA3A7A" w:rsidP="00865AB2">
      <w:r w:rsidRPr="006D02E4">
        <w:fldChar w:fldCharType="end"/>
      </w:r>
    </w:p>
    <w:p w14:paraId="71F9182F" w14:textId="77777777" w:rsidR="00144AD8" w:rsidRPr="006D02E4" w:rsidRDefault="00CA3A7A">
      <w:pPr>
        <w:pStyle w:val="PageHeading"/>
      </w:pPr>
      <w:r w:rsidRPr="006D02E4">
        <w:br w:type="page"/>
      </w:r>
      <w:bookmarkStart w:id="0" w:name="_Toc214615169"/>
      <w:r w:rsidRPr="006D02E4">
        <w:lastRenderedPageBreak/>
        <w:t>ABBOZZ TA’ RAKKOMANDAZZJONI TAL-PARLAMENT EWROPEW</w:t>
      </w:r>
      <w:bookmarkEnd w:id="0"/>
    </w:p>
    <w:p w14:paraId="7C21B1BD" w14:textId="77777777" w:rsidR="00144AD8" w:rsidRPr="006D02E4" w:rsidRDefault="00CA3A7A">
      <w:pPr>
        <w:pStyle w:val="NormalBold"/>
      </w:pPr>
      <w:r w:rsidRPr="006D02E4">
        <w:t>lill-Kunsill dwar il-prijoritajiet tal-UE għas-70 sessjoni tal-Kummissjoni tan-NU dwar l-Istatus tan-Nisa</w:t>
      </w:r>
    </w:p>
    <w:p w14:paraId="33ACAACE" w14:textId="77777777" w:rsidR="00144AD8" w:rsidRPr="006D02E4" w:rsidRDefault="00CA3A7A" w:rsidP="00A144CA">
      <w:pPr>
        <w:pStyle w:val="NormalBold"/>
      </w:pPr>
      <w:r w:rsidRPr="006D02E4">
        <w:t>(2025/2240(INI))</w:t>
      </w:r>
    </w:p>
    <w:p w14:paraId="02216028" w14:textId="77777777" w:rsidR="00144AD8" w:rsidRPr="006D02E4" w:rsidRDefault="00CA3A7A">
      <w:pPr>
        <w:pStyle w:val="EPComma"/>
      </w:pPr>
      <w:r w:rsidRPr="006D02E4">
        <w:rPr>
          <w:i/>
        </w:rPr>
        <w:t>Il-Parlament Ewropew</w:t>
      </w:r>
      <w:r w:rsidRPr="006D02E4">
        <w:t>,</w:t>
      </w:r>
    </w:p>
    <w:p w14:paraId="55727E4D" w14:textId="77777777" w:rsidR="004216E6" w:rsidRPr="006D02E4" w:rsidRDefault="00CA3A7A" w:rsidP="004216E6">
      <w:pPr>
        <w:pStyle w:val="NormalHanging12a"/>
      </w:pPr>
      <w:r w:rsidRPr="006D02E4">
        <w:t>–</w:t>
      </w:r>
      <w:r w:rsidRPr="006D02E4">
        <w:tab/>
        <w:t>wara li kkunsidra s-70 sessjoni tal-Kummissjoni tan-NU dwar l-Istatus tan-Nisa, skedata għal Marzu 2026, li t-titolu tat-tema ta’ prijorità tagħha huwa “Niżguraw u nsaħħu l-aċċess għall-ġustizzja għan-nisa u għall-bniet kollha, inkluż billi nippromwovu sistemi legali inklużivi u ekwi, neliminaw il-liġijiet, il-politiki u l-prattiki diskriminatorji, u nindirizzaw l-ostakli strutturali” u t-titolu tat-tema ta’ rieżami tagħha huwa “Il-parteċipazzjoni sħiħa u effettiva tan-nisa fit-teħid tad-deċiżjonijiet fil-</w:t>
      </w:r>
      <w:r w:rsidRPr="006D02E4">
        <w:t>ħajja pubblika, kif ukoll l-eliminazzjoni tal-vjolenza, biex jinkisbu l-ugwaljanza bejn il-ġeneri u t-tisħiħ tal-pożizzjoni tan-nisa u tal-bniet kollha”,</w:t>
      </w:r>
    </w:p>
    <w:p w14:paraId="24642A6A" w14:textId="77777777" w:rsidR="004216E6" w:rsidRPr="006D02E4" w:rsidRDefault="00CA3A7A" w:rsidP="004216E6">
      <w:pPr>
        <w:pStyle w:val="NormalHanging12a"/>
      </w:pPr>
      <w:r w:rsidRPr="006D02E4">
        <w:t>–</w:t>
      </w:r>
      <w:r w:rsidRPr="006D02E4">
        <w:tab/>
        <w:t>wara li kkunsidra l-Konvenzjoni tan-NU dwar l-Eliminazzjoni ta’ Kull Forma ta’ Diskriminazzjoni kontra n-Nisa tat-18 ta’ Diċembru 1979,</w:t>
      </w:r>
    </w:p>
    <w:p w14:paraId="31BBF834" w14:textId="77777777" w:rsidR="004216E6" w:rsidRPr="006D02E4" w:rsidRDefault="00CA3A7A" w:rsidP="00554B6E">
      <w:pPr>
        <w:pStyle w:val="pf0"/>
        <w:ind w:left="567" w:hanging="567"/>
        <w:rPr>
          <w:rFonts w:ascii="Arial" w:hAnsi="Arial" w:cs="Arial"/>
          <w:sz w:val="20"/>
        </w:rPr>
      </w:pPr>
      <w:r w:rsidRPr="006D02E4">
        <w:t>–</w:t>
      </w:r>
      <w:r w:rsidRPr="006D02E4">
        <w:tab/>
        <w:t>wara li kkunsidra l-Aġenda 2030 tan-NU għall-Iżvilupp Sostenibbli, jiġifieri l-prinċipju li “ħadd ma jitħalla jibqa’ lura” u, b’mod partikolari, l-Għan ta’ Żvilupp Sostenibbli 5, li jfittex li jikseb l-ugwaljanza bejn il-ġeneri u jiżgura li n-nisa jkollhom drittijiet ugwali għar-riżorsi ekonomiċi, kif ukoll aċċess għal sjieda u kontroll fuq l-art u forom oħra ta’ proprjetà, servizzi finanzjarji, wirt u riżorsi naturali, u l-Għan ta’ Żvilupp Sostenibbli 10, li jfittex li jelimina l-liġijiet, il-politiki u l</w:t>
      </w:r>
      <w:r w:rsidRPr="006D02E4">
        <w:t>-prattiki diskriminatorji, u jippromwovi leġiżlazzjoni, politiki u azzjoni xierqa,</w:t>
      </w:r>
    </w:p>
    <w:p w14:paraId="132DB89D" w14:textId="77777777" w:rsidR="004216E6" w:rsidRPr="006D02E4" w:rsidRDefault="00CA3A7A" w:rsidP="004216E6">
      <w:pPr>
        <w:pStyle w:val="NormalHanging12a"/>
      </w:pPr>
      <w:r w:rsidRPr="006D02E4">
        <w:t>–</w:t>
      </w:r>
      <w:r w:rsidRPr="006D02E4">
        <w:tab/>
        <w:t>wara li kkunsidra l-Artikoli 20, 21, 23 u 47 tal-Karta tad-Drittijiet Fundamentali tal-Unjoni Ewropea,</w:t>
      </w:r>
    </w:p>
    <w:p w14:paraId="5C100AB8" w14:textId="77777777" w:rsidR="004216E6" w:rsidRPr="006D02E4" w:rsidRDefault="00CA3A7A" w:rsidP="004216E6">
      <w:pPr>
        <w:pStyle w:val="NormalHanging12a"/>
      </w:pPr>
      <w:r w:rsidRPr="006D02E4">
        <w:t>–</w:t>
      </w:r>
      <w:r w:rsidRPr="006D02E4">
        <w:tab/>
        <w:t>wara li kkunsidra l-komunikazzjoni konġunta tal-Kummissjoni u tal-Kunsill tal-25 ta’ Novembru 2020 bit-titolu “Pjan ta’ Azzjoni tal-UE dwar il-Ġeneru (GAP) III – Aġenda ambizzjuża għall-ugwaljanza bejn il-ġeneri u l-għoti tas-setgħa lin-nisa fl-azzjoni esterna tal-UE” (JOIN(2020)0017), li tiddeskrivi l-pjan ta’ azzjoni tal-UE għall-ugwaljanza bejn il-ġeneri għall-perjodu 2021–2025,</w:t>
      </w:r>
    </w:p>
    <w:p w14:paraId="6E780AB6" w14:textId="77777777" w:rsidR="004216E6" w:rsidRPr="006D02E4" w:rsidRDefault="00CA3A7A" w:rsidP="004216E6">
      <w:pPr>
        <w:pStyle w:val="NormalHanging12a"/>
      </w:pPr>
      <w:r w:rsidRPr="006D02E4">
        <w:t>–</w:t>
      </w:r>
      <w:r w:rsidRPr="006D02E4">
        <w:tab/>
        <w:t>wara li kkunsidra l-komunikazzjoni tal-Kummissjoni tas-7 ta’ Marzu 2020 bit-titolu “Pjan Direzzjonali għad-Drittijiet tan-Nisa” (COM(2025)0097), li tafferma mill-ġdid l-impenn tal-UE favur l-ugwaljanza bejn il-ġeneri,</w:t>
      </w:r>
    </w:p>
    <w:p w14:paraId="0E3FC81B" w14:textId="77777777" w:rsidR="004216E6" w:rsidRPr="006D02E4" w:rsidRDefault="00CA3A7A" w:rsidP="004216E6">
      <w:pPr>
        <w:pStyle w:val="NormalHanging12a"/>
      </w:pPr>
      <w:r w:rsidRPr="006D02E4">
        <w:t>–</w:t>
      </w:r>
      <w:r w:rsidRPr="006D02E4">
        <w:tab/>
        <w:t>wara li kkunsidra l-komunikazzjoni tal-Kummissjoni tal-5 ta’ Marzu 2020 bit-titolu “Unjoni ta’ Ugwaljanza: Strateġija ta’ Ugwaljanza Bejn is-Sessi għall-2020–2025 (COM(2020)0152),</w:t>
      </w:r>
    </w:p>
    <w:p w14:paraId="3FEC5B25" w14:textId="77777777" w:rsidR="004216E6" w:rsidRPr="006D02E4" w:rsidRDefault="00CA3A7A" w:rsidP="004216E6">
      <w:pPr>
        <w:pStyle w:val="NormalHanging12a"/>
        <w:rPr>
          <w:szCs w:val="24"/>
        </w:rPr>
      </w:pPr>
      <w:r w:rsidRPr="006D02E4">
        <w:t>–</w:t>
      </w:r>
      <w:r w:rsidRPr="006D02E4">
        <w:tab/>
        <w:t xml:space="preserve">wara li kkunsidra d-Direttiva 2012/29/UE tal-Parlament Ewropew u tal-Kunsill tal-25 ta’ Ottubru 2012 li tistabbilixxi standards minimi fir-rigward tad-drittijiet, l-appoġġ u l-protezzjoni tal-vittmi tal-kriminalità, u li tissostitwixxi d-Deċiżjoni Qafas tal-Kunsill </w:t>
      </w:r>
      <w:r w:rsidRPr="006D02E4">
        <w:lastRenderedPageBreak/>
        <w:t>2001/220/ĠAI</w:t>
      </w:r>
      <w:r w:rsidRPr="006D02E4">
        <w:rPr>
          <w:rStyle w:val="FootnoteReference"/>
          <w:szCs w:val="24"/>
        </w:rPr>
        <w:footnoteReference w:id="1"/>
      </w:r>
      <w:r w:rsidRPr="006D02E4">
        <w:t>,</w:t>
      </w:r>
    </w:p>
    <w:p w14:paraId="69718224" w14:textId="77777777" w:rsidR="004216E6" w:rsidRPr="006D02E4" w:rsidRDefault="00CA3A7A" w:rsidP="004216E6">
      <w:pPr>
        <w:pStyle w:val="NormalHanging12a"/>
      </w:pPr>
      <w:r w:rsidRPr="006D02E4">
        <w:t>–</w:t>
      </w:r>
      <w:r w:rsidRPr="006D02E4">
        <w:tab/>
        <w:t>wara li kkunsidra l-Programm tal-Kummissjoni dwar il-Ġustizzja għall-2021–2027, li jipprovdi finanzjament biex jappoġġja l-kooperazzjoni ġudizzjarja f’materji ċivili u kriminali, bħat-taħriġ għall-imħallfin u għal professjonisti legali oħra, u aċċess effettiv għall-ġustizzja għaċ-ċittadini u għan-negozji,</w:t>
      </w:r>
    </w:p>
    <w:p w14:paraId="429A87E7" w14:textId="77777777" w:rsidR="004216E6" w:rsidRPr="006D02E4" w:rsidRDefault="00CA3A7A" w:rsidP="004216E6">
      <w:pPr>
        <w:pStyle w:val="NormalHanging12a"/>
      </w:pPr>
      <w:r w:rsidRPr="006D02E4">
        <w:t>–</w:t>
      </w:r>
      <w:r w:rsidRPr="006D02E4">
        <w:tab/>
        <w:t>wara li kkunsidra l-Konvenzjoni tal-Kunsill tal-Ewropa dwar il-prevenzjoni u l-ġlieda kontra l-vjolenza fuq in-nisa u l-vjolenza domestika (il-Konvenzjoni ta’ Istanbul),</w:t>
      </w:r>
    </w:p>
    <w:p w14:paraId="3D5C872E" w14:textId="77777777" w:rsidR="004216E6" w:rsidRPr="006D02E4" w:rsidRDefault="00CA3A7A" w:rsidP="004216E6">
      <w:pPr>
        <w:pStyle w:val="NormalHanging12a"/>
      </w:pPr>
      <w:r w:rsidRPr="006D02E4">
        <w:t>–</w:t>
      </w:r>
      <w:r w:rsidRPr="006D02E4">
        <w:tab/>
        <w:t>wara li kkunsidra l-Artikolu 81(2) tat-Trattat dwar il-Funzjonament tal-Unjoni Ewropea,</w:t>
      </w:r>
    </w:p>
    <w:p w14:paraId="21BAB685" w14:textId="77777777" w:rsidR="004216E6" w:rsidRPr="006D02E4" w:rsidRDefault="00CA3A7A" w:rsidP="004216E6">
      <w:pPr>
        <w:pStyle w:val="NormalHanging12a"/>
      </w:pPr>
      <w:r w:rsidRPr="006D02E4">
        <w:t>–</w:t>
      </w:r>
      <w:r w:rsidRPr="006D02E4">
        <w:tab/>
        <w:t>wara li kkunsidra l-Artikolu 121 tar-Regoli ta’ Proċedura tiegħu,</w:t>
      </w:r>
    </w:p>
    <w:p w14:paraId="12F8D8BF" w14:textId="77777777" w:rsidR="00F92A4A" w:rsidRPr="006D02E4" w:rsidRDefault="00CA3A7A" w:rsidP="00724B9E">
      <w:pPr>
        <w:pStyle w:val="Visa"/>
        <w:tabs>
          <w:tab w:val="clear" w:pos="357"/>
        </w:tabs>
        <w:spacing w:after="360"/>
        <w:ind w:left="567" w:hanging="567"/>
      </w:pPr>
      <w:r w:rsidRPr="006D02E4">
        <w:t>–</w:t>
      </w:r>
      <w:r w:rsidRPr="006D02E4">
        <w:tab/>
        <w:t xml:space="preserve">wara li kkunsidra r-rapport tal-Kumitat għad-Drittijiet tan-Nisa u l-Ugwaljanza bejn </w:t>
      </w:r>
      <w:r w:rsidRPr="006D02E4">
        <w:t>il-Ġeneri (A10</w:t>
      </w:r>
      <w:r w:rsidRPr="006D02E4">
        <w:noBreakHyphen/>
        <w:t>0000/2025),</w:t>
      </w:r>
    </w:p>
    <w:p w14:paraId="6F9FD55A" w14:textId="77777777" w:rsidR="004216E6" w:rsidRPr="006D02E4" w:rsidRDefault="00CA3A7A" w:rsidP="004216E6">
      <w:pPr>
        <w:pStyle w:val="NormalHanging12a"/>
      </w:pPr>
      <w:r w:rsidRPr="006D02E4">
        <w:t>A.</w:t>
      </w:r>
      <w:r w:rsidRPr="006D02E4">
        <w:tab/>
        <w:t>billi l-ugwaljanza bejn in-nisa u l-irġiel hija prinċipju fundamentali tal-UE; billi l-integrazzjoni tal-perspettiva tal-ġeneri u approċċ intersezzjonali għandhom jiġu implimentati u integrati fil-politiki kollha tal-UE; billi l-politiki interni u esterni għandhom jibqgħu konsistenti u koerenti sabiex tiġi żgurata l-promozzjoni effettiva u kredibbli tad-drittijiet tal-bniedem, id-demokrazija u l-ugwaljanza bejn il-ġeneri madwar id-dinja;</w:t>
      </w:r>
    </w:p>
    <w:p w14:paraId="61C8BFDA" w14:textId="77777777" w:rsidR="004216E6" w:rsidRPr="006D02E4" w:rsidRDefault="00CA3A7A" w:rsidP="004216E6">
      <w:pPr>
        <w:pStyle w:val="NormalHanging12a"/>
        <w:rPr>
          <w:szCs w:val="24"/>
        </w:rPr>
      </w:pPr>
      <w:r w:rsidRPr="006D02E4">
        <w:t>B.</w:t>
      </w:r>
      <w:r w:rsidRPr="006D02E4">
        <w:tab/>
        <w:t>billi d-drittijiet tan-nisa u l-ugwaljanza bejn il-ġeneri mhumiex biss drittijiet fundamentali tal-bniedem, iżda huma wkoll prekundizzjonijiet għall-avvanz tal-iżvilupp tal-bniedem, għat-tnaqqis tal-faqar u għall-bini ta’ pedament meħtieġ għal dinja paċifika, prospera u sostenibbli;</w:t>
      </w:r>
    </w:p>
    <w:p w14:paraId="6D74E63C" w14:textId="77777777" w:rsidR="004216E6" w:rsidRPr="006D02E4" w:rsidRDefault="00CA3A7A" w:rsidP="004216E6">
      <w:pPr>
        <w:pStyle w:val="NormalHanging12a"/>
        <w:rPr>
          <w:szCs w:val="24"/>
        </w:rPr>
      </w:pPr>
      <w:r w:rsidRPr="006D02E4">
        <w:t>C.</w:t>
      </w:r>
      <w:r w:rsidRPr="006D02E4">
        <w:tab/>
        <w:t>billi l-aċċess għall-ġustizzja huwa rikonoxxut b’mod wiesa’ bħala dritt fundamentali tal-bniedem skont id-dritt internazzjonali, kunċett ewlieni fil-qasam usa’ tal-ġustizzja, u ġebla tax-xewka għall-istat tad-dritt u d-demokrazija; billi l-UE tirrikonoxxi l-aċċess għall-ġustizzja bħala dritt fundamentali skont l-Artikolu 47 tal-Karta tad-Drittijiet Fundamentali tal-Unjoni Ewropea;</w:t>
      </w:r>
    </w:p>
    <w:p w14:paraId="38B1760C" w14:textId="77777777" w:rsidR="004216E6" w:rsidRPr="006D02E4" w:rsidRDefault="00CA3A7A" w:rsidP="004216E6">
      <w:pPr>
        <w:pStyle w:val="NormalHanging12a"/>
        <w:rPr>
          <w:szCs w:val="24"/>
        </w:rPr>
      </w:pPr>
      <w:r w:rsidRPr="006D02E4">
        <w:t>D.</w:t>
      </w:r>
      <w:r w:rsidRPr="006D02E4">
        <w:tab/>
        <w:t>billi l-kwistjoni tal-aċċess għall-ġustizzja għan-nisa għadha waħda kumplessa u kritika fir-reġjuni kollha tad-dinja;</w:t>
      </w:r>
    </w:p>
    <w:p w14:paraId="0B0A73B8" w14:textId="77777777" w:rsidR="004216E6" w:rsidRPr="006D02E4" w:rsidRDefault="00CA3A7A" w:rsidP="004216E6">
      <w:pPr>
        <w:pStyle w:val="NormalHanging12a"/>
        <w:rPr>
          <w:szCs w:val="24"/>
        </w:rPr>
      </w:pPr>
      <w:r w:rsidRPr="006D02E4">
        <w:t>E.</w:t>
      </w:r>
      <w:r w:rsidRPr="006D02E4">
        <w:tab/>
        <w:t>billi, madwar id-dinja, in-nisa għadhom sottorappreżentati b’mod sinifikanti fl-ogħla livelli tal-awtoritajiet ġudizzjarji u tal-prosekuzzjoni, b’mod partikolari f’pożizzjonijiet ta’ tmexxija bħal presidenti tal-qrati, prim imħallfin u kapijiet ta’ uffiċċji tal-prosekuzzjoni;</w:t>
      </w:r>
    </w:p>
    <w:p w14:paraId="2B0606A7" w14:textId="77777777" w:rsidR="004216E6" w:rsidRPr="006D02E4" w:rsidRDefault="00CA3A7A" w:rsidP="00F8084D">
      <w:pPr>
        <w:pStyle w:val="NormalHanging12a"/>
        <w:rPr>
          <w:szCs w:val="24"/>
        </w:rPr>
      </w:pPr>
      <w:r w:rsidRPr="006D02E4">
        <w:t>F.</w:t>
      </w:r>
      <w:r w:rsidRPr="006D02E4">
        <w:tab/>
        <w:t>billi n-NU jippromwovu b’mod attiv il-parteċipazzjoni akbar tan-nisa fis-settur tal-ġustizzja, permezz ta’ inizjattivi u kampanji dedikati; billi r-rappreżentanza akbar tan-nisa fl-istituzzjonijiet ġudizzjarji ġiet assoċjata mal-promozzjoni ta’ approċċi lejn il-ġustizzja aktar iffokati fuq il-vittmi;</w:t>
      </w:r>
    </w:p>
    <w:p w14:paraId="2139FFF9" w14:textId="77777777" w:rsidR="004216E6" w:rsidRPr="006D02E4" w:rsidRDefault="00CA3A7A" w:rsidP="004216E6">
      <w:pPr>
        <w:pStyle w:val="NormalHanging12a"/>
        <w:rPr>
          <w:szCs w:val="24"/>
        </w:rPr>
      </w:pPr>
      <w:r w:rsidRPr="006D02E4">
        <w:t>G.</w:t>
      </w:r>
      <w:r w:rsidRPr="006D02E4">
        <w:tab/>
        <w:t>billi l-vjolenza kontra n-nisa u l-vjolenza domestika jikkostitwixxu vjolazzjonijiet tad-</w:t>
      </w:r>
      <w:r w:rsidRPr="006D02E4">
        <w:lastRenderedPageBreak/>
        <w:t>drittijiet fundamentali; billi s-sistemi legali jridu jirrispondu għall-ħtiġijiet speċifiċi tal-vittmi tal-vjolenza abbażi tal-ġeneru billi jiżguraw protezzjoni u rimedji adegwati; billi ħafna nisa għadhom jiffaċċjaw ostakli sostanzjali biex jirrapportaw l-abbuż u jaċċessaw l-appoġġ legali;</w:t>
      </w:r>
    </w:p>
    <w:p w14:paraId="491DBBFD" w14:textId="77777777" w:rsidR="004216E6" w:rsidRPr="006D02E4" w:rsidRDefault="00CA3A7A" w:rsidP="004216E6">
      <w:pPr>
        <w:pStyle w:val="NormalHanging12a"/>
        <w:rPr>
          <w:szCs w:val="24"/>
        </w:rPr>
      </w:pPr>
      <w:r w:rsidRPr="006D02E4">
        <w:t>H.</w:t>
      </w:r>
      <w:r w:rsidRPr="006D02E4">
        <w:tab/>
        <w:t>billi l-istereotipar ġudizzjarju u n-normi tal-ġeneru prevalenti jistgħu jfixklu l-ġustizzja għan-nisa li huma vittmi u superstiti tal-vjolenza;</w:t>
      </w:r>
    </w:p>
    <w:p w14:paraId="14C1AC29" w14:textId="77777777" w:rsidR="004216E6" w:rsidRPr="006D02E4" w:rsidRDefault="00CA3A7A" w:rsidP="004216E6">
      <w:pPr>
        <w:pStyle w:val="NormalHanging12a"/>
      </w:pPr>
      <w:r w:rsidRPr="006D02E4">
        <w:t>1.</w:t>
      </w:r>
      <w:r w:rsidRPr="006D02E4">
        <w:tab/>
        <w:t>Jirrakkomanda li l-Kunsill:</w:t>
      </w:r>
    </w:p>
    <w:p w14:paraId="64F64CCD" w14:textId="77777777" w:rsidR="004216E6" w:rsidRPr="006D02E4" w:rsidRDefault="00CA3A7A" w:rsidP="004216E6">
      <w:pPr>
        <w:pStyle w:val="NormalHanging12a"/>
        <w:ind w:firstLine="0"/>
      </w:pPr>
      <w:r w:rsidRPr="006D02E4">
        <w:t>(a)</w:t>
      </w:r>
      <w:r w:rsidRPr="006D02E4">
        <w:tab/>
        <w:t xml:space="preserve">jafferma mill-ġdid l-impenn sod tal-UE favur l-ugwaljanza bejn il-ġeneri u jiżgura li d-drittijiet tan-nisa jiġu implimentati </w:t>
      </w:r>
      <w:r w:rsidRPr="006D02E4">
        <w:t>bis-sħiħ fl-aspetti kollha tal-azzjoni esterna tal-UE permezz ta’ approċċ iffinanzjat b’mod adegwat, trasformattiv fir-rigward tal-ġeneru, inklużiv u intersezzjonali;</w:t>
      </w:r>
    </w:p>
    <w:p w14:paraId="57ED3F3F" w14:textId="77777777" w:rsidR="004216E6" w:rsidRPr="006D02E4" w:rsidRDefault="00CA3A7A" w:rsidP="004216E6">
      <w:pPr>
        <w:pStyle w:val="NormalHanging12a"/>
        <w:ind w:firstLine="0"/>
      </w:pPr>
      <w:r w:rsidRPr="006D02E4">
        <w:t>(b)</w:t>
      </w:r>
      <w:r w:rsidRPr="006D02E4">
        <w:tab/>
        <w:t>jiżgura l-involviment sħiħ tal-Parlament u tal-Kumitat tiegħu għad-Drittijiet tan-Nisa u l-Ugwaljanza bejn il-Ġeneri fil-proċess tat-teħid ta’ deċiżjonijiet rigward il-pożizzjoni tal-UE fis-70 sessjoni tal-Kummissjoni tan-NU dwar l-Istatus tan-Nisa; jiżgura li l-Parlament ikollu informazzjoni adegwata u aċċess għad-dokument ta’ pożizzjoni tal-UE qabel in-negozjati; itejjeb aktar il-kooperazzjoni interistituzzjonali, inkluż matul in-negozjati, sabiex il-prijoritajiet tal-Parlament jiġu inkorporati kif xiera</w:t>
      </w:r>
      <w:r w:rsidRPr="006D02E4">
        <w:t>q;</w:t>
      </w:r>
    </w:p>
    <w:p w14:paraId="43A02782" w14:textId="77777777" w:rsidR="004216E6" w:rsidRPr="006D02E4" w:rsidRDefault="00CA3A7A" w:rsidP="004216E6">
      <w:pPr>
        <w:pStyle w:val="NormalHanging12a"/>
        <w:ind w:firstLine="0"/>
      </w:pPr>
      <w:r w:rsidRPr="006D02E4">
        <w:t>(c)</w:t>
      </w:r>
      <w:r w:rsidRPr="006D02E4">
        <w:tab/>
        <w:t>iwiegħed l-appoġġ qawwi tiegħu għall-ħidma ta’ UN Women, li hija attur ċentrali fis-sistema tan-NU għall-avvanz tad-drittijiet tan-nisa fid-diversità kollha tagħhom u għat-tlaqqigħ tal-partijiet ikkonċernati rilevanti kollha, biex tiġi ġġenerata bidla fil-politika u jiġu kkoordinati l-azzjonijiet; jistieden lill-istati membri kollha tan-NU, flimkien mal-UE, jiżguraw finanzjament adegwat għal UN Women;</w:t>
      </w:r>
    </w:p>
    <w:p w14:paraId="721874F9" w14:textId="77777777" w:rsidR="004216E6" w:rsidRPr="006D02E4" w:rsidRDefault="00CA3A7A" w:rsidP="004216E6">
      <w:pPr>
        <w:pStyle w:val="NormalHanging12a"/>
        <w:ind w:firstLine="0"/>
      </w:pPr>
      <w:r w:rsidRPr="006D02E4">
        <w:t>(d)</w:t>
      </w:r>
      <w:r w:rsidRPr="006D02E4">
        <w:tab/>
        <w:t>jiżgura li l-istrumenti Ewropej u internazzjonali jkunu komplementari u ambizzjużi, b’dispożizzjonijiet robusti u sostantivi li jagħtu s-setgħa lin-nisa u jiggarantixxu l-aċċess għall-ġustizzja, filwaqt li jqies li d-dritt għall-għajnuna legali huwa essenzjali f’dan ir-rigward; jiżgura li l-UE turi tmexxija b’saħħitha u tadotta pożizzjoni unifikata dwar sistemi ġudizzjarji inklużivi u imparzjali aċċessibbli għal kulħadd, b’mod partikolari l-gruppi ta’ nisa żvantaġġati u vulnerabbli li spiss jiffaċċjaw osta</w:t>
      </w:r>
      <w:r w:rsidRPr="006D02E4">
        <w:t>kli biex jaċċessaw il-ġustizzja minħabba lakuni fil-kapaċità istituzzjonali, raġunijiet soċjokulturali u diskriminazzjoni; jeżamina l-implimentazzjoni ta’ qrati speċifiċi għall-vjolenza abbażi tal-ġeneru; jippromwovi oqfsa legali komprensivi li jipproteġu d-drittijiet tan-nisa u jiżguraw il-parteċipazzjoni sħiħa u ugwali tan-nisa kemm skont id-dritt nazzjonali kif ukoll skont dak internazzjonali;</w:t>
      </w:r>
    </w:p>
    <w:p w14:paraId="2F4C70FD" w14:textId="77777777" w:rsidR="004216E6" w:rsidRPr="006D02E4" w:rsidRDefault="00CA3A7A" w:rsidP="004216E6">
      <w:pPr>
        <w:pStyle w:val="NormalHanging12a"/>
        <w:ind w:firstLine="0"/>
      </w:pPr>
      <w:r w:rsidRPr="006D02E4">
        <w:t>(e)</w:t>
      </w:r>
      <w:r w:rsidRPr="006D02E4">
        <w:tab/>
        <w:t>japplika l-integrazzjoni tal-perspettiva tal-ġeneri u l-ibbaġitjar skont il-ġeneru għall-oqsma kollha ta’ politika tal-UE, inkluża l-azzjoni esterna; jisħaq fuq il-ħtieġa li l-istati jallokaw finanzjament suffiċjenti għal servizzi ta’ appoġġ u għajnuna legali li jirrispondu għall-kwistjonijiet tal-ġeneru, speċjalment għas-superstiti tal-vjolenza abbażi tal-ġeneru, u aċċess suffiċjenti għall-kumpens, peress li l-ostakli eżistenti jaffettwaw b’mod sproporzjonat l-aċċess tan-nisa għall-ġustizzja;</w:t>
      </w:r>
    </w:p>
    <w:p w14:paraId="22976F8E" w14:textId="77777777" w:rsidR="004216E6" w:rsidRPr="006D02E4" w:rsidRDefault="00CA3A7A" w:rsidP="004216E6">
      <w:pPr>
        <w:pStyle w:val="NormalHanging12a"/>
        <w:ind w:firstLine="0"/>
      </w:pPr>
      <w:r w:rsidRPr="006D02E4">
        <w:t>(f)</w:t>
      </w:r>
      <w:r w:rsidRPr="006D02E4">
        <w:tab/>
        <w:t xml:space="preserve">jaċċellera l-implimentazzjoni tal-impenji internazzjonali favur il-prevenzjoni ulterjuri tal-forom kollha ta’ vjolenza kontra n-nisa u l-bniet, u r-rispons għal tali vjolenza, kemm fl-isferi pubbliċi kif ukoll f’dawk privati, inklużi l-mutilazzjoni ġenitali femminili, iż-żwieġ furzat, il-kondiviżjoni mhux kunsenswali ta’ materjal intimu jew </w:t>
      </w:r>
      <w:r w:rsidRPr="006D02E4">
        <w:lastRenderedPageBreak/>
        <w:t>manipulat, l-online stalking, il-fastidju online, il-flashing online u l-inċitament online għall-vjolenza jew għall-mibegħda;</w:t>
      </w:r>
    </w:p>
    <w:p w14:paraId="269F65AA" w14:textId="77777777" w:rsidR="004216E6" w:rsidRPr="006D02E4" w:rsidRDefault="00CA3A7A" w:rsidP="004216E6">
      <w:pPr>
        <w:pStyle w:val="NormalHanging12a"/>
        <w:ind w:firstLine="0"/>
      </w:pPr>
      <w:r w:rsidRPr="006D02E4">
        <w:t>g)</w:t>
      </w:r>
      <w:r w:rsidRPr="006D02E4">
        <w:tab/>
        <w:t>jieħu azzjoni biex jimplimenta bis-sħiħ l-impenji eżistenti dwar l-ugwaljanza bejn il-ġeneri u t-tisħiħ tal-pożizzjoni tan-nisa, filwaqt li jiżgura l-protezzjoni tad-drittijiet tal-bniedem u l-libertajiet fundamentali tan-nisa fuq bażi ugwali mal-irġiel, mingħajr diskriminazzjoni, biex javvanzaw il-parteċipazzjoni tagħhom fil-ħajja pubblika;</w:t>
      </w:r>
    </w:p>
    <w:p w14:paraId="4C0C04BF" w14:textId="77777777" w:rsidR="004216E6" w:rsidRPr="006D02E4" w:rsidRDefault="00CA3A7A" w:rsidP="004216E6">
      <w:pPr>
        <w:pStyle w:val="NormalHanging12a"/>
        <w:ind w:firstLine="0"/>
      </w:pPr>
      <w:r w:rsidRPr="006D02E4">
        <w:t>(h)</w:t>
      </w:r>
      <w:r w:rsidRPr="006D02E4">
        <w:tab/>
        <w:t>jisħaq li d-drittijiet tan-nisa u l-ugwaljanza bejn il-ġeneri huma drittijiet fundamentali tal-bniedem li huma essenzjali għall-istat tad-dritt, għal demokraziji reżiljenti u inklużivi, u għall-valuri ewlenin tal-UE; jenfasizza li huwa deplorabbli li miljuni ta’ nisa u bniet, speċjalment f’kuntesti ta’ kunflitt u spostament, ikomplu jiffaċċjaw diskriminazzjoni, vjolenza u ċ-ċaħda tad-dinjità tagħhom u tal-kapaċità tagħhom li jieħdu azzjoni; itenni li l-istupru għadu huwa waħda mill-vjolazzjonijiet tad-drit</w:t>
      </w:r>
      <w:r w:rsidRPr="006D02E4">
        <w:t>tijiet tal-bniedem l-aktar mifruxa fuq livell globali; jisħaq fuq l-importanza ta’ leġiżlazzjoni dwar l-istupru bbażata fuq il-kunsens;</w:t>
      </w:r>
    </w:p>
    <w:p w14:paraId="041EF300" w14:textId="77777777" w:rsidR="004216E6" w:rsidRPr="006D02E4" w:rsidRDefault="00CA3A7A" w:rsidP="004216E6">
      <w:pPr>
        <w:pStyle w:val="NormalHanging12a"/>
        <w:ind w:firstLine="0"/>
      </w:pPr>
      <w:r w:rsidRPr="006D02E4">
        <w:t>(i)</w:t>
      </w:r>
      <w:r w:rsidRPr="006D02E4">
        <w:tab/>
      </w:r>
      <w:r w:rsidRPr="006D02E4">
        <w:tab/>
        <w:t>jippromwovi r-rappreżentanza tan-nisa fi ħdan il-ġudikatura u l-korpi governattivi tagħha bil-ħsieb li jitneħħew l-ostakli strutturali pperpetwati minn sistema ġudizzjarja patrijarkali u androċentrika;</w:t>
      </w:r>
    </w:p>
    <w:p w14:paraId="325CF1C9" w14:textId="77777777" w:rsidR="004216E6" w:rsidRPr="006D02E4" w:rsidRDefault="00CA3A7A" w:rsidP="004216E6">
      <w:pPr>
        <w:pStyle w:val="NormalHanging12a"/>
      </w:pPr>
      <w:r w:rsidRPr="006D02E4">
        <w:t>2.</w:t>
      </w:r>
      <w:r w:rsidRPr="006D02E4">
        <w:tab/>
        <w:t>Jagħti istruzzjonijiet lill-President tiegħu biex tgħaddi din ir-rakkomandazzjoni lill-Kunsill, lill-Kummissjoni u lill-Viċi President tal-Kummissjoni/Rappreżentant Għoli tal-Unjoni għall-Affarijiet Barranin u l-Politika ta’ Sigurtà u, għal skopijiet ta’ informazzjoni, lir-Rappreżentant Speċjali tal-UE għad-Drittijiet tal-Bniedem.</w:t>
      </w:r>
    </w:p>
    <w:p w14:paraId="32B47AFF" w14:textId="77777777" w:rsidR="00902C4B" w:rsidRPr="006D02E4" w:rsidRDefault="00902C4B" w:rsidP="00FD4651">
      <w:pPr>
        <w:sectPr w:rsidR="00902C4B" w:rsidRPr="006D02E4" w:rsidSect="006D02E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50DF4D58" w14:textId="77777777" w:rsidR="00902C4B" w:rsidRPr="006D02E4" w:rsidRDefault="00CA3A7A" w:rsidP="00902C4B">
      <w:pPr>
        <w:pStyle w:val="PageHeading"/>
      </w:pPr>
      <w:bookmarkStart w:id="1" w:name="_Toc214615170"/>
      <w:r w:rsidRPr="006D02E4">
        <w:lastRenderedPageBreak/>
        <w:t>NOTA SPJEGATTIVA</w:t>
      </w:r>
      <w:bookmarkEnd w:id="1"/>
    </w:p>
    <w:p w14:paraId="21A71877" w14:textId="77777777" w:rsidR="00390253" w:rsidRPr="006D02E4" w:rsidRDefault="00CA3A7A" w:rsidP="00390253">
      <w:r w:rsidRPr="006D02E4">
        <w:t>L-ugwaljanza bejn in-nisa u l-irġiel hi prinċipju fundamentali tal-Unjoni Ewropea. L-integrazzjoni tal-perspettiva tal-ġeneri u approċċ intersezzjonali jridu jiġu implimentati u integrati fil-politiki kollha tal-UE, filwaqt li tiġi żgurata l-konsistenza bejn l-azzjoni interna u esterna sabiex jiġu promossi d-drittijiet tal-bniedem, id-demokrazija u l-ugwaljanza bejn il-ġeneri madwar id-dinja. Id-drittijiet tal-bniedem tan-nisa u l-ugwaljanza bejn il-ġeneri mhumiex biss drittijiet fundamentali, iżda huma wko</w:t>
      </w:r>
      <w:r w:rsidRPr="006D02E4">
        <w:t>ll prekundizzjonijiet għall-iżvilupp, għat-tnaqqis tal-faqar, u għall-bini ta’ soċjetajiet paċifiċi, prosperi u sostenibbli.</w:t>
      </w:r>
    </w:p>
    <w:p w14:paraId="22624B7F" w14:textId="77777777" w:rsidR="00390253" w:rsidRPr="006D02E4" w:rsidRDefault="00390253" w:rsidP="00390253"/>
    <w:p w14:paraId="2FF71ECE" w14:textId="77777777" w:rsidR="00390253" w:rsidRPr="006D02E4" w:rsidRDefault="00CA3A7A" w:rsidP="00390253">
      <w:r w:rsidRPr="006D02E4">
        <w:t xml:space="preserve">L-aċċess għall-ġustizzja, minqux fid-dritt internazzjonali u fl-Artikolu 47 tal-Karta tad-Drittijiet Fundamentali tal-Unjoni Ewropea, huwa ċentrali għall-istat tad-dritt u għad-demokrazija. Minkejja dan, </w:t>
      </w:r>
      <w:r w:rsidRPr="006D02E4">
        <w:t>il-kwistjoni tal-aċċess għall-ġustizzja għan-nisa għadha waħda kumplessa u kritika fir-reġjuni kollha. In-nisa għadhom sottorappreżentati b’mod sinifikanti fl-ogħla livelli tal-awtoritajiet ġudizzjarji u tal-prosekuzzjoni, speċjalment f’pożizzjonijiet ta’ tmexxija bħal presidenti tal-qrati, prim imħallfin u kapijiet ta’ uffiċċji tal-prosekuzzjoni. Fl-istess ħin, l-istereotipar ġudizzjarju u n-normi tal-ġeneru prevalenti jfixklu l-ġustizzja għan-nisa li huma vittmi u superstiti tal-vjolenza.</w:t>
      </w:r>
    </w:p>
    <w:p w14:paraId="36658C3E" w14:textId="77777777" w:rsidR="00390253" w:rsidRPr="006D02E4" w:rsidRDefault="00390253" w:rsidP="00390253"/>
    <w:p w14:paraId="70C20455" w14:textId="77777777" w:rsidR="00390253" w:rsidRPr="006D02E4" w:rsidRDefault="00CA3A7A" w:rsidP="00390253">
      <w:r w:rsidRPr="006D02E4">
        <w:t>In-Nazzjonijiet Uniti ppromwovew parteċipazzjoni akbar tan-nisa fis-settur tal-ġustizzja, u l-evidenza turi li r-rappreżentanza akbar tan-nisa fi ħdan l-istituzzjonijiet ġudizzjarji tippromwovi approċċi lejn il-ġustizzja aktar iffokati fuq il-vittmi. Dan hu partikolarment rilevanti għall-vjolenza kontra n-nisa u l-vjolenza domestika, li jikkostitwixxu vjolazzjonijiet tad-drittijiet fundamentali. Is-sistemi legali jridu jirrispondu għall-ħtiġijiet tal-vittmi billi jiżguraw protezzjoni u rimedji adegwati, iżd</w:t>
      </w:r>
      <w:r w:rsidRPr="006D02E4">
        <w:t>a ħafna nisa għadhom jiffaċċjaw ostakli sostanzjali biex jirrapportaw l-abbuż u jaċċessaw l-appoġġ legali. Għal ħafna nisa u bniet, b’mod partikolari dawk li jiffaċċjaw forom multipli u intersezzjonali ta’ diskriminazzjoni, is-sistema ġudizzjarja hija nieqsa mis-sensittività għar-realtajiet ta’ gruppi vulnerabbli.</w:t>
      </w:r>
    </w:p>
    <w:p w14:paraId="5E2D1A9A" w14:textId="77777777" w:rsidR="00390253" w:rsidRPr="006D02E4" w:rsidRDefault="00390253" w:rsidP="00390253"/>
    <w:p w14:paraId="03626B2D" w14:textId="77777777" w:rsidR="00390253" w:rsidRPr="006D02E4" w:rsidRDefault="00CA3A7A" w:rsidP="00390253">
      <w:r w:rsidRPr="006D02E4">
        <w:t>Din ir-rakkomandazzjoni tappella lill-Kunsill biex jikkonferma mill-ġdid l-impenn tal-UE favur l-ugwaljanza bejn il-ġeneri u biex jiżgura li d-drittijiet tan-nisa jiġu implimentati bis-sħiħ fl-aspetti kollha tal-azzjoni esterna tal-UE permezz ta’ approċċ inklużiv, intersezzjonali u ffinanzjat b’mod adegwat. Tisħaq ukoll il-ħtieġa li l-Parlament u l-Kumitat tiegħu għad-Drittijiet tan-Nisa u l-Ugwaljanza bejn il-Ġeneri jkunu involuti bis-sħiħ fit-tiswir tal-pożizzjoni tal-UE fis-70 sessjoni tal-Kummissjoni ta</w:t>
      </w:r>
      <w:r w:rsidRPr="006D02E4">
        <w:t>n-NU dwar l-Istatus tan-Nisa.</w:t>
      </w:r>
    </w:p>
    <w:p w14:paraId="71B66008" w14:textId="77777777" w:rsidR="00390253" w:rsidRPr="006D02E4" w:rsidRDefault="00390253" w:rsidP="00390253"/>
    <w:p w14:paraId="7C8F0611" w14:textId="77777777" w:rsidR="00390253" w:rsidRPr="006D02E4" w:rsidRDefault="00CA3A7A" w:rsidP="00390253">
      <w:r w:rsidRPr="006D02E4">
        <w:t>Ir-rakkomandazzjoni twiegħed ukoll appoġġ qawwi għal UN Women bħala l-attur ċentrali fi ħdan is-sistema tan-NU għall-avvanz tad-drittijiet tan-nisa u tappella lill-istati membri kollha tan-NU, flimkien mal-UE, biex jipprovdu finanzjament adegwat. Tissottolinja l-importanza ta’ strumenti Ewropej u internazzjonali ambizzjużi u komplementari, b’dispożizzjonijiet robusti li jiggarantixxu t-tisħiħ tal-pożizzjoni tan-nisa u l-aċċess għall-ġustizzja, inklużi l-aċċess għall-għajnuna legali u l-konsiderazzjoni ta’ q</w:t>
      </w:r>
      <w:r w:rsidRPr="006D02E4">
        <w:t>rati speċjalizzati għall-vjolenza abbażi tal-ġeneru. Il-protezzjoni tad-drittijiet tan-nisa permezz ta’ sistemi ġudizzjarji effettivi twitti t-triq għal soċjetajiet aktar ġusti, f’konformità mal-implimentazzjoni effettiva tal-Aġenda 2030 għall-Iżvilupp Sostenibbli (SDG16).</w:t>
      </w:r>
    </w:p>
    <w:p w14:paraId="15E8C16D" w14:textId="77777777" w:rsidR="00390253" w:rsidRPr="006D02E4" w:rsidRDefault="00390253" w:rsidP="00390253"/>
    <w:p w14:paraId="1D5120D5" w14:textId="77777777" w:rsidR="00390253" w:rsidRPr="006D02E4" w:rsidRDefault="00CA3A7A" w:rsidP="00390253">
      <w:r w:rsidRPr="006D02E4">
        <w:t xml:space="preserve">Fl-aħħar nett, ir-rakkomandazzjoni tenfasizza l-ħtieġa tal-integrazzjoni tal-perspettiva tal-ġeneri u l-ibbaġitjar skont il-ġeneru fl-oqsma ta’ politika kollha tal-UE, biex jiġu aċċellerati l-impenji internazzjonali għal favur il-prevenzjoni tal-forom kollha ta’ vjolenza kontra n-nisa u </w:t>
      </w:r>
      <w:r w:rsidRPr="006D02E4">
        <w:lastRenderedPageBreak/>
        <w:t>l-bniet, u biex tiġi promossa r-rappreżentanza ugwali tan-nisa fil-ġudikatura. Id-drittijiet tan-nisa u l-ugwaljanza bejn il-ġeneri huma essenzjali għall-istat tad-dritt, għal demokraziji reżiljenti, u għall-valuri ewlenin tal-UE, u l-Unjoni jeħtiġilha turi sens ta’ tmexxija biex tiżgura li dawn id-drittijiet jiġu ggarantiti fil-prattika. L-aċċess għall-ġustizzja għal kulħadd huwa kruċjali għal soċjetajiet ġusti u inklużivi, u prekundizzjoni għall-ugwaljanza sostantiva bejn il-ġeneri u għar-rispett tad-drit</w:t>
      </w:r>
      <w:r w:rsidRPr="006D02E4">
        <w:t>tijiet tal-bniedem.</w:t>
      </w:r>
    </w:p>
    <w:sectPr w:rsidR="00390253" w:rsidRPr="006D02E4" w:rsidSect="008F067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7F3FE" w14:textId="77777777" w:rsidR="00CA3A7A" w:rsidRPr="006D02E4" w:rsidRDefault="00CA3A7A">
      <w:r w:rsidRPr="006D02E4">
        <w:separator/>
      </w:r>
    </w:p>
  </w:endnote>
  <w:endnote w:type="continuationSeparator" w:id="0">
    <w:p w14:paraId="4A62E479" w14:textId="77777777" w:rsidR="00CA3A7A" w:rsidRPr="006D02E4" w:rsidRDefault="00CA3A7A">
      <w:r w:rsidRPr="006D02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76086" w14:textId="77777777" w:rsidR="006D02E4" w:rsidRPr="006D02E4" w:rsidRDefault="006D02E4" w:rsidP="006D02E4">
    <w:pPr>
      <w:pStyle w:val="EPFooter"/>
    </w:pPr>
    <w:r w:rsidRPr="006D02E4">
      <w:t>PE</w:t>
    </w:r>
    <w:r w:rsidRPr="006D02E4">
      <w:rPr>
        <w:rStyle w:val="HideTWBExt"/>
      </w:rPr>
      <w:t>&lt;NoPE&gt;</w:t>
    </w:r>
    <w:r w:rsidRPr="006D02E4">
      <w:t>776.895</w:t>
    </w:r>
    <w:r w:rsidRPr="006D02E4">
      <w:rPr>
        <w:rStyle w:val="HideTWBExt"/>
      </w:rPr>
      <w:t>&lt;/NoPE&gt;&lt;Version&gt;</w:t>
    </w:r>
    <w:r w:rsidRPr="006D02E4">
      <w:t>v02-00</w:t>
    </w:r>
    <w:r w:rsidRPr="006D02E4">
      <w:rPr>
        <w:rStyle w:val="HideTWBExt"/>
      </w:rPr>
      <w:t>&lt;/Version&gt;</w:t>
    </w:r>
    <w:r w:rsidRPr="006D02E4">
      <w:tab/>
    </w:r>
    <w:r w:rsidRPr="006D02E4">
      <w:fldChar w:fldCharType="begin"/>
    </w:r>
    <w:r w:rsidRPr="006D02E4">
      <w:instrText xml:space="preserve"> PAGE  \* MERGEFORMAT </w:instrText>
    </w:r>
    <w:r w:rsidRPr="006D02E4">
      <w:fldChar w:fldCharType="separate"/>
    </w:r>
    <w:r w:rsidRPr="006D02E4">
      <w:rPr>
        <w:noProof/>
      </w:rPr>
      <w:t>1</w:t>
    </w:r>
    <w:r w:rsidRPr="006D02E4">
      <w:fldChar w:fldCharType="end"/>
    </w:r>
    <w:r w:rsidRPr="006D02E4">
      <w:t>/</w:t>
    </w:r>
    <w:fldSimple w:instr=" NUMPAGES  \* MERGEFORMAT ">
      <w:r w:rsidRPr="006D02E4">
        <w:rPr>
          <w:noProof/>
        </w:rPr>
        <w:t>1</w:t>
      </w:r>
    </w:fldSimple>
    <w:r w:rsidRPr="006D02E4">
      <w:tab/>
    </w:r>
    <w:r w:rsidRPr="006D02E4">
      <w:rPr>
        <w:rStyle w:val="HideTWBExt"/>
      </w:rPr>
      <w:t>&lt;PathFdR&gt;</w:t>
    </w:r>
    <w:r w:rsidRPr="006D02E4">
      <w:t>PR\1332470MT.docx</w:t>
    </w:r>
    <w:r w:rsidRPr="006D02E4">
      <w:rPr>
        <w:rStyle w:val="HideTWBExt"/>
      </w:rPr>
      <w:t>&lt;/PathFdR&gt;</w:t>
    </w:r>
  </w:p>
  <w:p w14:paraId="10B7D24C" w14:textId="74BDAE4A" w:rsidR="00144AD8" w:rsidRPr="006D02E4" w:rsidRDefault="006D02E4" w:rsidP="006D02E4">
    <w:pPr>
      <w:pStyle w:val="EPFooter2"/>
    </w:pPr>
    <w:r w:rsidRPr="006D02E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09642" w14:textId="77777777" w:rsidR="006D02E4" w:rsidRPr="006D02E4" w:rsidRDefault="006D02E4" w:rsidP="006D02E4">
    <w:pPr>
      <w:pStyle w:val="EPFooter"/>
    </w:pPr>
    <w:r w:rsidRPr="006D02E4">
      <w:rPr>
        <w:rStyle w:val="HideTWBExt"/>
      </w:rPr>
      <w:t>&lt;PathFdR&gt;</w:t>
    </w:r>
    <w:r w:rsidRPr="006D02E4">
      <w:t>PR\1332470MT.docx</w:t>
    </w:r>
    <w:r w:rsidRPr="006D02E4">
      <w:rPr>
        <w:rStyle w:val="HideTWBExt"/>
      </w:rPr>
      <w:t>&lt;/PathFdR&gt;</w:t>
    </w:r>
    <w:r w:rsidRPr="006D02E4">
      <w:tab/>
    </w:r>
    <w:r w:rsidRPr="006D02E4">
      <w:fldChar w:fldCharType="begin"/>
    </w:r>
    <w:r w:rsidRPr="006D02E4">
      <w:instrText xml:space="preserve"> PAGE  \* MERGEFORMAT </w:instrText>
    </w:r>
    <w:r w:rsidRPr="006D02E4">
      <w:fldChar w:fldCharType="separate"/>
    </w:r>
    <w:r w:rsidRPr="006D02E4">
      <w:rPr>
        <w:noProof/>
      </w:rPr>
      <w:t>1</w:t>
    </w:r>
    <w:r w:rsidRPr="006D02E4">
      <w:fldChar w:fldCharType="end"/>
    </w:r>
    <w:r w:rsidRPr="006D02E4">
      <w:t>/</w:t>
    </w:r>
    <w:fldSimple w:instr=" NUMPAGES  \* MERGEFORMAT ">
      <w:r w:rsidRPr="006D02E4">
        <w:rPr>
          <w:noProof/>
        </w:rPr>
        <w:t>1</w:t>
      </w:r>
    </w:fldSimple>
    <w:r w:rsidRPr="006D02E4">
      <w:tab/>
      <w:t>PE</w:t>
    </w:r>
    <w:r w:rsidRPr="006D02E4">
      <w:rPr>
        <w:rStyle w:val="HideTWBExt"/>
      </w:rPr>
      <w:t>&lt;NoPE&gt;</w:t>
    </w:r>
    <w:r w:rsidRPr="006D02E4">
      <w:t>776.895</w:t>
    </w:r>
    <w:r w:rsidRPr="006D02E4">
      <w:rPr>
        <w:rStyle w:val="HideTWBExt"/>
      </w:rPr>
      <w:t>&lt;/NoPE&gt;&lt;Version&gt;</w:t>
    </w:r>
    <w:r w:rsidRPr="006D02E4">
      <w:t>v02-00</w:t>
    </w:r>
    <w:r w:rsidRPr="006D02E4">
      <w:rPr>
        <w:rStyle w:val="HideTWBExt"/>
      </w:rPr>
      <w:t>&lt;/Version&gt;</w:t>
    </w:r>
  </w:p>
  <w:p w14:paraId="7E1B6DDD" w14:textId="7ADFEE64" w:rsidR="00144AD8" w:rsidRPr="006D02E4" w:rsidRDefault="006D02E4" w:rsidP="006D02E4">
    <w:pPr>
      <w:pStyle w:val="EPFooter2"/>
    </w:pPr>
    <w:r w:rsidRPr="006D02E4">
      <w:tab/>
    </w:r>
    <w:r w:rsidRPr="006D02E4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828AB" w14:textId="77777777" w:rsidR="006D02E4" w:rsidRPr="006D02E4" w:rsidRDefault="006D02E4" w:rsidP="006D02E4">
    <w:pPr>
      <w:pStyle w:val="EPFooter"/>
    </w:pPr>
    <w:r w:rsidRPr="006D02E4">
      <w:rPr>
        <w:rStyle w:val="HideTWBExt"/>
      </w:rPr>
      <w:t>&lt;PathFdR&gt;</w:t>
    </w:r>
    <w:r w:rsidRPr="006D02E4">
      <w:t>PR\1332470MT.docx</w:t>
    </w:r>
    <w:r w:rsidRPr="006D02E4">
      <w:rPr>
        <w:rStyle w:val="HideTWBExt"/>
      </w:rPr>
      <w:t>&lt;/PathFdR&gt;</w:t>
    </w:r>
    <w:r w:rsidRPr="006D02E4">
      <w:tab/>
    </w:r>
    <w:r w:rsidRPr="006D02E4">
      <w:tab/>
      <w:t>PE</w:t>
    </w:r>
    <w:r w:rsidRPr="006D02E4">
      <w:rPr>
        <w:rStyle w:val="HideTWBExt"/>
      </w:rPr>
      <w:t>&lt;NoPE&gt;</w:t>
    </w:r>
    <w:r w:rsidRPr="006D02E4">
      <w:t>776.895</w:t>
    </w:r>
    <w:r w:rsidRPr="006D02E4">
      <w:rPr>
        <w:rStyle w:val="HideTWBExt"/>
      </w:rPr>
      <w:t>&lt;/NoPE&gt;&lt;Version&gt;</w:t>
    </w:r>
    <w:r w:rsidRPr="006D02E4">
      <w:t>v02-00</w:t>
    </w:r>
    <w:r w:rsidRPr="006D02E4">
      <w:rPr>
        <w:rStyle w:val="HideTWBExt"/>
      </w:rPr>
      <w:t>&lt;/Version&gt;</w:t>
    </w:r>
  </w:p>
  <w:p w14:paraId="728A3C59" w14:textId="7CC24E9E" w:rsidR="00144AD8" w:rsidRPr="006D02E4" w:rsidRDefault="006D02E4" w:rsidP="006D02E4">
    <w:pPr>
      <w:pStyle w:val="EPFooter2"/>
    </w:pPr>
    <w:r w:rsidRPr="006D02E4">
      <w:t>MT</w:t>
    </w:r>
    <w:r w:rsidRPr="006D02E4">
      <w:tab/>
    </w:r>
    <w:r w:rsidRPr="006D02E4">
      <w:rPr>
        <w:b w:val="0"/>
        <w:i/>
        <w:color w:val="C0C0C0"/>
        <w:sz w:val="22"/>
      </w:rPr>
      <w:t>Magħquda fid-diversità</w:t>
    </w:r>
    <w:r w:rsidRPr="006D02E4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B2560" w14:textId="77777777" w:rsidR="00D3400F" w:rsidRPr="006D02E4" w:rsidRDefault="00CA3A7A">
      <w:r w:rsidRPr="006D02E4">
        <w:separator/>
      </w:r>
    </w:p>
  </w:footnote>
  <w:footnote w:type="continuationSeparator" w:id="0">
    <w:p w14:paraId="3BE1A54A" w14:textId="77777777" w:rsidR="00D3400F" w:rsidRPr="006D02E4" w:rsidRDefault="00CA3A7A">
      <w:r w:rsidRPr="006D02E4">
        <w:continuationSeparator/>
      </w:r>
    </w:p>
  </w:footnote>
  <w:footnote w:id="1">
    <w:p w14:paraId="39B89068" w14:textId="77777777" w:rsidR="00F92A4A" w:rsidRPr="006D02E4" w:rsidRDefault="00CA3A7A">
      <w:pPr>
        <w:pStyle w:val="FootnoteText"/>
      </w:pPr>
      <w:r w:rsidRPr="006D02E4">
        <w:rPr>
          <w:rStyle w:val="FootnoteReference"/>
        </w:rPr>
        <w:footnoteRef/>
      </w:r>
      <w:r w:rsidRPr="006D02E4">
        <w:t xml:space="preserve"> ĠU L 315, 14.11.2012, p. 57, ELI: </w:t>
      </w:r>
      <w:hyperlink r:id="rId1" w:tooltip="Jagħti aċċess għad-dokument permezz tal-URI tal-ELI tiegħu." w:history="1">
        <w:r w:rsidRPr="006D02E4">
          <w:rPr>
            <w:rStyle w:val="Hyperlink"/>
          </w:rPr>
          <w:t>http://data.europa.eu/eli/dir/2012/29/oj</w:t>
        </w:r>
      </w:hyperlink>
      <w:r w:rsidRPr="006D02E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313B3" w14:textId="77777777" w:rsidR="004352DE" w:rsidRDefault="004352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8E0F2" w14:textId="77777777" w:rsidR="004352DE" w:rsidRDefault="004352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DE56F" w14:textId="77777777" w:rsidR="004352DE" w:rsidRDefault="004352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90B9F"/>
    <w:multiLevelType w:val="hybridMultilevel"/>
    <w:tmpl w:val="2D185E42"/>
    <w:lvl w:ilvl="0" w:tplc="469C2D16">
      <w:start w:val="1"/>
      <w:numFmt w:val="upperLetter"/>
      <w:lvlText w:val="%1."/>
      <w:lvlJc w:val="left"/>
      <w:pPr>
        <w:ind w:left="720" w:hanging="360"/>
      </w:pPr>
    </w:lvl>
    <w:lvl w:ilvl="1" w:tplc="32F663DA">
      <w:start w:val="1"/>
      <w:numFmt w:val="lowerLetter"/>
      <w:lvlText w:val="%2."/>
      <w:lvlJc w:val="left"/>
      <w:pPr>
        <w:ind w:left="1440" w:hanging="360"/>
      </w:pPr>
    </w:lvl>
    <w:lvl w:ilvl="2" w:tplc="2D1272CC">
      <w:start w:val="1"/>
      <w:numFmt w:val="lowerRoman"/>
      <w:lvlText w:val="%3."/>
      <w:lvlJc w:val="right"/>
      <w:pPr>
        <w:ind w:left="2160" w:hanging="180"/>
      </w:pPr>
    </w:lvl>
    <w:lvl w:ilvl="3" w:tplc="871E1F26">
      <w:start w:val="1"/>
      <w:numFmt w:val="decimal"/>
      <w:lvlText w:val="%4."/>
      <w:lvlJc w:val="left"/>
      <w:pPr>
        <w:ind w:left="2880" w:hanging="360"/>
      </w:pPr>
    </w:lvl>
    <w:lvl w:ilvl="4" w:tplc="4FC00614">
      <w:start w:val="1"/>
      <w:numFmt w:val="lowerLetter"/>
      <w:lvlText w:val="%5."/>
      <w:lvlJc w:val="left"/>
      <w:pPr>
        <w:ind w:left="3600" w:hanging="360"/>
      </w:pPr>
    </w:lvl>
    <w:lvl w:ilvl="5" w:tplc="9B80E294">
      <w:start w:val="1"/>
      <w:numFmt w:val="lowerRoman"/>
      <w:lvlText w:val="%6."/>
      <w:lvlJc w:val="right"/>
      <w:pPr>
        <w:ind w:left="4320" w:hanging="180"/>
      </w:pPr>
    </w:lvl>
    <w:lvl w:ilvl="6" w:tplc="C344AF78">
      <w:start w:val="1"/>
      <w:numFmt w:val="decimal"/>
      <w:lvlText w:val="%7."/>
      <w:lvlJc w:val="left"/>
      <w:pPr>
        <w:ind w:left="5040" w:hanging="360"/>
      </w:pPr>
    </w:lvl>
    <w:lvl w:ilvl="7" w:tplc="1476674E">
      <w:start w:val="1"/>
      <w:numFmt w:val="lowerLetter"/>
      <w:lvlText w:val="%8."/>
      <w:lvlJc w:val="left"/>
      <w:pPr>
        <w:ind w:left="5760" w:hanging="360"/>
      </w:pPr>
    </w:lvl>
    <w:lvl w:ilvl="8" w:tplc="984415E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DF5FFC"/>
    <w:multiLevelType w:val="hybridMultilevel"/>
    <w:tmpl w:val="3ED85424"/>
    <w:lvl w:ilvl="0" w:tplc="BEFE9106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37B47B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3656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1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0E73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8E4F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A9D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84D7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C4F9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733C1"/>
    <w:multiLevelType w:val="hybridMultilevel"/>
    <w:tmpl w:val="82A8040E"/>
    <w:lvl w:ilvl="0" w:tplc="11507D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602C5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1445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2A7E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FC58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18E8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E08D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FA02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046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5B2F11"/>
    <w:multiLevelType w:val="hybridMultilevel"/>
    <w:tmpl w:val="C00CFDFA"/>
    <w:lvl w:ilvl="0" w:tplc="9246FA80">
      <w:start w:val="1"/>
      <w:numFmt w:val="lowerLetter"/>
      <w:lvlText w:val="%1)"/>
      <w:lvlJc w:val="left"/>
      <w:pPr>
        <w:ind w:left="720" w:hanging="360"/>
      </w:pPr>
    </w:lvl>
    <w:lvl w:ilvl="1" w:tplc="8E2498D4">
      <w:start w:val="1"/>
      <w:numFmt w:val="lowerLetter"/>
      <w:lvlText w:val="%2."/>
      <w:lvlJc w:val="left"/>
      <w:pPr>
        <w:ind w:left="1440" w:hanging="360"/>
      </w:pPr>
    </w:lvl>
    <w:lvl w:ilvl="2" w:tplc="802222E0">
      <w:start w:val="1"/>
      <w:numFmt w:val="lowerRoman"/>
      <w:lvlText w:val="%3."/>
      <w:lvlJc w:val="right"/>
      <w:pPr>
        <w:ind w:left="2160" w:hanging="180"/>
      </w:pPr>
    </w:lvl>
    <w:lvl w:ilvl="3" w:tplc="46102B3E">
      <w:start w:val="1"/>
      <w:numFmt w:val="decimal"/>
      <w:lvlText w:val="%4."/>
      <w:lvlJc w:val="left"/>
      <w:pPr>
        <w:ind w:left="2880" w:hanging="360"/>
      </w:pPr>
    </w:lvl>
    <w:lvl w:ilvl="4" w:tplc="3E78D078">
      <w:start w:val="1"/>
      <w:numFmt w:val="lowerLetter"/>
      <w:lvlText w:val="%5."/>
      <w:lvlJc w:val="left"/>
      <w:pPr>
        <w:ind w:left="3600" w:hanging="360"/>
      </w:pPr>
    </w:lvl>
    <w:lvl w:ilvl="5" w:tplc="0AA80C12">
      <w:start w:val="1"/>
      <w:numFmt w:val="lowerRoman"/>
      <w:lvlText w:val="%6."/>
      <w:lvlJc w:val="right"/>
      <w:pPr>
        <w:ind w:left="4320" w:hanging="180"/>
      </w:pPr>
    </w:lvl>
    <w:lvl w:ilvl="6" w:tplc="58B44C22">
      <w:start w:val="1"/>
      <w:numFmt w:val="decimal"/>
      <w:lvlText w:val="%7."/>
      <w:lvlJc w:val="left"/>
      <w:pPr>
        <w:ind w:left="5040" w:hanging="360"/>
      </w:pPr>
    </w:lvl>
    <w:lvl w:ilvl="7" w:tplc="3B964F22">
      <w:start w:val="1"/>
      <w:numFmt w:val="lowerLetter"/>
      <w:lvlText w:val="%8."/>
      <w:lvlJc w:val="left"/>
      <w:pPr>
        <w:ind w:left="5760" w:hanging="360"/>
      </w:pPr>
    </w:lvl>
    <w:lvl w:ilvl="8" w:tplc="2484435A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797057">
    <w:abstractNumId w:val="9"/>
  </w:num>
  <w:num w:numId="2" w16cid:durableId="1162887863">
    <w:abstractNumId w:val="9"/>
  </w:num>
  <w:num w:numId="3" w16cid:durableId="57366499">
    <w:abstractNumId w:val="7"/>
  </w:num>
  <w:num w:numId="4" w16cid:durableId="436606001">
    <w:abstractNumId w:val="7"/>
  </w:num>
  <w:num w:numId="5" w16cid:durableId="1165165287">
    <w:abstractNumId w:val="6"/>
  </w:num>
  <w:num w:numId="6" w16cid:durableId="1779061856">
    <w:abstractNumId w:val="6"/>
  </w:num>
  <w:num w:numId="7" w16cid:durableId="2137216953">
    <w:abstractNumId w:val="5"/>
  </w:num>
  <w:num w:numId="8" w16cid:durableId="1532111925">
    <w:abstractNumId w:val="5"/>
  </w:num>
  <w:num w:numId="9" w16cid:durableId="566039089">
    <w:abstractNumId w:val="4"/>
  </w:num>
  <w:num w:numId="10" w16cid:durableId="647125523">
    <w:abstractNumId w:val="4"/>
  </w:num>
  <w:num w:numId="11" w16cid:durableId="1122648178">
    <w:abstractNumId w:val="8"/>
  </w:num>
  <w:num w:numId="12" w16cid:durableId="1928343531">
    <w:abstractNumId w:val="8"/>
  </w:num>
  <w:num w:numId="13" w16cid:durableId="215701509">
    <w:abstractNumId w:val="3"/>
  </w:num>
  <w:num w:numId="14" w16cid:durableId="978025668">
    <w:abstractNumId w:val="3"/>
  </w:num>
  <w:num w:numId="15" w16cid:durableId="1747531408">
    <w:abstractNumId w:val="2"/>
  </w:num>
  <w:num w:numId="16" w16cid:durableId="1457795142">
    <w:abstractNumId w:val="2"/>
  </w:num>
  <w:num w:numId="17" w16cid:durableId="1248493009">
    <w:abstractNumId w:val="1"/>
  </w:num>
  <w:num w:numId="18" w16cid:durableId="1688753840">
    <w:abstractNumId w:val="1"/>
  </w:num>
  <w:num w:numId="19" w16cid:durableId="434062385">
    <w:abstractNumId w:val="0"/>
  </w:num>
  <w:num w:numId="20" w16cid:durableId="596328263">
    <w:abstractNumId w:val="0"/>
  </w:num>
  <w:num w:numId="21" w16cid:durableId="763301141">
    <w:abstractNumId w:val="9"/>
  </w:num>
  <w:num w:numId="22" w16cid:durableId="1876427258">
    <w:abstractNumId w:val="7"/>
  </w:num>
  <w:num w:numId="23" w16cid:durableId="219172838">
    <w:abstractNumId w:val="6"/>
  </w:num>
  <w:num w:numId="24" w16cid:durableId="1320231647">
    <w:abstractNumId w:val="5"/>
  </w:num>
  <w:num w:numId="25" w16cid:durableId="607349351">
    <w:abstractNumId w:val="4"/>
  </w:num>
  <w:num w:numId="26" w16cid:durableId="895581408">
    <w:abstractNumId w:val="8"/>
  </w:num>
  <w:num w:numId="27" w16cid:durableId="1464687739">
    <w:abstractNumId w:val="3"/>
  </w:num>
  <w:num w:numId="28" w16cid:durableId="869562472">
    <w:abstractNumId w:val="2"/>
  </w:num>
  <w:num w:numId="29" w16cid:durableId="1633900284">
    <w:abstractNumId w:val="1"/>
  </w:num>
  <w:num w:numId="30" w16cid:durableId="1083530876">
    <w:abstractNumId w:val="0"/>
  </w:num>
  <w:num w:numId="31" w16cid:durableId="1185896692">
    <w:abstractNumId w:val="9"/>
  </w:num>
  <w:num w:numId="32" w16cid:durableId="1060447434">
    <w:abstractNumId w:val="7"/>
  </w:num>
  <w:num w:numId="33" w16cid:durableId="1154875675">
    <w:abstractNumId w:val="6"/>
  </w:num>
  <w:num w:numId="34" w16cid:durableId="858279285">
    <w:abstractNumId w:val="5"/>
  </w:num>
  <w:num w:numId="35" w16cid:durableId="2056201424">
    <w:abstractNumId w:val="4"/>
  </w:num>
  <w:num w:numId="36" w16cid:durableId="560407856">
    <w:abstractNumId w:val="8"/>
  </w:num>
  <w:num w:numId="37" w16cid:durableId="1728842512">
    <w:abstractNumId w:val="3"/>
  </w:num>
  <w:num w:numId="38" w16cid:durableId="35546412">
    <w:abstractNumId w:val="2"/>
  </w:num>
  <w:num w:numId="39" w16cid:durableId="964389001">
    <w:abstractNumId w:val="1"/>
  </w:num>
  <w:num w:numId="40" w16cid:durableId="2128546685">
    <w:abstractNumId w:val="0"/>
  </w:num>
  <w:num w:numId="41" w16cid:durableId="184441767">
    <w:abstractNumId w:val="12"/>
  </w:num>
  <w:num w:numId="42" w16cid:durableId="6540733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3642819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121509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KEY" w:val="FEMM"/>
    <w:docVar w:name="INSTMNU" w:val=" 1"/>
    <w:docVar w:name="LastEditedSection" w:val=" 1"/>
    <w:docVar w:name="strDocTypeID" w:val="PR_INI_RecommCFSP"/>
    <w:docVar w:name="strSubDir" w:val="1332"/>
    <w:docVar w:name="TXTLANGUE" w:val="EN"/>
    <w:docVar w:name="TXTLANGUEMIN" w:val="en"/>
    <w:docVar w:name="TXTNRINI" w:val="2025/0000"/>
    <w:docVar w:name="TXTNRPE" w:val="776.895"/>
    <w:docVar w:name="TXTPEorAP" w:val="PE"/>
    <w:docVar w:name="TXTROUTE" w:val="PR\1332470EN.docx"/>
    <w:docVar w:name="TXTTITLE" w:val="the EU priorities for the 70th session of the UN Commission on the Status of Women"/>
    <w:docVar w:name="TXTVERSION" w:val="02-00"/>
  </w:docVars>
  <w:rsids>
    <w:rsidRoot w:val="00D3400F"/>
    <w:rsid w:val="000005E5"/>
    <w:rsid w:val="00001993"/>
    <w:rsid w:val="00005D56"/>
    <w:rsid w:val="00010437"/>
    <w:rsid w:val="00020ED8"/>
    <w:rsid w:val="000239F7"/>
    <w:rsid w:val="00025F31"/>
    <w:rsid w:val="00105305"/>
    <w:rsid w:val="00144AD8"/>
    <w:rsid w:val="001533B4"/>
    <w:rsid w:val="00160F77"/>
    <w:rsid w:val="00173DC5"/>
    <w:rsid w:val="001748A3"/>
    <w:rsid w:val="001815BB"/>
    <w:rsid w:val="001876BE"/>
    <w:rsid w:val="001944B2"/>
    <w:rsid w:val="001A6651"/>
    <w:rsid w:val="001B22EB"/>
    <w:rsid w:val="001B6AE5"/>
    <w:rsid w:val="00225562"/>
    <w:rsid w:val="00234B03"/>
    <w:rsid w:val="0024591C"/>
    <w:rsid w:val="00266F7B"/>
    <w:rsid w:val="00267945"/>
    <w:rsid w:val="00281021"/>
    <w:rsid w:val="002C0BF6"/>
    <w:rsid w:val="00300BF7"/>
    <w:rsid w:val="00310F0B"/>
    <w:rsid w:val="003253FD"/>
    <w:rsid w:val="0032649C"/>
    <w:rsid w:val="0037604E"/>
    <w:rsid w:val="00387C58"/>
    <w:rsid w:val="00390253"/>
    <w:rsid w:val="00392F42"/>
    <w:rsid w:val="00393B38"/>
    <w:rsid w:val="003D0074"/>
    <w:rsid w:val="004216E6"/>
    <w:rsid w:val="00434A68"/>
    <w:rsid w:val="004352DE"/>
    <w:rsid w:val="00451A82"/>
    <w:rsid w:val="00480DEA"/>
    <w:rsid w:val="004A388E"/>
    <w:rsid w:val="004A5141"/>
    <w:rsid w:val="004C60CB"/>
    <w:rsid w:val="004C76B9"/>
    <w:rsid w:val="004D5F5D"/>
    <w:rsid w:val="005133F6"/>
    <w:rsid w:val="00554B6E"/>
    <w:rsid w:val="005577F1"/>
    <w:rsid w:val="005707B9"/>
    <w:rsid w:val="00575311"/>
    <w:rsid w:val="0058789A"/>
    <w:rsid w:val="005E5A0F"/>
    <w:rsid w:val="006067F0"/>
    <w:rsid w:val="0061137D"/>
    <w:rsid w:val="006262A9"/>
    <w:rsid w:val="0062719E"/>
    <w:rsid w:val="00627DF1"/>
    <w:rsid w:val="00636FA9"/>
    <w:rsid w:val="00651102"/>
    <w:rsid w:val="00686DFF"/>
    <w:rsid w:val="0069495A"/>
    <w:rsid w:val="00696C67"/>
    <w:rsid w:val="006A7D5C"/>
    <w:rsid w:val="006C1E65"/>
    <w:rsid w:val="006D02E4"/>
    <w:rsid w:val="006D4C8E"/>
    <w:rsid w:val="006E363A"/>
    <w:rsid w:val="006F094F"/>
    <w:rsid w:val="006F2AF3"/>
    <w:rsid w:val="0072199F"/>
    <w:rsid w:val="00724B9E"/>
    <w:rsid w:val="00747A00"/>
    <w:rsid w:val="007A12A3"/>
    <w:rsid w:val="007B69EF"/>
    <w:rsid w:val="007C4764"/>
    <w:rsid w:val="007F392E"/>
    <w:rsid w:val="00801386"/>
    <w:rsid w:val="0081125D"/>
    <w:rsid w:val="0081489C"/>
    <w:rsid w:val="0083042A"/>
    <w:rsid w:val="00855A58"/>
    <w:rsid w:val="0086407B"/>
    <w:rsid w:val="00865AB2"/>
    <w:rsid w:val="008A2913"/>
    <w:rsid w:val="008A7BA8"/>
    <w:rsid w:val="008B64B6"/>
    <w:rsid w:val="008F067F"/>
    <w:rsid w:val="00902C4B"/>
    <w:rsid w:val="009062FC"/>
    <w:rsid w:val="009302EC"/>
    <w:rsid w:val="00931782"/>
    <w:rsid w:val="009340AC"/>
    <w:rsid w:val="00941E95"/>
    <w:rsid w:val="0097457B"/>
    <w:rsid w:val="009907C2"/>
    <w:rsid w:val="009B3734"/>
    <w:rsid w:val="00A144CA"/>
    <w:rsid w:val="00A22B21"/>
    <w:rsid w:val="00A6377C"/>
    <w:rsid w:val="00A74837"/>
    <w:rsid w:val="00AA5FA9"/>
    <w:rsid w:val="00AE302F"/>
    <w:rsid w:val="00AF2187"/>
    <w:rsid w:val="00AF289B"/>
    <w:rsid w:val="00B10048"/>
    <w:rsid w:val="00B26C55"/>
    <w:rsid w:val="00B5366B"/>
    <w:rsid w:val="00B6527B"/>
    <w:rsid w:val="00B6642B"/>
    <w:rsid w:val="00B669D2"/>
    <w:rsid w:val="00B801FB"/>
    <w:rsid w:val="00B97AA4"/>
    <w:rsid w:val="00BC0749"/>
    <w:rsid w:val="00BD0C84"/>
    <w:rsid w:val="00BE7750"/>
    <w:rsid w:val="00C255BD"/>
    <w:rsid w:val="00C3019B"/>
    <w:rsid w:val="00C46AAA"/>
    <w:rsid w:val="00C47D1A"/>
    <w:rsid w:val="00C7235E"/>
    <w:rsid w:val="00C7360B"/>
    <w:rsid w:val="00C85D0F"/>
    <w:rsid w:val="00CA0DE5"/>
    <w:rsid w:val="00CA3A7A"/>
    <w:rsid w:val="00CB2AC0"/>
    <w:rsid w:val="00D3400F"/>
    <w:rsid w:val="00D349C1"/>
    <w:rsid w:val="00D860C1"/>
    <w:rsid w:val="00D94189"/>
    <w:rsid w:val="00DD2EF4"/>
    <w:rsid w:val="00E0274C"/>
    <w:rsid w:val="00E048E2"/>
    <w:rsid w:val="00E05579"/>
    <w:rsid w:val="00E24005"/>
    <w:rsid w:val="00E24484"/>
    <w:rsid w:val="00E26C78"/>
    <w:rsid w:val="00E34F46"/>
    <w:rsid w:val="00EA624D"/>
    <w:rsid w:val="00EC07AD"/>
    <w:rsid w:val="00F01801"/>
    <w:rsid w:val="00F0502F"/>
    <w:rsid w:val="00F25BBD"/>
    <w:rsid w:val="00F505B6"/>
    <w:rsid w:val="00F65426"/>
    <w:rsid w:val="00F8084D"/>
    <w:rsid w:val="00F92A4A"/>
    <w:rsid w:val="00F955E5"/>
    <w:rsid w:val="00FA7E38"/>
    <w:rsid w:val="00FC504F"/>
    <w:rsid w:val="00FC5F47"/>
    <w:rsid w:val="00FC665B"/>
    <w:rsid w:val="00FC6D7B"/>
    <w:rsid w:val="00FD4651"/>
    <w:rsid w:val="00FE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324DF"/>
  <w15:chartTrackingRefBased/>
  <w15:docId w15:val="{AED6FFF9-FF7B-4D20-9E32-4847834E9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paragraph" w:styleId="ListParagraph">
    <w:name w:val="List Paragraph"/>
    <w:basedOn w:val="Normal"/>
    <w:uiPriority w:val="34"/>
    <w:qFormat/>
    <w:rsid w:val="00941E9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941E95"/>
    <w:rPr>
      <w:sz w:val="24"/>
    </w:rPr>
  </w:style>
  <w:style w:type="paragraph" w:customStyle="1" w:styleId="Action">
    <w:name w:val="Action"/>
    <w:basedOn w:val="Normal"/>
    <w:rsid w:val="00941E95"/>
    <w:pPr>
      <w:keepNext/>
      <w:keepLines/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Footer">
    <w:name w:val="footer"/>
    <w:basedOn w:val="Normal"/>
    <w:link w:val="FooterChar"/>
    <w:semiHidden/>
    <w:rsid w:val="00FC6D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C6D7B"/>
    <w:rPr>
      <w:sz w:val="24"/>
    </w:rPr>
  </w:style>
  <w:style w:type="paragraph" w:styleId="Revision">
    <w:name w:val="Revision"/>
    <w:hidden/>
    <w:uiPriority w:val="99"/>
    <w:semiHidden/>
    <w:rsid w:val="00225562"/>
    <w:rPr>
      <w:sz w:val="24"/>
    </w:rPr>
  </w:style>
  <w:style w:type="character" w:styleId="CommentReference">
    <w:name w:val="annotation reference"/>
    <w:basedOn w:val="DefaultParagraphFont"/>
    <w:rsid w:val="002810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10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102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10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1021"/>
    <w:rPr>
      <w:b/>
      <w:bCs/>
    </w:rPr>
  </w:style>
  <w:style w:type="paragraph" w:styleId="FootnoteText">
    <w:name w:val="footnote text"/>
    <w:basedOn w:val="Normal"/>
    <w:link w:val="FootnoteTextChar"/>
    <w:rsid w:val="00F92A4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92A4A"/>
  </w:style>
  <w:style w:type="character" w:styleId="FootnoteReference">
    <w:name w:val="footnote reference"/>
    <w:basedOn w:val="DefaultParagraphFont"/>
    <w:rsid w:val="00F92A4A"/>
    <w:rPr>
      <w:vertAlign w:val="superscript"/>
    </w:rPr>
  </w:style>
  <w:style w:type="character" w:styleId="Hyperlink">
    <w:name w:val="Hyperlink"/>
    <w:basedOn w:val="DefaultParagraphFont"/>
    <w:rsid w:val="00F92A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2A4A"/>
    <w:rPr>
      <w:color w:val="605E5C"/>
      <w:shd w:val="clear" w:color="auto" w:fill="E1DFDD"/>
    </w:rPr>
  </w:style>
  <w:style w:type="paragraph" w:customStyle="1" w:styleId="Visa">
    <w:name w:val="Visa"/>
    <w:basedOn w:val="Normal"/>
    <w:rsid w:val="00F92A4A"/>
    <w:pPr>
      <w:keepNext/>
      <w:keepLines/>
      <w:tabs>
        <w:tab w:val="left" w:pos="357"/>
      </w:tabs>
      <w:spacing w:after="240"/>
      <w:ind w:left="357" w:hanging="357"/>
    </w:pPr>
    <w:rPr>
      <w:snapToGrid w:val="0"/>
      <w:lang w:eastAsia="en-US"/>
    </w:rPr>
  </w:style>
  <w:style w:type="paragraph" w:customStyle="1" w:styleId="pf0">
    <w:name w:val="pf0"/>
    <w:basedOn w:val="Normal"/>
    <w:rsid w:val="008B64B6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8B64B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ir/2012/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B2BC1-2E2C-4DE6-8F14-C4D2C1ECB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1796</Words>
  <Characters>13902</Characters>
  <Application>Microsoft Office Word</Application>
  <DocSecurity>0</DocSecurity>
  <Lines>224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creator>NITSCHE Susan</dc:creator>
  <cp:lastModifiedBy>CAMILLERI Etleva</cp:lastModifiedBy>
  <cp:revision>2</cp:revision>
  <cp:lastPrinted>2025-09-10T15:25:00Z</cp:lastPrinted>
  <dcterms:created xsi:type="dcterms:W3CDTF">2025-11-21T09:59:00Z</dcterms:created>
  <dcterms:modified xsi:type="dcterms:W3CDTF">2025-11-21T09:59:00Z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1332470</vt:lpwstr>
  </property>
  <property fmtid="{D5CDD505-2E9C-101B-9397-08002B2CF9AE}" pid="4" name="&lt;Model&gt;">
    <vt:lpwstr>PR_INI_RecommCFSP</vt:lpwstr>
  </property>
  <property fmtid="{D5CDD505-2E9C-101B-9397-08002B2CF9AE}" pid="5" name="&lt;ModelCod&gt;">
    <vt:lpwstr>\\eiciBRUpr1\pdocep$\DocEP\DOCS\General\PR\PR_NonLeg\INI\PR_INI_RecommCFSP.dotx(23/11/2023 20:35:01)</vt:lpwstr>
  </property>
  <property fmtid="{D5CDD505-2E9C-101B-9397-08002B2CF9AE}" pid="6" name="&lt;ModelTra&gt;">
    <vt:lpwstr>\\eiciBRUpr1\pdocep$\DocEP\TRANSFIL\EN\PR_INI_RecommCFSP.EN(14/08/2024 20:08:08)</vt:lpwstr>
  </property>
  <property fmtid="{D5CDD505-2E9C-101B-9397-08002B2CF9AE}" pid="7" name="&lt;Type&gt;">
    <vt:lpwstr>PR</vt:lpwstr>
  </property>
  <property fmtid="{D5CDD505-2E9C-101B-9397-08002B2CF9AE}" pid="8" name="Bookout">
    <vt:lpwstr>OK - 2025/11/21 10:59</vt:lpwstr>
  </property>
  <property fmtid="{D5CDD505-2E9C-101B-9397-08002B2CF9AE}" pid="9" name="Created with">
    <vt:lpwstr>10.1.2 Build [20250715]</vt:lpwstr>
  </property>
  <property fmtid="{D5CDD505-2E9C-101B-9397-08002B2CF9AE}" pid="10" name="FooterPath">
    <vt:lpwstr>PR\1332470MT.docx</vt:lpwstr>
  </property>
  <property fmtid="{D5CDD505-2E9C-101B-9397-08002B2CF9AE}" pid="11" name="LastEdited with">
    <vt:lpwstr>10.2.0 Build [20251001]</vt:lpwstr>
  </property>
  <property fmtid="{D5CDD505-2E9C-101B-9397-08002B2CF9AE}" pid="12" name="PE number">
    <vt:lpwstr>776.895</vt:lpwstr>
  </property>
  <property fmtid="{D5CDD505-2E9C-101B-9397-08002B2CF9AE}" pid="13" name="SDLStudio">
    <vt:lpwstr/>
  </property>
  <property fmtid="{D5CDD505-2E9C-101B-9397-08002B2CF9AE}" pid="14" name="SendToEpades">
    <vt:lpwstr>OK - 2025/11/20 12:27</vt:lpwstr>
  </property>
</Properties>
</file>