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66906" w:rsidRPr="00BC38E9" w14:paraId="47E1D543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108725" w14:textId="77777777" w:rsidR="0069495A" w:rsidRPr="00BC38E9" w:rsidRDefault="00B442CD" w:rsidP="00C85D0F">
            <w:pPr>
              <w:pStyle w:val="EPName"/>
            </w:pPr>
            <w:r w:rsidRPr="00BC38E9">
              <w:t>Parlamento Europeu</w:t>
            </w:r>
          </w:p>
          <w:p w14:paraId="241D6F02" w14:textId="2699E35A" w:rsidR="0069495A" w:rsidRPr="00BC38E9" w:rsidRDefault="00B442CD" w:rsidP="006067F0">
            <w:pPr>
              <w:pStyle w:val="EPTerm"/>
            </w:pPr>
            <w:r w:rsidRPr="00BC38E9">
              <w:t>2024</w:t>
            </w:r>
            <w:r w:rsidR="0090522F">
              <w:noBreakHyphen/>
            </w:r>
            <w:r w:rsidRPr="00BC38E9">
              <w:t>2029</w:t>
            </w:r>
          </w:p>
        </w:tc>
        <w:tc>
          <w:tcPr>
            <w:tcW w:w="2268" w:type="dxa"/>
            <w:shd w:val="clear" w:color="auto" w:fill="auto"/>
          </w:tcPr>
          <w:p w14:paraId="18386E08" w14:textId="77777777" w:rsidR="0069495A" w:rsidRPr="00BC38E9" w:rsidRDefault="00B442CD" w:rsidP="00C85D0F">
            <w:pPr>
              <w:pStyle w:val="EPLogo"/>
            </w:pPr>
            <w:r w:rsidRPr="00BC38E9">
              <w:rPr>
                <w:noProof/>
              </w:rPr>
              <w:drawing>
                <wp:inline distT="0" distB="0" distL="0" distR="0" wp14:anchorId="54897C86" wp14:editId="397B0D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BF598F" w14:textId="77777777" w:rsidR="00C7235E" w:rsidRPr="00BC38E9" w:rsidRDefault="00C7235E" w:rsidP="00C7235E">
      <w:pPr>
        <w:pStyle w:val="LineTop"/>
      </w:pPr>
    </w:p>
    <w:p w14:paraId="70DBA434" w14:textId="77777777" w:rsidR="00C7235E" w:rsidRPr="00BC38E9" w:rsidRDefault="00B442CD" w:rsidP="00C7235E">
      <w:pPr>
        <w:pStyle w:val="EPBody"/>
      </w:pPr>
      <w:r w:rsidRPr="00BC38E9">
        <w:rPr>
          <w:rStyle w:val="HideTWBExt"/>
        </w:rPr>
        <w:t>&lt;</w:t>
      </w:r>
      <w:r w:rsidRPr="00BC38E9">
        <w:rPr>
          <w:rStyle w:val="HideTWBExt"/>
          <w:i w:val="0"/>
        </w:rPr>
        <w:t>Commission</w:t>
      </w:r>
      <w:r w:rsidRPr="00BC38E9">
        <w:rPr>
          <w:rStyle w:val="HideTWBExt"/>
        </w:rPr>
        <w:t>&gt;</w:t>
      </w:r>
      <w:r w:rsidRPr="00BC38E9">
        <w:rPr>
          <w:rStyle w:val="HideTWBInt"/>
          <w:color w:val="auto"/>
        </w:rPr>
        <w:t>{FEMM}</w:t>
      </w:r>
      <w:r w:rsidRPr="00BC38E9">
        <w:t>Comissão dos Direitos das Mulheres e da Igualdade dos Géneros</w:t>
      </w:r>
      <w:r w:rsidRPr="00BC38E9">
        <w:rPr>
          <w:rStyle w:val="HideTWBExt"/>
        </w:rPr>
        <w:t>&lt;/</w:t>
      </w:r>
      <w:r w:rsidRPr="00BC38E9">
        <w:rPr>
          <w:rStyle w:val="HideTWBExt"/>
          <w:i w:val="0"/>
        </w:rPr>
        <w:t>Commission</w:t>
      </w:r>
      <w:r w:rsidRPr="00BC38E9">
        <w:rPr>
          <w:rStyle w:val="HideTWBExt"/>
        </w:rPr>
        <w:t>&gt;</w:t>
      </w:r>
    </w:p>
    <w:p w14:paraId="35375641" w14:textId="77777777" w:rsidR="00C7235E" w:rsidRPr="00BC38E9" w:rsidRDefault="00C7235E" w:rsidP="00C7235E">
      <w:pPr>
        <w:pStyle w:val="LineBottom"/>
      </w:pPr>
    </w:p>
    <w:p w14:paraId="26F4BCBA" w14:textId="0E48457C" w:rsidR="00144AD8" w:rsidRPr="00BC38E9" w:rsidRDefault="00B442CD">
      <w:pPr>
        <w:pStyle w:val="CoverReference"/>
      </w:pPr>
      <w:r w:rsidRPr="00BC38E9">
        <w:rPr>
          <w:rStyle w:val="HideTWBExt"/>
          <w:b w:val="0"/>
        </w:rPr>
        <w:t>&lt;RefProc&gt;</w:t>
      </w:r>
      <w:r w:rsidRPr="00BC38E9">
        <w:t>2025/</w:t>
      </w:r>
      <w:r w:rsidR="0090522F">
        <w:t>2240</w:t>
      </w:r>
      <w:r w:rsidRPr="00BC38E9">
        <w:rPr>
          <w:rStyle w:val="HideTWBExt"/>
          <w:b w:val="0"/>
        </w:rPr>
        <w:t>&lt;/RefProc&gt;&lt;RefTypeProc&gt;</w:t>
      </w:r>
      <w:r w:rsidRPr="00BC38E9">
        <w:t>(INI)</w:t>
      </w:r>
      <w:r w:rsidRPr="00BC38E9">
        <w:rPr>
          <w:rStyle w:val="HideTWBExt"/>
          <w:b w:val="0"/>
        </w:rPr>
        <w:t>&lt;/RefTypeProc&gt;</w:t>
      </w:r>
    </w:p>
    <w:p w14:paraId="2BA09436" w14:textId="77777777" w:rsidR="00545D8F" w:rsidRPr="008A7BA8" w:rsidRDefault="00545D8F" w:rsidP="00545D8F">
      <w:pPr>
        <w:pStyle w:val="CoverDate"/>
      </w:pPr>
      <w:r w:rsidRPr="008A7BA8">
        <w:rPr>
          <w:rStyle w:val="HideTWBExt"/>
        </w:rPr>
        <w:t>&lt;Date&gt;</w:t>
      </w:r>
      <w:r w:rsidRPr="008A7BA8">
        <w:rPr>
          <w:rStyle w:val="HideTWBInt"/>
        </w:rPr>
        <w:t>{20/11/2025}</w:t>
      </w:r>
      <w:r w:rsidRPr="008A7BA8">
        <w:t>20.11.2025</w:t>
      </w:r>
      <w:r w:rsidRPr="008A7BA8">
        <w:rPr>
          <w:rStyle w:val="HideTWBExt"/>
        </w:rPr>
        <w:t>&lt;/Date&gt;</w:t>
      </w:r>
    </w:p>
    <w:p w14:paraId="0C6E4909" w14:textId="77777777" w:rsidR="00144AD8" w:rsidRPr="00BC38E9" w:rsidRDefault="00B442CD">
      <w:pPr>
        <w:pStyle w:val="CoverDocType24a"/>
      </w:pPr>
      <w:r w:rsidRPr="00BC38E9">
        <w:rPr>
          <w:rStyle w:val="HideTWBExt"/>
          <w:b w:val="0"/>
        </w:rPr>
        <w:t>&lt;TitreType&gt;</w:t>
      </w:r>
      <w:r w:rsidRPr="00BC38E9">
        <w:t>PROJETO DE RELATÓRIO</w:t>
      </w:r>
      <w:r w:rsidRPr="00BC38E9">
        <w:rPr>
          <w:rStyle w:val="HideTWBExt"/>
          <w:b w:val="0"/>
        </w:rPr>
        <w:t>&lt;/TitreType&gt;</w:t>
      </w:r>
    </w:p>
    <w:p w14:paraId="7DF4A3F3" w14:textId="77777777" w:rsidR="00144AD8" w:rsidRPr="00BC38E9" w:rsidRDefault="00B442CD">
      <w:pPr>
        <w:pStyle w:val="CoverNormal"/>
      </w:pPr>
      <w:r w:rsidRPr="00BC38E9">
        <w:rPr>
          <w:rStyle w:val="HideTWBExt"/>
        </w:rPr>
        <w:t>&lt;Titre&gt;</w:t>
      </w:r>
      <w:r w:rsidRPr="00BC38E9">
        <w:t>sobre a recomendação do Parlamento Europeu ao Conselho referente às prioridades da UE para a 70.ª sessão da Comissão das Nações Unidas sobre o Estatuto da Mulher</w:t>
      </w:r>
      <w:r w:rsidRPr="00BC38E9">
        <w:rPr>
          <w:rStyle w:val="HideTWBExt"/>
        </w:rPr>
        <w:t>&lt;/Titre&gt;</w:t>
      </w:r>
    </w:p>
    <w:p w14:paraId="2D429EA2" w14:textId="1CA67B82" w:rsidR="00144AD8" w:rsidRPr="00BC38E9" w:rsidRDefault="00B442CD">
      <w:pPr>
        <w:pStyle w:val="CoverNormal24a"/>
      </w:pPr>
      <w:r w:rsidRPr="00BC38E9">
        <w:rPr>
          <w:rStyle w:val="HideTWBExt"/>
        </w:rPr>
        <w:t>&lt;DocRef&gt;</w:t>
      </w:r>
      <w:r w:rsidRPr="00BC38E9">
        <w:t>(2025/</w:t>
      </w:r>
      <w:r w:rsidR="0090522F">
        <w:t>224</w:t>
      </w:r>
      <w:r w:rsidRPr="00BC38E9">
        <w:t>0(INI))</w:t>
      </w:r>
      <w:r w:rsidRPr="00BC38E9">
        <w:rPr>
          <w:rStyle w:val="HideTWBExt"/>
        </w:rPr>
        <w:t>&lt;/DocRef&gt;</w:t>
      </w:r>
    </w:p>
    <w:p w14:paraId="6FCC8258" w14:textId="77777777" w:rsidR="00144AD8" w:rsidRPr="00BC38E9" w:rsidRDefault="00B442CD">
      <w:pPr>
        <w:pStyle w:val="CoverNormal24a"/>
      </w:pPr>
      <w:r w:rsidRPr="00BC38E9">
        <w:rPr>
          <w:rStyle w:val="HideTWBExt"/>
        </w:rPr>
        <w:t>&lt;Commission&gt;</w:t>
      </w:r>
      <w:r w:rsidRPr="00BC38E9">
        <w:rPr>
          <w:rStyle w:val="HideTWBInt"/>
          <w:color w:val="auto"/>
        </w:rPr>
        <w:t>{FEMM}</w:t>
      </w:r>
      <w:r w:rsidRPr="00BC38E9">
        <w:t>Comissão dos Direitos das Mulheres e da Igualdade dos Géneros</w:t>
      </w:r>
      <w:r w:rsidRPr="00BC38E9">
        <w:rPr>
          <w:rStyle w:val="HideTWBExt"/>
        </w:rPr>
        <w:t>&lt;/Commission&gt;</w:t>
      </w:r>
    </w:p>
    <w:p w14:paraId="13B14D7A" w14:textId="77777777" w:rsidR="00144AD8" w:rsidRPr="00BC38E9" w:rsidRDefault="00B442CD">
      <w:pPr>
        <w:pStyle w:val="CoverNormal24a"/>
      </w:pPr>
      <w:r w:rsidRPr="00BC38E9">
        <w:t xml:space="preserve">Relatora: </w:t>
      </w:r>
      <w:r w:rsidRPr="00BC38E9">
        <w:rPr>
          <w:rStyle w:val="HideTWBExt"/>
        </w:rPr>
        <w:t>&lt;Depute&gt;</w:t>
      </w:r>
      <w:r w:rsidRPr="00BC38E9">
        <w:t>Lina Gálvez</w:t>
      </w:r>
      <w:r w:rsidRPr="00BC38E9">
        <w:rPr>
          <w:rStyle w:val="HideTWBExt"/>
        </w:rPr>
        <w:t>&lt;/Depute&gt;</w:t>
      </w:r>
    </w:p>
    <w:p w14:paraId="13F5FD31" w14:textId="77777777" w:rsidR="00627DF1" w:rsidRPr="00BC38E9" w:rsidRDefault="00627DF1" w:rsidP="00627DF1">
      <w:pPr>
        <w:pStyle w:val="CoverNormal"/>
      </w:pPr>
    </w:p>
    <w:p w14:paraId="5EFEF94C" w14:textId="77777777" w:rsidR="00144AD8" w:rsidRPr="00BC38E9" w:rsidRDefault="00B442CD" w:rsidP="009340AC">
      <w:pPr>
        <w:widowControl/>
        <w:tabs>
          <w:tab w:val="center" w:pos="4677"/>
        </w:tabs>
      </w:pPr>
      <w:r w:rsidRPr="00BC38E9">
        <w:br w:type="page"/>
      </w:r>
      <w:r w:rsidRPr="00BC38E9">
        <w:lastRenderedPageBreak/>
        <w:t>PR_INI_RecommCFSP</w:t>
      </w:r>
    </w:p>
    <w:p w14:paraId="76AEB0CC" w14:textId="77777777" w:rsidR="00144AD8" w:rsidRPr="00BC38E9" w:rsidRDefault="00B442CD">
      <w:pPr>
        <w:pStyle w:val="TOCHeading"/>
      </w:pPr>
      <w:r w:rsidRPr="00BC38E9">
        <w:t>ÍNDICE</w:t>
      </w:r>
    </w:p>
    <w:p w14:paraId="26C17A4C" w14:textId="77777777" w:rsidR="00144AD8" w:rsidRPr="00BC38E9" w:rsidRDefault="00B442CD">
      <w:pPr>
        <w:pStyle w:val="TOCPage"/>
      </w:pPr>
      <w:r w:rsidRPr="00BC38E9">
        <w:t>Página</w:t>
      </w:r>
    </w:p>
    <w:p w14:paraId="45F94E9A" w14:textId="51825177" w:rsidR="00545D8F" w:rsidRDefault="00B442C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BC38E9">
        <w:fldChar w:fldCharType="begin"/>
      </w:r>
      <w:r w:rsidRPr="00BC38E9">
        <w:instrText xml:space="preserve"> TOC \t "PageHeading</w:instrText>
      </w:r>
      <w:r w:rsidR="00BC38E9" w:rsidRPr="00BC38E9">
        <w:instrText>;</w:instrText>
      </w:r>
      <w:r w:rsidRPr="00BC38E9">
        <w:instrText xml:space="preserve">1" </w:instrText>
      </w:r>
      <w:r w:rsidRPr="00BC38E9">
        <w:fldChar w:fldCharType="separate"/>
      </w:r>
      <w:r w:rsidR="00545D8F">
        <w:rPr>
          <w:noProof/>
        </w:rPr>
        <w:t>PROJETO DE RECOMENDAÇÃO DO PARLAMENTO EUROPEU</w:t>
      </w:r>
      <w:r w:rsidR="00545D8F">
        <w:rPr>
          <w:noProof/>
        </w:rPr>
        <w:tab/>
      </w:r>
      <w:r w:rsidR="00545D8F">
        <w:rPr>
          <w:noProof/>
        </w:rPr>
        <w:fldChar w:fldCharType="begin"/>
      </w:r>
      <w:r w:rsidR="00545D8F">
        <w:rPr>
          <w:noProof/>
        </w:rPr>
        <w:instrText xml:space="preserve"> PAGEREF _Toc214610436 \h </w:instrText>
      </w:r>
      <w:r w:rsidR="00545D8F">
        <w:rPr>
          <w:noProof/>
        </w:rPr>
      </w:r>
      <w:r w:rsidR="00545D8F">
        <w:rPr>
          <w:noProof/>
        </w:rPr>
        <w:fldChar w:fldCharType="separate"/>
      </w:r>
      <w:r w:rsidR="00545D8F">
        <w:rPr>
          <w:noProof/>
        </w:rPr>
        <w:t>3</w:t>
      </w:r>
      <w:r w:rsidR="00545D8F">
        <w:rPr>
          <w:noProof/>
        </w:rPr>
        <w:fldChar w:fldCharType="end"/>
      </w:r>
    </w:p>
    <w:p w14:paraId="08493D6B" w14:textId="29D752FC" w:rsidR="00545D8F" w:rsidRDefault="00545D8F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EXPOSIÇÃO DE MOTIVOS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_Toc214610437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0CCDC178" w14:textId="7CC5F2AE" w:rsidR="00627DF1" w:rsidRPr="00BC38E9" w:rsidRDefault="00B442CD" w:rsidP="00865AB2">
      <w:r w:rsidRPr="00BC38E9">
        <w:fldChar w:fldCharType="end"/>
      </w:r>
    </w:p>
    <w:p w14:paraId="4C83DD87" w14:textId="77777777" w:rsidR="00144AD8" w:rsidRPr="00BC38E9" w:rsidRDefault="00B442CD">
      <w:pPr>
        <w:pStyle w:val="PageHeading"/>
      </w:pPr>
      <w:r w:rsidRPr="00BC38E9">
        <w:br w:type="page"/>
      </w:r>
      <w:bookmarkStart w:id="0" w:name="_Toc214610436"/>
      <w:r w:rsidRPr="00BC38E9">
        <w:lastRenderedPageBreak/>
        <w:t>PROJETO DE RECOMENDAÇÃO DO PARLAMENTO EUROPEU</w:t>
      </w:r>
      <w:bookmarkEnd w:id="0"/>
    </w:p>
    <w:p w14:paraId="79D66213" w14:textId="77777777" w:rsidR="00144AD8" w:rsidRPr="00BC38E9" w:rsidRDefault="00B442CD">
      <w:pPr>
        <w:pStyle w:val="NormalBold"/>
      </w:pPr>
      <w:r w:rsidRPr="00BC38E9">
        <w:t>ao Conselho referente às prioridades da UE para a 70.ª sessão da Comissão das Nações Unidas sobre o Estatuto da Mulher</w:t>
      </w:r>
    </w:p>
    <w:p w14:paraId="307D7188" w14:textId="77777777" w:rsidR="00144AD8" w:rsidRPr="00BC38E9" w:rsidRDefault="00B442CD" w:rsidP="00A144CA">
      <w:pPr>
        <w:pStyle w:val="NormalBold"/>
      </w:pPr>
      <w:r w:rsidRPr="00BC38E9">
        <w:t>(2025/0000(INI))</w:t>
      </w:r>
    </w:p>
    <w:p w14:paraId="57794758" w14:textId="77777777" w:rsidR="00144AD8" w:rsidRPr="00BC38E9" w:rsidRDefault="00B442CD">
      <w:pPr>
        <w:pStyle w:val="EPComma"/>
      </w:pPr>
      <w:r w:rsidRPr="00BC38E9">
        <w:rPr>
          <w:i/>
          <w:iCs/>
        </w:rPr>
        <w:t>O Parlamento Europeu,</w:t>
      </w:r>
    </w:p>
    <w:p w14:paraId="62B2EC1C" w14:textId="77777777" w:rsidR="004216E6" w:rsidRPr="00BC38E9" w:rsidRDefault="00B442CD" w:rsidP="004216E6">
      <w:pPr>
        <w:pStyle w:val="NormalHanging12a"/>
      </w:pPr>
      <w:r w:rsidRPr="00BC38E9">
        <w:t>–</w:t>
      </w:r>
      <w:r w:rsidRPr="00BC38E9">
        <w:tab/>
        <w:t>Tendo em conta a 70.</w:t>
      </w:r>
      <w:r w:rsidRPr="00BC38E9">
        <w:rPr>
          <w:vertAlign w:val="superscript"/>
        </w:rPr>
        <w:t>a</w:t>
      </w:r>
      <w:r w:rsidRPr="00BC38E9">
        <w:t xml:space="preserve"> sessão da Comissão das Nações Unidas sobre o Estatuto da Mulher, prevista para março de 2026, o seu tema prioritário intitulado «Garantir e reforçar o acesso à justiça para todas as mulheres e raparigas, nomeadamente através da promoção de ordenamentos jurídicos inclusivos e equitativos, da eliminação de leis, políticas e práticas discriminatórias e da eliminação das barreiras estruturais» e o seu tema analisado, com o título «Participação e tomada de decisões plena e efetiva das mulheres na vida pública, bem como a eliminação da violência, para alcançar a igualdade de género e o empoderamento de todas as mulheres e raparigas»,</w:t>
      </w:r>
    </w:p>
    <w:p w14:paraId="0518D2A8" w14:textId="77777777" w:rsidR="004216E6" w:rsidRPr="00BC38E9" w:rsidRDefault="00B442CD" w:rsidP="004216E6">
      <w:pPr>
        <w:pStyle w:val="NormalHanging12a"/>
      </w:pPr>
      <w:r w:rsidRPr="00BC38E9">
        <w:t>–</w:t>
      </w:r>
      <w:r w:rsidRPr="00BC38E9">
        <w:tab/>
        <w:t>Tendo em conta a Convenção das Nações Unidas sobre a Eliminação de Todas as Formas de Discriminação contra as Mulheres, de 18 de dezembro de 1979,</w:t>
      </w:r>
    </w:p>
    <w:p w14:paraId="24561A66" w14:textId="77777777" w:rsidR="004216E6" w:rsidRPr="00BC38E9" w:rsidRDefault="00B442CD" w:rsidP="00724B9E">
      <w:pPr>
        <w:pStyle w:val="pf0"/>
        <w:numPr>
          <w:ilvl w:val="0"/>
          <w:numId w:val="44"/>
        </w:numPr>
        <w:ind w:left="567" w:hanging="567"/>
        <w:rPr>
          <w:rFonts w:ascii="Arial" w:hAnsi="Arial" w:cs="Arial"/>
          <w:sz w:val="20"/>
        </w:rPr>
      </w:pPr>
      <w:r w:rsidRPr="00BC38E9">
        <w:t>Tendo em conta a Agenda 2030 das Nações Unidas para o Desenvolvimento Sustentável, nomeadamente o princípio de «não deixar ninguém para trás» e, em particular, o Objetivo de Desenvolvimento Sustentável n.º 5, que visa alcançar a igualdade de género e garantir às mulheres direitos iguais aos recursos económicos, bem como o acesso à propriedade e ao controlo da terra e outras formas de propriedade, serviços financeiros, sucessões e recursos naturais, e o Objetivo de Desenvolvimento Sustentável n.º 10, que visa eliminar leis, políticas e práticas discriminatórias e promover legislação, políticas e ações adequadas,</w:t>
      </w:r>
    </w:p>
    <w:p w14:paraId="163F8AB5" w14:textId="77777777" w:rsidR="004216E6" w:rsidRPr="00BC38E9" w:rsidRDefault="00B442CD" w:rsidP="004216E6">
      <w:pPr>
        <w:pStyle w:val="NormalHanging12a"/>
      </w:pPr>
      <w:r w:rsidRPr="00BC38E9">
        <w:t>–</w:t>
      </w:r>
      <w:r w:rsidRPr="00BC38E9">
        <w:tab/>
        <w:t>Tendo em conta os artigos 20.º, 21.º, 23.º e 47.º da Carta dos Direitos Fundamentais da União Europeia,</w:t>
      </w:r>
    </w:p>
    <w:p w14:paraId="1EB8F874" w14:textId="03070B82" w:rsidR="004216E6" w:rsidRPr="00BC38E9" w:rsidRDefault="00B442CD" w:rsidP="004216E6">
      <w:pPr>
        <w:pStyle w:val="NormalHanging12a"/>
      </w:pPr>
      <w:r w:rsidRPr="00BC38E9">
        <w:t>–</w:t>
      </w:r>
      <w:r w:rsidRPr="00BC38E9">
        <w:tab/>
        <w:t>Tendo em conta a Comunicação conjunta da Comissão e do Conselho, de 25 de novembro de 2020, intitulada «Terceiro Plano de Ação da UE em matéria de Igualdade de Género – Uma Agenda Ambiciosa para a Igualdade de Género e o Empoderamento das Mulheres na Ação Externa da UE» (JOIN(2020)0017), que descreve o plano de ação da UE para a igualdade de género para o período 2021</w:t>
      </w:r>
      <w:r w:rsidR="0090522F">
        <w:noBreakHyphen/>
      </w:r>
      <w:r w:rsidRPr="00BC38E9">
        <w:t>2025,</w:t>
      </w:r>
    </w:p>
    <w:p w14:paraId="3920448C" w14:textId="77777777" w:rsidR="004216E6" w:rsidRPr="00BC38E9" w:rsidRDefault="00B442CD" w:rsidP="004216E6">
      <w:pPr>
        <w:pStyle w:val="NormalHanging12a"/>
      </w:pPr>
      <w:r w:rsidRPr="00BC38E9">
        <w:t>–</w:t>
      </w:r>
      <w:r w:rsidRPr="00BC38E9">
        <w:tab/>
        <w:t>Tendo em conta a Comunicação da Comissão, de 7 de março de 2025, intitulada «Um Roteiro dos Direitos das Mulheres» (COM(2025)0097), que reafirma o compromisso da UE com a igualdade de género,</w:t>
      </w:r>
    </w:p>
    <w:p w14:paraId="25F27080" w14:textId="07D71299" w:rsidR="004216E6" w:rsidRPr="00BC38E9" w:rsidRDefault="00B442CD" w:rsidP="004216E6">
      <w:pPr>
        <w:pStyle w:val="NormalHanging12a"/>
      </w:pPr>
      <w:r w:rsidRPr="00BC38E9">
        <w:t>–</w:t>
      </w:r>
      <w:r w:rsidRPr="00BC38E9">
        <w:tab/>
        <w:t>Tendo em conta a Comunicação da Comissão, de 5 de março de 2020, intitulada «Uma União da Igualdade: Estratégia para a Igualdade de Género 2020</w:t>
      </w:r>
      <w:r w:rsidR="0090522F">
        <w:noBreakHyphen/>
      </w:r>
      <w:r w:rsidRPr="00BC38E9">
        <w:t>2025» (COM(2020)0152),</w:t>
      </w:r>
    </w:p>
    <w:p w14:paraId="60D29678" w14:textId="1D616365" w:rsidR="004216E6" w:rsidRPr="00BC38E9" w:rsidRDefault="00B442CD" w:rsidP="004216E6">
      <w:pPr>
        <w:pStyle w:val="NormalHanging12a"/>
        <w:rPr>
          <w:szCs w:val="24"/>
        </w:rPr>
      </w:pPr>
      <w:r w:rsidRPr="00BC38E9">
        <w:t>–</w:t>
      </w:r>
      <w:r w:rsidRPr="00BC38E9">
        <w:tab/>
        <w:t xml:space="preserve">Tendo em conta a Diretiva 2012/29/UE do Parlamento Europeu e do Conselho, de 25 de outubro de 2012, que estabelece normas mínimas relativas aos direitos, ao apoio e à </w:t>
      </w:r>
      <w:r w:rsidRPr="00BC38E9">
        <w:lastRenderedPageBreak/>
        <w:t>proteção das vítimas da criminalidade e que substitui a Decisão</w:t>
      </w:r>
      <w:r w:rsidR="0090522F">
        <w:noBreakHyphen/>
      </w:r>
      <w:r w:rsidRPr="00BC38E9">
        <w:t>Quadro 2001/220/JAI do Conselho</w:t>
      </w:r>
      <w:r w:rsidRPr="00BC38E9">
        <w:rPr>
          <w:rStyle w:val="FootnoteReference"/>
          <w:szCs w:val="24"/>
        </w:rPr>
        <w:footnoteReference w:id="1"/>
      </w:r>
      <w:r w:rsidRPr="00BC38E9">
        <w:t>,</w:t>
      </w:r>
    </w:p>
    <w:p w14:paraId="09E36DBC" w14:textId="6A791CAE" w:rsidR="004216E6" w:rsidRPr="00BC38E9" w:rsidRDefault="00B442CD" w:rsidP="004216E6">
      <w:pPr>
        <w:pStyle w:val="NormalHanging12a"/>
      </w:pPr>
      <w:r w:rsidRPr="00BC38E9">
        <w:t>–</w:t>
      </w:r>
      <w:r w:rsidRPr="00BC38E9">
        <w:tab/>
        <w:t>Tendo em conta o Programa Justiça da Comissão 2021</w:t>
      </w:r>
      <w:r w:rsidR="0090522F">
        <w:noBreakHyphen/>
      </w:r>
      <w:r w:rsidRPr="00BC38E9">
        <w:t>2027, que concede financiamento para apoiar a cooperação judiciária em matéria civil e penal, como a formação de juízes e outros profissionais da justiça, e o acesso efetivo dos cidadãos e das empresas à justiça,</w:t>
      </w:r>
    </w:p>
    <w:p w14:paraId="74F58D9A" w14:textId="77777777" w:rsidR="004216E6" w:rsidRPr="00BC38E9" w:rsidRDefault="00B442CD" w:rsidP="004216E6">
      <w:pPr>
        <w:pStyle w:val="NormalHanging12a"/>
      </w:pPr>
      <w:r w:rsidRPr="00BC38E9">
        <w:t>–</w:t>
      </w:r>
      <w:r w:rsidRPr="00BC38E9">
        <w:tab/>
        <w:t>Tendo em conta a Convenção do Conselho da Europa para a Prevenção e o Combate à Violência Contra as Mulheres e a Violência Doméstica (Convenção de Istambul),</w:t>
      </w:r>
    </w:p>
    <w:p w14:paraId="0B4631A7" w14:textId="77777777" w:rsidR="004216E6" w:rsidRPr="00BC38E9" w:rsidRDefault="00B442CD" w:rsidP="004216E6">
      <w:pPr>
        <w:pStyle w:val="NormalHanging12a"/>
      </w:pPr>
      <w:r w:rsidRPr="00BC38E9">
        <w:t>–</w:t>
      </w:r>
      <w:r w:rsidRPr="00BC38E9">
        <w:tab/>
        <w:t>Tendo em conta o artigo 81.º, n.º 2, do Tratado sobre o Funcionamento da União Europeia,</w:t>
      </w:r>
    </w:p>
    <w:p w14:paraId="1EEB8BF1" w14:textId="77777777" w:rsidR="004216E6" w:rsidRPr="00BC38E9" w:rsidRDefault="00B442CD" w:rsidP="004216E6">
      <w:pPr>
        <w:pStyle w:val="NormalHanging12a"/>
      </w:pPr>
      <w:r w:rsidRPr="00BC38E9">
        <w:t>–</w:t>
      </w:r>
      <w:r w:rsidRPr="00BC38E9">
        <w:tab/>
        <w:t>Tendo em conta o artigo 121.º do seu Regimento,</w:t>
      </w:r>
    </w:p>
    <w:p w14:paraId="4D645FD6" w14:textId="27ECE4D5" w:rsidR="00F92A4A" w:rsidRPr="00BC38E9" w:rsidRDefault="00B442CD" w:rsidP="00724B9E">
      <w:pPr>
        <w:pStyle w:val="Visa"/>
        <w:tabs>
          <w:tab w:val="clear" w:pos="357"/>
        </w:tabs>
        <w:spacing w:after="360"/>
        <w:ind w:left="567" w:hanging="567"/>
      </w:pPr>
      <w:r w:rsidRPr="00BC38E9">
        <w:t>–</w:t>
      </w:r>
      <w:r w:rsidRPr="00BC38E9">
        <w:tab/>
        <w:t>Tendo em conta o relatório da Comissão dos Direitos das Mulheres e da Igualdade dos Géneros (A10</w:t>
      </w:r>
      <w:r w:rsidR="0090522F">
        <w:noBreakHyphen/>
      </w:r>
      <w:r w:rsidRPr="00BC38E9">
        <w:t>0000/2025),</w:t>
      </w:r>
    </w:p>
    <w:p w14:paraId="1EBD72EE" w14:textId="77777777" w:rsidR="004216E6" w:rsidRPr="00BC38E9" w:rsidRDefault="00B442CD" w:rsidP="004216E6">
      <w:pPr>
        <w:pStyle w:val="NormalHanging12a"/>
      </w:pPr>
      <w:r w:rsidRPr="00BC38E9">
        <w:t>A.</w:t>
      </w:r>
      <w:r w:rsidRPr="00BC38E9">
        <w:tab/>
        <w:t>Considerando que a igualdade entre homens e mulheres é um princípio fundamental da UE; que a integração da perspetiva de género e uma abordagem interseccional devem ser aplicadas e integradas em todas as políticas da UE; que as políticas internas e externas devem permanecer consistentes e coerentes, a fim de assegurar uma promoção eficaz e credível dos direitos humanos, da democracia e da igualdade de género em todo o mundo;</w:t>
      </w:r>
    </w:p>
    <w:p w14:paraId="64EED44C" w14:textId="77777777" w:rsidR="004216E6" w:rsidRPr="00BC38E9" w:rsidRDefault="00B442CD" w:rsidP="004216E6">
      <w:pPr>
        <w:pStyle w:val="NormalHanging12a"/>
        <w:rPr>
          <w:szCs w:val="24"/>
        </w:rPr>
      </w:pPr>
      <w:r w:rsidRPr="00BC38E9">
        <w:t>B.</w:t>
      </w:r>
      <w:r w:rsidRPr="00BC38E9">
        <w:tab/>
        <w:t>Considerando que os direitos das mulheres e a igualdade de género não são apenas direitos humanos fundamentais, mas também condições prévias para a promoção do desenvolvimento humano, a redução da pobreza e a construção de uma base necessária para um mundo pacífico, próspero e sustentável;</w:t>
      </w:r>
    </w:p>
    <w:p w14:paraId="39535E85" w14:textId="77777777" w:rsidR="004216E6" w:rsidRPr="00BC38E9" w:rsidRDefault="00B442CD" w:rsidP="004216E6">
      <w:pPr>
        <w:pStyle w:val="NormalHanging12a"/>
        <w:rPr>
          <w:szCs w:val="24"/>
        </w:rPr>
      </w:pPr>
      <w:r w:rsidRPr="00BC38E9">
        <w:t>C.</w:t>
      </w:r>
      <w:r w:rsidRPr="00BC38E9">
        <w:tab/>
        <w:t>Considerando que o acesso à justiça é amplamente reconhecido como um direito humano fundamental ao abrigo do direito internacional, um conceito fundamental no domínio mais vasto da justiça e uma pedra angular do Estado de direito e da democracia; que a UE reconhece o acesso à justiça como um direito fundamental ao abrigo do artigo 47.º da Carta dos Direitos Fundamentais da União Europeia;</w:t>
      </w:r>
    </w:p>
    <w:p w14:paraId="4E5DF845" w14:textId="77777777" w:rsidR="004216E6" w:rsidRPr="00BC38E9" w:rsidRDefault="00B442CD" w:rsidP="004216E6">
      <w:pPr>
        <w:pStyle w:val="NormalHanging12a"/>
        <w:rPr>
          <w:szCs w:val="24"/>
        </w:rPr>
      </w:pPr>
      <w:r w:rsidRPr="00BC38E9">
        <w:t>D.</w:t>
      </w:r>
      <w:r w:rsidRPr="00BC38E9">
        <w:tab/>
        <w:t>Considerando que o acesso das mulheres à justiça continua a ser uma questão complexa e crítica em todas as regiões do mundo;</w:t>
      </w:r>
    </w:p>
    <w:p w14:paraId="060A54BF" w14:textId="7862B117" w:rsidR="004216E6" w:rsidRPr="00BC38E9" w:rsidRDefault="00B442CD" w:rsidP="004216E6">
      <w:pPr>
        <w:pStyle w:val="NormalHanging12a"/>
        <w:rPr>
          <w:szCs w:val="24"/>
        </w:rPr>
      </w:pPr>
      <w:r w:rsidRPr="00BC38E9">
        <w:t>E.</w:t>
      </w:r>
      <w:r w:rsidRPr="00BC38E9">
        <w:tab/>
        <w:t>Considerando que, em todo o mundo, as mulheres continuam a estar significativamente sub</w:t>
      </w:r>
      <w:r w:rsidR="0090522F">
        <w:noBreakHyphen/>
      </w:r>
      <w:r w:rsidRPr="00BC38E9">
        <w:t>representadas ao mais alto nível das autoridades judiciais e das autoridades competentes para o exercício da ação penal, em particular em cargos de liderança, como presidentes de tribunais, juízes presidentes e chefes de departamento do Ministério Público;</w:t>
      </w:r>
    </w:p>
    <w:p w14:paraId="5561E985" w14:textId="77777777" w:rsidR="004216E6" w:rsidRPr="00BC38E9" w:rsidRDefault="00B442CD" w:rsidP="00F8084D">
      <w:pPr>
        <w:pStyle w:val="NormalHanging12a"/>
        <w:rPr>
          <w:szCs w:val="24"/>
        </w:rPr>
      </w:pPr>
      <w:r w:rsidRPr="00BC38E9">
        <w:t>F.</w:t>
      </w:r>
      <w:r w:rsidRPr="00BC38E9">
        <w:tab/>
        <w:t xml:space="preserve">Considerando que as Nações Unidas promovem ativamente uma maior participação das mulheres no setor da justiça através de iniciativas e campanhas específicas; que uma </w:t>
      </w:r>
      <w:r w:rsidRPr="00BC38E9">
        <w:lastRenderedPageBreak/>
        <w:t>maior representação das mulheres nas instituições judiciais tem sido associada à promoção de abordagens da justiça mais centradas nas vítimas;</w:t>
      </w:r>
    </w:p>
    <w:p w14:paraId="28486DC2" w14:textId="77777777" w:rsidR="004216E6" w:rsidRPr="00BC38E9" w:rsidRDefault="00B442CD" w:rsidP="004216E6">
      <w:pPr>
        <w:pStyle w:val="NormalHanging12a"/>
        <w:rPr>
          <w:szCs w:val="24"/>
        </w:rPr>
      </w:pPr>
      <w:r w:rsidRPr="00BC38E9">
        <w:t>G.</w:t>
      </w:r>
      <w:r w:rsidRPr="00BC38E9">
        <w:tab/>
        <w:t>Considerando que a violência contra as mulheres e a violência doméstica constituem violações dos direitos fundamentais; que os ordenamentos jurídicos devem responder às necessidades específicas das vítimas de violência baseada no género, assegurando proteção e vias de recurso adequadas; que muitas mulheres ainda enfrentam obstáculos consideráveis à denúncia de abusos e ao acesso a apoio jurídico;</w:t>
      </w:r>
    </w:p>
    <w:p w14:paraId="7DA7682A" w14:textId="77777777" w:rsidR="004216E6" w:rsidRPr="00BC38E9" w:rsidRDefault="00B442CD" w:rsidP="004216E6">
      <w:pPr>
        <w:pStyle w:val="NormalHanging12a"/>
        <w:rPr>
          <w:szCs w:val="24"/>
        </w:rPr>
      </w:pPr>
      <w:r w:rsidRPr="00BC38E9">
        <w:t>H.</w:t>
      </w:r>
      <w:r w:rsidRPr="00BC38E9">
        <w:tab/>
        <w:t>Considerando que a estereotipia judicial e as normas de género prevalecentes podem dificultar que justiça seja feita relativamente às mulheres vítimas e sobreviventes de violência;</w:t>
      </w:r>
    </w:p>
    <w:p w14:paraId="1A541868" w14:textId="77777777" w:rsidR="004216E6" w:rsidRPr="00BC38E9" w:rsidRDefault="00B442CD" w:rsidP="004216E6">
      <w:pPr>
        <w:pStyle w:val="NormalHanging12a"/>
      </w:pPr>
      <w:r w:rsidRPr="00BC38E9">
        <w:t>1.</w:t>
      </w:r>
      <w:r w:rsidRPr="00BC38E9">
        <w:tab/>
        <w:t>Recomenda ao Conselho que:</w:t>
      </w:r>
    </w:p>
    <w:p w14:paraId="27391F15" w14:textId="77777777" w:rsidR="004216E6" w:rsidRPr="00BC38E9" w:rsidRDefault="00B442CD" w:rsidP="004216E6">
      <w:pPr>
        <w:pStyle w:val="NormalHanging12a"/>
        <w:ind w:firstLine="0"/>
      </w:pPr>
      <w:r w:rsidRPr="00BC38E9">
        <w:t>a)</w:t>
      </w:r>
      <w:r w:rsidRPr="00BC38E9">
        <w:tab/>
        <w:t>Reafirme o firme compromisso da UE relativo à igualdade de género e garanta que os direitos das mulheres sejam plenamente aplicados em todos os aspetos da ação externa da UE através de uma abordagem adequadamente financiada, transformadora em termos de género, inclusiva e interseccional;</w:t>
      </w:r>
    </w:p>
    <w:p w14:paraId="556A1F2D" w14:textId="77777777" w:rsidR="004216E6" w:rsidRPr="00BC38E9" w:rsidRDefault="00B442CD" w:rsidP="004216E6">
      <w:pPr>
        <w:pStyle w:val="NormalHanging12a"/>
        <w:ind w:firstLine="0"/>
      </w:pPr>
      <w:r w:rsidRPr="00BC38E9">
        <w:t>b)</w:t>
      </w:r>
      <w:r w:rsidRPr="00BC38E9">
        <w:tab/>
        <w:t>Vele pela plena participação do Parlamento e da sua Comissão dos Direitos da Mulher e da Igualdade dos Géneros no processo de tomada de decisão sobre a posição da UE na 70.ª sessão da Comissão das Nações Unidas sobre o Estatuto da Mulher; assegure que o Parlamento disponha de informações adequadas e de acesso ao documento de posição da UE antes das negociações; melhore ainda a cooperação interinstitucional, nomeadamente durante as negociações, para que as prioridades do Parlamento sejam devidamente integradas;</w:t>
      </w:r>
    </w:p>
    <w:p w14:paraId="633AE42D" w14:textId="77777777" w:rsidR="004216E6" w:rsidRPr="00BC38E9" w:rsidRDefault="00B442CD" w:rsidP="004216E6">
      <w:pPr>
        <w:pStyle w:val="NormalHanging12a"/>
        <w:ind w:firstLine="0"/>
      </w:pPr>
      <w:r w:rsidRPr="00BC38E9">
        <w:t>c)</w:t>
      </w:r>
      <w:r w:rsidRPr="00BC38E9">
        <w:tab/>
        <w:t>Manifeste o seu firme apoio ao trabalho da ONU Mulheres, que é um interveniente central no sistema das Nações Unidas para promover os direitos das mulheres em toda a sua diversidade e reunir todas as partes interessadas pertinentes, a fim de gerar mudanças políticas e coordenar as ações; inste todos os Estados membros da ONU, juntamente com a UE, a garantirem o financiamento adequado da ONU Mulheres;</w:t>
      </w:r>
    </w:p>
    <w:p w14:paraId="65508297" w14:textId="77777777" w:rsidR="004216E6" w:rsidRPr="00BC38E9" w:rsidRDefault="00B442CD" w:rsidP="004216E6">
      <w:pPr>
        <w:pStyle w:val="NormalHanging12a"/>
        <w:ind w:firstLine="0"/>
      </w:pPr>
      <w:r w:rsidRPr="00BC38E9">
        <w:t>d)</w:t>
      </w:r>
      <w:r w:rsidRPr="00BC38E9">
        <w:tab/>
        <w:t>Assegure que os instrumentos europeus e internacionais sejam complementares e ambiciosos, com disposições sólidas e substantivas para empoderar as mulheres e garantir o acesso à justiça, e ter em conta que o direito a apoio judiciário é essencial neste contexto; assegure que a UE demonstre uma liderança forte e adote uma posição unificada em matéria de sistemas judiciais inclusivos e imparciais acessíveis a todos, em especial aos grupos desfavorecidos e vulneráveis de mulheres, que muitas vezes enfrentam obstáculos ao acesso à justiça devido a lacunas de capacidade institucional, razões socioculturais e discriminação; analise o estabelecimento de tribunais específicos para a violência de género; defenda quadros jurídicos abrangentes que protejam os direitos das mulheres e garantam a participação plena e equitativa das mulheres, tanto ao abrigo do direito nacional como do direito internacional;</w:t>
      </w:r>
    </w:p>
    <w:p w14:paraId="5CAEB871" w14:textId="77777777" w:rsidR="004216E6" w:rsidRPr="00BC38E9" w:rsidRDefault="00B442CD" w:rsidP="004216E6">
      <w:pPr>
        <w:pStyle w:val="NormalHanging12a"/>
        <w:ind w:firstLine="0"/>
      </w:pPr>
      <w:r w:rsidRPr="00BC38E9">
        <w:t>e)</w:t>
      </w:r>
      <w:r w:rsidRPr="00BC38E9">
        <w:tab/>
        <w:t xml:space="preserve">Aplique a integração da perspetiva de género e a orçamentação sensível ao género em todos os domínios de intervenção da UE, tal como a ação externa; saliente a necessidade de os Estados atribuírem financiamento suficiente para serviços de apoio e </w:t>
      </w:r>
      <w:r w:rsidRPr="00BC38E9">
        <w:lastRenderedPageBreak/>
        <w:t>assistência judiciária sensíveis às questões de género, especialmente para sobreviventes de violência de género, e acesso suficiente a indemnizações, uma vez que os obstáculos existentes afetam desproporcionadamente o acesso das mulheres à justiça;</w:t>
      </w:r>
    </w:p>
    <w:p w14:paraId="35E69BDF" w14:textId="77777777" w:rsidR="004216E6" w:rsidRPr="00BC38E9" w:rsidRDefault="00B442CD" w:rsidP="004216E6">
      <w:pPr>
        <w:pStyle w:val="NormalHanging12a"/>
        <w:ind w:firstLine="0"/>
      </w:pPr>
      <w:r w:rsidRPr="00BC38E9">
        <w:t>f)</w:t>
      </w:r>
      <w:r w:rsidRPr="00BC38E9">
        <w:tab/>
        <w:t>Acelere a execução dos compromissos internacionais no sentido de continuar a prevenir e a combater todas as formas de violência contra as mulheres e as jovens, tanto na esfera pública como privada, nomeadamente a mutilação genital feminina, o casamento forçado, a partilha não consensual de material íntimo ou manipulado, a ciberperseguição, o ciberassédio, o ciberexibicionismo e o incitamento à violência ou ao ódio em linha;</w:t>
      </w:r>
    </w:p>
    <w:p w14:paraId="6AF6852A" w14:textId="77777777" w:rsidR="004216E6" w:rsidRPr="00BC38E9" w:rsidRDefault="00B442CD" w:rsidP="004216E6">
      <w:pPr>
        <w:pStyle w:val="NormalHanging12a"/>
        <w:ind w:firstLine="0"/>
      </w:pPr>
      <w:r w:rsidRPr="00BC38E9">
        <w:t>g)</w:t>
      </w:r>
      <w:r w:rsidRPr="00BC38E9">
        <w:tab/>
        <w:t>Tome medidas para aplicar plenamente os compromissos existentes em matéria de igualdade de género e de empoderamento das mulheres, assegurando a proteção dos direitos humanos e das liberdades fundamentais das mulheres em condições de igualdade, sem discriminação, a fim de promover a sua participação na vida pública;</w:t>
      </w:r>
    </w:p>
    <w:p w14:paraId="0E5F7D38" w14:textId="77777777" w:rsidR="004216E6" w:rsidRPr="00BC38E9" w:rsidRDefault="00B442CD" w:rsidP="004216E6">
      <w:pPr>
        <w:pStyle w:val="NormalHanging12a"/>
        <w:ind w:firstLine="0"/>
      </w:pPr>
      <w:r w:rsidRPr="00BC38E9">
        <w:t>h)</w:t>
      </w:r>
      <w:r w:rsidRPr="00BC38E9">
        <w:tab/>
        <w:t>Saliente que os direitos das mulheres e a igualdade de género são direitos humanos fundamentais essenciais para o Estado de direito, democracias resilientes e inclusivas e os valores fundamentais da UE; saliente que é lamentável que milhões de mulheres e raparigas, especialmente em contextos de conflito e de deslocações forçadas, continuem a ser vítimas de discriminação, violência e negação da sua dignidade e da sua capacidade de decidir sobre o seu destino; reitere que a violação continua a ser um dos maiores atropelos dos direitos humanos mais generalizados a nível mundial; reitere a importância de uma legislação em matéria de violação assente no conceito de consentimento;</w:t>
      </w:r>
    </w:p>
    <w:p w14:paraId="0053829F" w14:textId="77777777" w:rsidR="004216E6" w:rsidRPr="00BC38E9" w:rsidRDefault="00B442CD" w:rsidP="004216E6">
      <w:pPr>
        <w:pStyle w:val="NormalHanging12a"/>
        <w:ind w:firstLine="0"/>
      </w:pPr>
      <w:r w:rsidRPr="00BC38E9">
        <w:t>i)</w:t>
      </w:r>
      <w:r w:rsidRPr="00BC38E9">
        <w:tab/>
      </w:r>
      <w:r w:rsidRPr="00BC38E9">
        <w:tab/>
        <w:t>Promova a representação das mulheres no sistema judicial e nos seus órgãos dirigentes, com vista a eliminar as barreiras estruturais perpetuadas por um sistema judicial patriarcal e androcêntrico;</w:t>
      </w:r>
    </w:p>
    <w:p w14:paraId="1EC6C6DC" w14:textId="52684050" w:rsidR="004216E6" w:rsidRPr="00BC38E9" w:rsidRDefault="00B442CD" w:rsidP="004216E6">
      <w:pPr>
        <w:pStyle w:val="NormalHanging12a"/>
      </w:pPr>
      <w:r w:rsidRPr="00BC38E9">
        <w:t>2.</w:t>
      </w:r>
      <w:r w:rsidRPr="00BC38E9">
        <w:tab/>
        <w:t>Encarrega a sua Presidente de transmitir a presente recomendação ao Conselho, à Comissão e à Vice</w:t>
      </w:r>
      <w:r w:rsidR="0090522F">
        <w:noBreakHyphen/>
      </w:r>
      <w:r w:rsidRPr="00BC38E9">
        <w:t>Presidente da Comissão/Alta Representante da União para os Negócios Estrangeiros e a Política de Segurança, bem como, para informação, à Representante Especial da União Europeia para os Direitos Humanos.</w:t>
      </w:r>
    </w:p>
    <w:p w14:paraId="4AC7A922" w14:textId="77777777" w:rsidR="00902C4B" w:rsidRPr="00BC38E9" w:rsidRDefault="00902C4B" w:rsidP="00FD4651">
      <w:pPr>
        <w:sectPr w:rsidR="00902C4B" w:rsidRPr="00BC38E9" w:rsidSect="00BC38E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68B062F4" w14:textId="77777777" w:rsidR="00902C4B" w:rsidRPr="00BC38E9" w:rsidRDefault="00B442CD" w:rsidP="00902C4B">
      <w:pPr>
        <w:pStyle w:val="PageHeading"/>
      </w:pPr>
      <w:bookmarkStart w:id="1" w:name="_Toc214610437"/>
      <w:r w:rsidRPr="00BC38E9">
        <w:t>EXPOSIÇÃO DE MOTIVOS</w:t>
      </w:r>
      <w:bookmarkEnd w:id="1"/>
    </w:p>
    <w:p w14:paraId="51D1102B" w14:textId="77777777" w:rsidR="00390253" w:rsidRPr="00BC38E9" w:rsidRDefault="00B442CD" w:rsidP="00390253">
      <w:r w:rsidRPr="00BC38E9">
        <w:t>A igualdade entre mulheres e homens é um princípio fundamental da União Europeia. A integração da perspetiva de género e uma abordagem interseccional devem ser aplicadas e integradas em todas as políticas da UE, assegurando a coerência entre a ação interna e externa, a fim de promover os direitos humanos, a democracia e a igualdade de género em todo o mundo. Os direitos humanos das mulheres e a igualdade de género não são apenas direitos fundamentais, mas também condições prévias para o desenvolvimento, para a redução da pobreza, e para a construção de sociedades pacíficas, prósperas e sustentáveis.</w:t>
      </w:r>
    </w:p>
    <w:p w14:paraId="5C66202E" w14:textId="77777777" w:rsidR="00390253" w:rsidRPr="00BC38E9" w:rsidRDefault="00390253" w:rsidP="00390253"/>
    <w:p w14:paraId="54ED6764" w14:textId="0FDF58E7" w:rsidR="00390253" w:rsidRPr="00BC38E9" w:rsidRDefault="00B442CD" w:rsidP="00390253">
      <w:r w:rsidRPr="00BC38E9">
        <w:t>O acesso à justiça, consagrado no direito internacional e no artigo 47.º da Carta dos Direitos Fundamentais da União Europeia, é fundamental para o Estado de direito e a democracia. Contudo, o acesso das mulheres à justiça continua a ser uma questão complexa e essencial em todas as regiões. As mulheres continuam a estar significativamente sub</w:t>
      </w:r>
      <w:r w:rsidR="0090522F">
        <w:noBreakHyphen/>
      </w:r>
      <w:r w:rsidRPr="00BC38E9">
        <w:t>representadas ao mais alto nível das autoridades judiciais e das autoridades competentes para o exercício da ação penal, em particular em cargos de liderança, como presidentes de tribunais, juízes presidentes e chefes de departamento do Ministério Público. Simultaneamente, a estereotipia judicial e as normas de género prevalecentes dificultam que a justiça seja feita relativamente às mulheres vítimas e sobreviventes de violência.</w:t>
      </w:r>
    </w:p>
    <w:p w14:paraId="32A449A3" w14:textId="77777777" w:rsidR="00390253" w:rsidRPr="00BC38E9" w:rsidRDefault="00390253" w:rsidP="00390253"/>
    <w:p w14:paraId="63A9B1AD" w14:textId="0281468F" w:rsidR="00390253" w:rsidRPr="00BC38E9" w:rsidRDefault="00B442CD" w:rsidP="00390253">
      <w:r w:rsidRPr="00BC38E9">
        <w:t>As Nações Unidas promoveram uma maior participação das mulheres no setor da justiça e os dados disponíveis mostram que uma maior representação das mulheres nas instituições judiciais promove abordagens da justiça mais centradas nas vítimas. Isto é particularmente pertinente na resposta a dar à violência contra as mulheres e à violência doméstica, que constituem violações dos direitos fundamentais. Os ordenamentos jurídicos devem ter capacidade de resposta em relação às necessidades das vítimas, assegurando proteção e vias de recurso adequadas, mas muitas mulheres continuam a deparar</w:t>
      </w:r>
      <w:r w:rsidR="0090522F">
        <w:noBreakHyphen/>
      </w:r>
      <w:r w:rsidRPr="00BC38E9">
        <w:t>se com obstáculos consideráveis na denúncia de abusos e no acesso ao apoio jurídico. Muitas mulheres e raparigas, em especial as que enfrentam formas múltiplas e interseccionais de discriminação, são confrontadas com o facto de o sistema judicial carecer de sensibilidade às realidades dos grupos vulneráveis.</w:t>
      </w:r>
    </w:p>
    <w:p w14:paraId="00123449" w14:textId="77777777" w:rsidR="00390253" w:rsidRPr="00BC38E9" w:rsidRDefault="00390253" w:rsidP="00390253"/>
    <w:p w14:paraId="556C805A" w14:textId="77777777" w:rsidR="00390253" w:rsidRPr="00BC38E9" w:rsidRDefault="00B442CD" w:rsidP="00390253">
      <w:r w:rsidRPr="00BC38E9">
        <w:t>Esta recomendação exorta o Conselho a reafirmar o compromisso da UE relativo à igualdade de género e garantir que os direitos das mulheres sejam plenamente aplicados em todos os aspetos da ação externa da UE através de uma abordagem inclusiva, interseccional e adequadamente financiada. Também salienta a necessidade da plena participação do Parlamento e da sua Comissão dos Direitos da Mulher e da Igualdade dos Géneros na elaboração da posição da UE na 70.ª sessão da Comissão das Nações Unidas sobre o Estatuto da Mulher;</w:t>
      </w:r>
    </w:p>
    <w:p w14:paraId="3E84E080" w14:textId="77777777" w:rsidR="00390253" w:rsidRPr="00BC38E9" w:rsidRDefault="00390253" w:rsidP="00390253"/>
    <w:p w14:paraId="0AA573E2" w14:textId="29469DE5" w:rsidR="00390253" w:rsidRPr="00BC38E9" w:rsidRDefault="00B442CD" w:rsidP="00390253">
      <w:r w:rsidRPr="00BC38E9">
        <w:t>A recomendação compromete</w:t>
      </w:r>
      <w:r w:rsidR="0090522F">
        <w:noBreakHyphen/>
      </w:r>
      <w:r w:rsidRPr="00BC38E9">
        <w:t>se ainda a apoiar firmemente a ONU Mulheres enquanto interveniente central no sistema da ONU para promover os direitos das mulheres e insta todos os Estados membros da ONU, juntamente com a UE, a disponibilizarem financiamento adequado. Sublinha a importância de instrumentos europeus e internacionais ambiciosos e complementares, com disposições sólidas para garantir o empoderamento das mulheres e o acesso à justiça, designadamente o acesso a apoio judiciário, e a importância de ponderar a criação de tribunais especializados para a violência de género. A proteção dos direitos das mulheres através de sistemas judiciais eficazes cria uma via para sociedades mais justas, em consonância com a execução efetiva da Agenda 2030 para o Desenvolvimento Sustentável (ODS 16).</w:t>
      </w:r>
    </w:p>
    <w:p w14:paraId="085B4F5D" w14:textId="77777777" w:rsidR="00390253" w:rsidRPr="00BC38E9" w:rsidRDefault="00390253" w:rsidP="00390253"/>
    <w:p w14:paraId="32006759" w14:textId="77777777" w:rsidR="00390253" w:rsidRPr="00BC38E9" w:rsidRDefault="00B442CD" w:rsidP="00390253">
      <w:r w:rsidRPr="00BC38E9">
        <w:t>Por último, a recomendação salienta a necessidade da integração da perspetiva de género e da orçamentação sensível ao género em todos os domínios de intervenção da UE, da aceleração dos compromissos internacionais para prevenir todas as formas de violência contra as mulheres e as raparigas e da promoção da representação equitativa das mulheres no sistema judicial. Os direitos das mulheres e a igualdade de género são essenciais para o Estado de direito, as democracias resilientes e os valores fundamentais da UE, e a União deve mostrar liderança ao assegurar que estes direitos são garantidos na prática. O acesso à justiça para todos é fundamental para sociedades justas e inclusivas e uma condição prévia para uma verdadeira igualdade de género e para a concretização dos direitos humanos.</w:t>
      </w:r>
    </w:p>
    <w:sectPr w:rsidR="00390253" w:rsidRPr="00BC38E9" w:rsidSect="008F067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13677" w14:textId="77777777" w:rsidR="00B442CD" w:rsidRPr="00BC38E9" w:rsidRDefault="00B442CD">
      <w:r w:rsidRPr="00BC38E9">
        <w:separator/>
      </w:r>
    </w:p>
  </w:endnote>
  <w:endnote w:type="continuationSeparator" w:id="0">
    <w:p w14:paraId="372B8ADE" w14:textId="77777777" w:rsidR="00B442CD" w:rsidRPr="00BC38E9" w:rsidRDefault="00B442CD">
      <w:r w:rsidRPr="00BC38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A4689" w14:textId="206BA5C9" w:rsidR="00BC38E9" w:rsidRPr="00BC38E9" w:rsidRDefault="00BC38E9" w:rsidP="00BC38E9">
    <w:pPr>
      <w:pStyle w:val="EPFooter"/>
    </w:pPr>
    <w:r w:rsidRPr="00BC38E9">
      <w:t>PE</w:t>
    </w:r>
    <w:r w:rsidRPr="00BC38E9">
      <w:rPr>
        <w:rStyle w:val="HideTWBExt"/>
      </w:rPr>
      <w:t>&lt;NoPE&gt;</w:t>
    </w:r>
    <w:r w:rsidRPr="00BC38E9">
      <w:t>776.895</w:t>
    </w:r>
    <w:r w:rsidRPr="00BC38E9">
      <w:rPr>
        <w:rStyle w:val="HideTWBExt"/>
      </w:rPr>
      <w:t>&lt;/NoPE&gt;&lt;Version&gt;</w:t>
    </w:r>
    <w:r w:rsidRPr="00BC38E9">
      <w:t>v02</w:t>
    </w:r>
    <w:r w:rsidR="0090522F">
      <w:noBreakHyphen/>
    </w:r>
    <w:r w:rsidRPr="00BC38E9">
      <w:t>00</w:t>
    </w:r>
    <w:r w:rsidRPr="00BC38E9">
      <w:rPr>
        <w:rStyle w:val="HideTWBExt"/>
      </w:rPr>
      <w:t>&lt;/Version&gt;</w:t>
    </w:r>
    <w:r w:rsidRPr="00BC38E9">
      <w:tab/>
    </w:r>
    <w:r w:rsidRPr="00BC38E9">
      <w:fldChar w:fldCharType="begin"/>
    </w:r>
    <w:r w:rsidRPr="00BC38E9">
      <w:instrText xml:space="preserve"> PAGE  \* MERGEFORMAT </w:instrText>
    </w:r>
    <w:r w:rsidRPr="00BC38E9">
      <w:fldChar w:fldCharType="separate"/>
    </w:r>
    <w:r w:rsidRPr="00BC38E9">
      <w:rPr>
        <w:noProof/>
      </w:rPr>
      <w:t>2</w:t>
    </w:r>
    <w:r w:rsidRPr="00BC38E9">
      <w:fldChar w:fldCharType="end"/>
    </w:r>
    <w:r w:rsidRPr="00BC38E9">
      <w:t>/</w:t>
    </w:r>
    <w:r w:rsidR="00545D8F">
      <w:fldChar w:fldCharType="begin"/>
    </w:r>
    <w:r w:rsidR="00545D8F">
      <w:instrText xml:space="preserve"> NUMPAGES  \* MERGEFORMAT </w:instrText>
    </w:r>
    <w:r w:rsidR="00545D8F">
      <w:fldChar w:fldCharType="separate"/>
    </w:r>
    <w:r w:rsidRPr="00BC38E9">
      <w:rPr>
        <w:noProof/>
      </w:rPr>
      <w:t>8</w:t>
    </w:r>
    <w:r w:rsidR="00545D8F">
      <w:rPr>
        <w:noProof/>
      </w:rPr>
      <w:fldChar w:fldCharType="end"/>
    </w:r>
    <w:r w:rsidRPr="00BC38E9">
      <w:tab/>
    </w:r>
    <w:r w:rsidRPr="00BC38E9">
      <w:rPr>
        <w:rStyle w:val="HideTWBExt"/>
      </w:rPr>
      <w:t>&lt;PathFdR&gt;</w:t>
    </w:r>
    <w:r w:rsidRPr="00BC38E9">
      <w:t>PR\1332470PT.docx</w:t>
    </w:r>
    <w:r w:rsidRPr="00BC38E9">
      <w:rPr>
        <w:rStyle w:val="HideTWBExt"/>
      </w:rPr>
      <w:t>&lt;/PathFdR&gt;</w:t>
    </w:r>
  </w:p>
  <w:p w14:paraId="4DCB23AE" w14:textId="6CEB2D8F" w:rsidR="00144AD8" w:rsidRPr="00BC38E9" w:rsidRDefault="00BC38E9" w:rsidP="00BC38E9">
    <w:pPr>
      <w:pStyle w:val="EPFooter2"/>
    </w:pPr>
    <w:r w:rsidRPr="00BC38E9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C16EC" w14:textId="60D8C6A6" w:rsidR="00BC38E9" w:rsidRPr="00BC38E9" w:rsidRDefault="00BC38E9" w:rsidP="00BC38E9">
    <w:pPr>
      <w:pStyle w:val="EPFooter"/>
    </w:pPr>
    <w:r w:rsidRPr="00BC38E9">
      <w:rPr>
        <w:rStyle w:val="HideTWBExt"/>
      </w:rPr>
      <w:t>&lt;PathFdR&gt;</w:t>
    </w:r>
    <w:r w:rsidRPr="00BC38E9">
      <w:t>PR\1332470PT.docx</w:t>
    </w:r>
    <w:r w:rsidRPr="00BC38E9">
      <w:rPr>
        <w:rStyle w:val="HideTWBExt"/>
      </w:rPr>
      <w:t>&lt;/PathFdR&gt;</w:t>
    </w:r>
    <w:r w:rsidRPr="00BC38E9">
      <w:tab/>
    </w:r>
    <w:r w:rsidRPr="00BC38E9">
      <w:fldChar w:fldCharType="begin"/>
    </w:r>
    <w:r w:rsidRPr="00BC38E9">
      <w:instrText xml:space="preserve"> PAGE  \* MERGEFORMAT </w:instrText>
    </w:r>
    <w:r w:rsidRPr="00BC38E9">
      <w:fldChar w:fldCharType="separate"/>
    </w:r>
    <w:r w:rsidRPr="00BC38E9">
      <w:rPr>
        <w:noProof/>
      </w:rPr>
      <w:t>7</w:t>
    </w:r>
    <w:r w:rsidRPr="00BC38E9">
      <w:fldChar w:fldCharType="end"/>
    </w:r>
    <w:r w:rsidRPr="00BC38E9">
      <w:t>/</w:t>
    </w:r>
    <w:r w:rsidR="00545D8F">
      <w:fldChar w:fldCharType="begin"/>
    </w:r>
    <w:r w:rsidR="00545D8F">
      <w:instrText xml:space="preserve"> NUMPAGES  \* MERGEFORMAT </w:instrText>
    </w:r>
    <w:r w:rsidR="00545D8F">
      <w:fldChar w:fldCharType="separate"/>
    </w:r>
    <w:r w:rsidRPr="00BC38E9">
      <w:rPr>
        <w:noProof/>
      </w:rPr>
      <w:t>8</w:t>
    </w:r>
    <w:r w:rsidR="00545D8F">
      <w:rPr>
        <w:noProof/>
      </w:rPr>
      <w:fldChar w:fldCharType="end"/>
    </w:r>
    <w:r w:rsidRPr="00BC38E9">
      <w:tab/>
      <w:t>PE</w:t>
    </w:r>
    <w:r w:rsidRPr="00BC38E9">
      <w:rPr>
        <w:rStyle w:val="HideTWBExt"/>
      </w:rPr>
      <w:t>&lt;NoPE&gt;</w:t>
    </w:r>
    <w:r w:rsidRPr="00BC38E9">
      <w:t>776.895</w:t>
    </w:r>
    <w:r w:rsidRPr="00BC38E9">
      <w:rPr>
        <w:rStyle w:val="HideTWBExt"/>
      </w:rPr>
      <w:t>&lt;/NoPE&gt;&lt;Version&gt;</w:t>
    </w:r>
    <w:r w:rsidRPr="00BC38E9">
      <w:t>v02</w:t>
    </w:r>
    <w:r w:rsidR="0090522F">
      <w:noBreakHyphen/>
    </w:r>
    <w:r w:rsidRPr="00BC38E9">
      <w:t>00</w:t>
    </w:r>
    <w:r w:rsidRPr="00BC38E9">
      <w:rPr>
        <w:rStyle w:val="HideTWBExt"/>
      </w:rPr>
      <w:t>&lt;/Version&gt;</w:t>
    </w:r>
  </w:p>
  <w:p w14:paraId="096B0B56" w14:textId="4F091799" w:rsidR="00144AD8" w:rsidRPr="00BC38E9" w:rsidRDefault="00BC38E9" w:rsidP="00BC38E9">
    <w:pPr>
      <w:pStyle w:val="EPFooter2"/>
    </w:pPr>
    <w:r w:rsidRPr="00BC38E9">
      <w:tab/>
    </w:r>
    <w:r w:rsidRPr="00BC38E9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0CF18" w14:textId="5F96672E" w:rsidR="00BC38E9" w:rsidRPr="00BC38E9" w:rsidRDefault="00BC38E9" w:rsidP="00BC38E9">
    <w:pPr>
      <w:pStyle w:val="EPFooter"/>
    </w:pPr>
    <w:r w:rsidRPr="00BC38E9">
      <w:rPr>
        <w:rStyle w:val="HideTWBExt"/>
      </w:rPr>
      <w:t>&lt;PathFdR&gt;</w:t>
    </w:r>
    <w:r w:rsidRPr="00BC38E9">
      <w:t>PR\1332470PT.docx</w:t>
    </w:r>
    <w:r w:rsidRPr="00BC38E9">
      <w:rPr>
        <w:rStyle w:val="HideTWBExt"/>
      </w:rPr>
      <w:t>&lt;/PathFdR&gt;</w:t>
    </w:r>
    <w:r w:rsidRPr="00BC38E9">
      <w:tab/>
    </w:r>
    <w:r w:rsidRPr="00BC38E9">
      <w:tab/>
      <w:t>PE</w:t>
    </w:r>
    <w:r w:rsidRPr="00BC38E9">
      <w:rPr>
        <w:rStyle w:val="HideTWBExt"/>
      </w:rPr>
      <w:t>&lt;NoPE&gt;</w:t>
    </w:r>
    <w:r w:rsidRPr="00BC38E9">
      <w:t>776.895</w:t>
    </w:r>
    <w:r w:rsidRPr="00BC38E9">
      <w:rPr>
        <w:rStyle w:val="HideTWBExt"/>
      </w:rPr>
      <w:t>&lt;/NoPE&gt;&lt;Version&gt;</w:t>
    </w:r>
    <w:r w:rsidRPr="00BC38E9">
      <w:t>v02</w:t>
    </w:r>
    <w:r w:rsidR="0090522F">
      <w:noBreakHyphen/>
    </w:r>
    <w:r w:rsidRPr="00BC38E9">
      <w:t>00</w:t>
    </w:r>
    <w:r w:rsidRPr="00BC38E9">
      <w:rPr>
        <w:rStyle w:val="HideTWBExt"/>
      </w:rPr>
      <w:t>&lt;/Version&gt;</w:t>
    </w:r>
  </w:p>
  <w:p w14:paraId="24F7AF66" w14:textId="4B168141" w:rsidR="00144AD8" w:rsidRPr="00BC38E9" w:rsidRDefault="00BC38E9" w:rsidP="00BC38E9">
    <w:pPr>
      <w:pStyle w:val="EPFooter2"/>
    </w:pPr>
    <w:r w:rsidRPr="00BC38E9">
      <w:t>PT</w:t>
    </w:r>
    <w:r w:rsidRPr="00BC38E9">
      <w:tab/>
    </w:r>
    <w:r w:rsidRPr="00BC38E9">
      <w:rPr>
        <w:b w:val="0"/>
        <w:i/>
        <w:color w:val="C0C0C0"/>
        <w:sz w:val="22"/>
      </w:rPr>
      <w:t>Unida na diversidade</w:t>
    </w:r>
    <w:r w:rsidRPr="00BC38E9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F8088" w14:textId="77777777" w:rsidR="00D3400F" w:rsidRPr="00BC38E9" w:rsidRDefault="00B442CD">
      <w:r w:rsidRPr="00BC38E9">
        <w:separator/>
      </w:r>
    </w:p>
  </w:footnote>
  <w:footnote w:type="continuationSeparator" w:id="0">
    <w:p w14:paraId="273C0802" w14:textId="77777777" w:rsidR="00D3400F" w:rsidRPr="00BC38E9" w:rsidRDefault="00B442CD">
      <w:r w:rsidRPr="00BC38E9">
        <w:continuationSeparator/>
      </w:r>
    </w:p>
  </w:footnote>
  <w:footnote w:id="1">
    <w:p w14:paraId="24B975C1" w14:textId="74556B23" w:rsidR="00F92A4A" w:rsidRPr="00BC38E9" w:rsidRDefault="00B442CD">
      <w:pPr>
        <w:pStyle w:val="FootnoteText"/>
      </w:pPr>
      <w:r w:rsidRPr="00BC38E9">
        <w:rPr>
          <w:rStyle w:val="FootnoteReference"/>
        </w:rPr>
        <w:footnoteRef/>
      </w:r>
      <w:r w:rsidRPr="00BC38E9">
        <w:t xml:space="preserve"> JO L 315 de 14.11.2012, p. 57, ELI: </w:t>
      </w:r>
      <w:hyperlink r:id="rId1" w:tooltip="Dá acesso a este documento através do URI do ELI." w:history="1">
        <w:r w:rsidRPr="00BC38E9">
          <w:rPr>
            <w:rStyle w:val="Hyperlink"/>
          </w:rPr>
          <w:t>http://data.europa.eu/eli/dir/2012/29/oj</w:t>
        </w:r>
      </w:hyperlink>
      <w:r w:rsidRPr="00BC38E9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B090A" w14:textId="77777777" w:rsidR="0090522F" w:rsidRDefault="009052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B737F" w14:textId="77777777" w:rsidR="0090522F" w:rsidRDefault="009052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93369" w14:textId="77777777" w:rsidR="0090522F" w:rsidRDefault="009052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D90B9F"/>
    <w:multiLevelType w:val="hybridMultilevel"/>
    <w:tmpl w:val="2D185E42"/>
    <w:lvl w:ilvl="0" w:tplc="311C7404">
      <w:start w:val="1"/>
      <w:numFmt w:val="upperLetter"/>
      <w:lvlText w:val="%1."/>
      <w:lvlJc w:val="left"/>
      <w:pPr>
        <w:ind w:left="720" w:hanging="360"/>
      </w:pPr>
    </w:lvl>
    <w:lvl w:ilvl="1" w:tplc="25D6F366">
      <w:start w:val="1"/>
      <w:numFmt w:val="lowerLetter"/>
      <w:lvlText w:val="%2."/>
      <w:lvlJc w:val="left"/>
      <w:pPr>
        <w:ind w:left="1440" w:hanging="360"/>
      </w:pPr>
    </w:lvl>
    <w:lvl w:ilvl="2" w:tplc="1F822F3E">
      <w:start w:val="1"/>
      <w:numFmt w:val="lowerRoman"/>
      <w:lvlText w:val="%3."/>
      <w:lvlJc w:val="right"/>
      <w:pPr>
        <w:ind w:left="2160" w:hanging="180"/>
      </w:pPr>
    </w:lvl>
    <w:lvl w:ilvl="3" w:tplc="A3522C30">
      <w:start w:val="1"/>
      <w:numFmt w:val="decimal"/>
      <w:lvlText w:val="%4."/>
      <w:lvlJc w:val="left"/>
      <w:pPr>
        <w:ind w:left="2880" w:hanging="360"/>
      </w:pPr>
    </w:lvl>
    <w:lvl w:ilvl="4" w:tplc="B5F88DBC">
      <w:start w:val="1"/>
      <w:numFmt w:val="lowerLetter"/>
      <w:lvlText w:val="%5."/>
      <w:lvlJc w:val="left"/>
      <w:pPr>
        <w:ind w:left="3600" w:hanging="360"/>
      </w:pPr>
    </w:lvl>
    <w:lvl w:ilvl="5" w:tplc="C7185D18">
      <w:start w:val="1"/>
      <w:numFmt w:val="lowerRoman"/>
      <w:lvlText w:val="%6."/>
      <w:lvlJc w:val="right"/>
      <w:pPr>
        <w:ind w:left="4320" w:hanging="180"/>
      </w:pPr>
    </w:lvl>
    <w:lvl w:ilvl="6" w:tplc="D006FD0A">
      <w:start w:val="1"/>
      <w:numFmt w:val="decimal"/>
      <w:lvlText w:val="%7."/>
      <w:lvlJc w:val="left"/>
      <w:pPr>
        <w:ind w:left="5040" w:hanging="360"/>
      </w:pPr>
    </w:lvl>
    <w:lvl w:ilvl="7" w:tplc="2D7C609A">
      <w:start w:val="1"/>
      <w:numFmt w:val="lowerLetter"/>
      <w:lvlText w:val="%8."/>
      <w:lvlJc w:val="left"/>
      <w:pPr>
        <w:ind w:left="5760" w:hanging="360"/>
      </w:pPr>
    </w:lvl>
    <w:lvl w:ilvl="8" w:tplc="4FCCA27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DF5FFC"/>
    <w:multiLevelType w:val="hybridMultilevel"/>
    <w:tmpl w:val="3ED85424"/>
    <w:lvl w:ilvl="0" w:tplc="55DEAB22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B734E4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D8D1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AA81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80CB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F0FA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426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0273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BE63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733C1"/>
    <w:multiLevelType w:val="hybridMultilevel"/>
    <w:tmpl w:val="82A8040E"/>
    <w:lvl w:ilvl="0" w:tplc="37482A0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522EC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4848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F61F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FA260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B033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3E9C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3ECD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5EF9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5B2F11"/>
    <w:multiLevelType w:val="hybridMultilevel"/>
    <w:tmpl w:val="C00CFDFA"/>
    <w:lvl w:ilvl="0" w:tplc="82D826EC">
      <w:start w:val="1"/>
      <w:numFmt w:val="lowerLetter"/>
      <w:lvlText w:val="%1)"/>
      <w:lvlJc w:val="left"/>
      <w:pPr>
        <w:ind w:left="720" w:hanging="360"/>
      </w:pPr>
    </w:lvl>
    <w:lvl w:ilvl="1" w:tplc="7EF633BA">
      <w:start w:val="1"/>
      <w:numFmt w:val="lowerLetter"/>
      <w:lvlText w:val="%2."/>
      <w:lvlJc w:val="left"/>
      <w:pPr>
        <w:ind w:left="1440" w:hanging="360"/>
      </w:pPr>
    </w:lvl>
    <w:lvl w:ilvl="2" w:tplc="F87C4C84">
      <w:start w:val="1"/>
      <w:numFmt w:val="lowerRoman"/>
      <w:lvlText w:val="%3."/>
      <w:lvlJc w:val="right"/>
      <w:pPr>
        <w:ind w:left="2160" w:hanging="180"/>
      </w:pPr>
    </w:lvl>
    <w:lvl w:ilvl="3" w:tplc="F7B09E5C">
      <w:start w:val="1"/>
      <w:numFmt w:val="decimal"/>
      <w:lvlText w:val="%4."/>
      <w:lvlJc w:val="left"/>
      <w:pPr>
        <w:ind w:left="2880" w:hanging="360"/>
      </w:pPr>
    </w:lvl>
    <w:lvl w:ilvl="4" w:tplc="CAC0C078">
      <w:start w:val="1"/>
      <w:numFmt w:val="lowerLetter"/>
      <w:lvlText w:val="%5."/>
      <w:lvlJc w:val="left"/>
      <w:pPr>
        <w:ind w:left="3600" w:hanging="360"/>
      </w:pPr>
    </w:lvl>
    <w:lvl w:ilvl="5" w:tplc="720A7506">
      <w:start w:val="1"/>
      <w:numFmt w:val="lowerRoman"/>
      <w:lvlText w:val="%6."/>
      <w:lvlJc w:val="right"/>
      <w:pPr>
        <w:ind w:left="4320" w:hanging="180"/>
      </w:pPr>
    </w:lvl>
    <w:lvl w:ilvl="6" w:tplc="DA207AEE">
      <w:start w:val="1"/>
      <w:numFmt w:val="decimal"/>
      <w:lvlText w:val="%7."/>
      <w:lvlJc w:val="left"/>
      <w:pPr>
        <w:ind w:left="5040" w:hanging="360"/>
      </w:pPr>
    </w:lvl>
    <w:lvl w:ilvl="7" w:tplc="A28697BC">
      <w:start w:val="1"/>
      <w:numFmt w:val="lowerLetter"/>
      <w:lvlText w:val="%8."/>
      <w:lvlJc w:val="left"/>
      <w:pPr>
        <w:ind w:left="5760" w:hanging="360"/>
      </w:pPr>
    </w:lvl>
    <w:lvl w:ilvl="8" w:tplc="79DA0302">
      <w:start w:val="1"/>
      <w:numFmt w:val="lowerRoman"/>
      <w:lvlText w:val="%9."/>
      <w:lvlJc w:val="right"/>
      <w:pPr>
        <w:ind w:left="6480" w:hanging="180"/>
      </w:pPr>
    </w:lvl>
  </w:abstractNum>
  <w:num w:numId="1" w16cid:durableId="1191797057">
    <w:abstractNumId w:val="9"/>
  </w:num>
  <w:num w:numId="2" w16cid:durableId="1162887863">
    <w:abstractNumId w:val="9"/>
  </w:num>
  <w:num w:numId="3" w16cid:durableId="57366499">
    <w:abstractNumId w:val="7"/>
  </w:num>
  <w:num w:numId="4" w16cid:durableId="436606001">
    <w:abstractNumId w:val="7"/>
  </w:num>
  <w:num w:numId="5" w16cid:durableId="1165165287">
    <w:abstractNumId w:val="6"/>
  </w:num>
  <w:num w:numId="6" w16cid:durableId="1779061856">
    <w:abstractNumId w:val="6"/>
  </w:num>
  <w:num w:numId="7" w16cid:durableId="2137216953">
    <w:abstractNumId w:val="5"/>
  </w:num>
  <w:num w:numId="8" w16cid:durableId="1532111925">
    <w:abstractNumId w:val="5"/>
  </w:num>
  <w:num w:numId="9" w16cid:durableId="566039089">
    <w:abstractNumId w:val="4"/>
  </w:num>
  <w:num w:numId="10" w16cid:durableId="647125523">
    <w:abstractNumId w:val="4"/>
  </w:num>
  <w:num w:numId="11" w16cid:durableId="1122648178">
    <w:abstractNumId w:val="8"/>
  </w:num>
  <w:num w:numId="12" w16cid:durableId="1928343531">
    <w:abstractNumId w:val="8"/>
  </w:num>
  <w:num w:numId="13" w16cid:durableId="215701509">
    <w:abstractNumId w:val="3"/>
  </w:num>
  <w:num w:numId="14" w16cid:durableId="978025668">
    <w:abstractNumId w:val="3"/>
  </w:num>
  <w:num w:numId="15" w16cid:durableId="1747531408">
    <w:abstractNumId w:val="2"/>
  </w:num>
  <w:num w:numId="16" w16cid:durableId="1457795142">
    <w:abstractNumId w:val="2"/>
  </w:num>
  <w:num w:numId="17" w16cid:durableId="1248493009">
    <w:abstractNumId w:val="1"/>
  </w:num>
  <w:num w:numId="18" w16cid:durableId="1688753840">
    <w:abstractNumId w:val="1"/>
  </w:num>
  <w:num w:numId="19" w16cid:durableId="434062385">
    <w:abstractNumId w:val="0"/>
  </w:num>
  <w:num w:numId="20" w16cid:durableId="596328263">
    <w:abstractNumId w:val="0"/>
  </w:num>
  <w:num w:numId="21" w16cid:durableId="763301141">
    <w:abstractNumId w:val="9"/>
  </w:num>
  <w:num w:numId="22" w16cid:durableId="1876427258">
    <w:abstractNumId w:val="7"/>
  </w:num>
  <w:num w:numId="23" w16cid:durableId="219172838">
    <w:abstractNumId w:val="6"/>
  </w:num>
  <w:num w:numId="24" w16cid:durableId="1320231647">
    <w:abstractNumId w:val="5"/>
  </w:num>
  <w:num w:numId="25" w16cid:durableId="607349351">
    <w:abstractNumId w:val="4"/>
  </w:num>
  <w:num w:numId="26" w16cid:durableId="895581408">
    <w:abstractNumId w:val="8"/>
  </w:num>
  <w:num w:numId="27" w16cid:durableId="1464687739">
    <w:abstractNumId w:val="3"/>
  </w:num>
  <w:num w:numId="28" w16cid:durableId="869562472">
    <w:abstractNumId w:val="2"/>
  </w:num>
  <w:num w:numId="29" w16cid:durableId="1633900284">
    <w:abstractNumId w:val="1"/>
  </w:num>
  <w:num w:numId="30" w16cid:durableId="1083530876">
    <w:abstractNumId w:val="0"/>
  </w:num>
  <w:num w:numId="31" w16cid:durableId="1185896692">
    <w:abstractNumId w:val="9"/>
  </w:num>
  <w:num w:numId="32" w16cid:durableId="1060447434">
    <w:abstractNumId w:val="7"/>
  </w:num>
  <w:num w:numId="33" w16cid:durableId="1154875675">
    <w:abstractNumId w:val="6"/>
  </w:num>
  <w:num w:numId="34" w16cid:durableId="858279285">
    <w:abstractNumId w:val="5"/>
  </w:num>
  <w:num w:numId="35" w16cid:durableId="2056201424">
    <w:abstractNumId w:val="4"/>
  </w:num>
  <w:num w:numId="36" w16cid:durableId="560407856">
    <w:abstractNumId w:val="8"/>
  </w:num>
  <w:num w:numId="37" w16cid:durableId="1728842512">
    <w:abstractNumId w:val="3"/>
  </w:num>
  <w:num w:numId="38" w16cid:durableId="35546412">
    <w:abstractNumId w:val="2"/>
  </w:num>
  <w:num w:numId="39" w16cid:durableId="964389001">
    <w:abstractNumId w:val="1"/>
  </w:num>
  <w:num w:numId="40" w16cid:durableId="2128546685">
    <w:abstractNumId w:val="0"/>
  </w:num>
  <w:num w:numId="41" w16cid:durableId="184441767">
    <w:abstractNumId w:val="12"/>
  </w:num>
  <w:num w:numId="42" w16cid:durableId="6540733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3642819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0121509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KEY" w:val="FEMM"/>
    <w:docVar w:name="INSTMNU" w:val=" 1"/>
    <w:docVar w:name="LastEditedSection" w:val=" 1"/>
    <w:docVar w:name="strDocTypeID" w:val="PR_INI_RecommCFSP"/>
    <w:docVar w:name="strSubDir" w:val="1332"/>
    <w:docVar w:name="TXTLANGUE" w:val="PT"/>
    <w:docVar w:name="TXTLANGUEMIN" w:val="pt"/>
    <w:docVar w:name="TXTNRINI" w:val="2025/0000"/>
    <w:docVar w:name="TXTNRPE" w:val="776.895"/>
    <w:docVar w:name="TXTPEorAP" w:val="PE"/>
    <w:docVar w:name="TXTROUTE" w:val="PR\1332470PT.docx"/>
    <w:docVar w:name="TXTTITLE" w:val="the EU priorities for the 70th session of the UN Commission on the Status of Women"/>
    <w:docVar w:name="TXTVERSION" w:val="02-00"/>
  </w:docVars>
  <w:rsids>
    <w:rsidRoot w:val="00D3400F"/>
    <w:rsid w:val="000005E5"/>
    <w:rsid w:val="00001993"/>
    <w:rsid w:val="00005D56"/>
    <w:rsid w:val="00010437"/>
    <w:rsid w:val="00020ED8"/>
    <w:rsid w:val="000239F7"/>
    <w:rsid w:val="00025F31"/>
    <w:rsid w:val="00105305"/>
    <w:rsid w:val="00144AD8"/>
    <w:rsid w:val="001533B4"/>
    <w:rsid w:val="00160F77"/>
    <w:rsid w:val="00173DC5"/>
    <w:rsid w:val="001748A3"/>
    <w:rsid w:val="001815BB"/>
    <w:rsid w:val="001876BE"/>
    <w:rsid w:val="001944B2"/>
    <w:rsid w:val="001A6651"/>
    <w:rsid w:val="001B22EB"/>
    <w:rsid w:val="001B6AE5"/>
    <w:rsid w:val="00225562"/>
    <w:rsid w:val="00234B03"/>
    <w:rsid w:val="0024591C"/>
    <w:rsid w:val="00267945"/>
    <w:rsid w:val="00281021"/>
    <w:rsid w:val="002C0BF6"/>
    <w:rsid w:val="00300BF7"/>
    <w:rsid w:val="00310F0B"/>
    <w:rsid w:val="003121D1"/>
    <w:rsid w:val="003253FD"/>
    <w:rsid w:val="0032649C"/>
    <w:rsid w:val="0037604E"/>
    <w:rsid w:val="00387C58"/>
    <w:rsid w:val="00390253"/>
    <w:rsid w:val="00392F42"/>
    <w:rsid w:val="00393B38"/>
    <w:rsid w:val="003D0074"/>
    <w:rsid w:val="004216E6"/>
    <w:rsid w:val="00434A68"/>
    <w:rsid w:val="00451A82"/>
    <w:rsid w:val="004A388E"/>
    <w:rsid w:val="004A5141"/>
    <w:rsid w:val="004D5F5D"/>
    <w:rsid w:val="005133F6"/>
    <w:rsid w:val="00545D8F"/>
    <w:rsid w:val="005577F1"/>
    <w:rsid w:val="00575311"/>
    <w:rsid w:val="0058789A"/>
    <w:rsid w:val="005E5A0F"/>
    <w:rsid w:val="006067F0"/>
    <w:rsid w:val="0061137D"/>
    <w:rsid w:val="0062719E"/>
    <w:rsid w:val="00627DF1"/>
    <w:rsid w:val="00636FA9"/>
    <w:rsid w:val="00651102"/>
    <w:rsid w:val="00686DFF"/>
    <w:rsid w:val="0069495A"/>
    <w:rsid w:val="00696C67"/>
    <w:rsid w:val="006A7D5C"/>
    <w:rsid w:val="006C1E65"/>
    <w:rsid w:val="006D4C8E"/>
    <w:rsid w:val="006E363A"/>
    <w:rsid w:val="006F094F"/>
    <w:rsid w:val="006F2AF3"/>
    <w:rsid w:val="00724B9E"/>
    <w:rsid w:val="00747A00"/>
    <w:rsid w:val="007622DB"/>
    <w:rsid w:val="007A12A3"/>
    <w:rsid w:val="007C4764"/>
    <w:rsid w:val="007F392E"/>
    <w:rsid w:val="00801386"/>
    <w:rsid w:val="0081489C"/>
    <w:rsid w:val="0083042A"/>
    <w:rsid w:val="00855A58"/>
    <w:rsid w:val="0086407B"/>
    <w:rsid w:val="00865AB2"/>
    <w:rsid w:val="00866906"/>
    <w:rsid w:val="008B64B6"/>
    <w:rsid w:val="008F067F"/>
    <w:rsid w:val="00902C4B"/>
    <w:rsid w:val="0090522F"/>
    <w:rsid w:val="009062FC"/>
    <w:rsid w:val="009302EC"/>
    <w:rsid w:val="00931782"/>
    <w:rsid w:val="009340AC"/>
    <w:rsid w:val="00941E95"/>
    <w:rsid w:val="0097457B"/>
    <w:rsid w:val="009907C2"/>
    <w:rsid w:val="009B3734"/>
    <w:rsid w:val="00A144CA"/>
    <w:rsid w:val="00A22B21"/>
    <w:rsid w:val="00A6377C"/>
    <w:rsid w:val="00A74837"/>
    <w:rsid w:val="00AA1FF4"/>
    <w:rsid w:val="00AA5FA9"/>
    <w:rsid w:val="00AE302F"/>
    <w:rsid w:val="00AF2187"/>
    <w:rsid w:val="00AF289B"/>
    <w:rsid w:val="00B10048"/>
    <w:rsid w:val="00B26C55"/>
    <w:rsid w:val="00B442CD"/>
    <w:rsid w:val="00B5366B"/>
    <w:rsid w:val="00B6527B"/>
    <w:rsid w:val="00B6642B"/>
    <w:rsid w:val="00B669D2"/>
    <w:rsid w:val="00B801FB"/>
    <w:rsid w:val="00BC0749"/>
    <w:rsid w:val="00BC38E9"/>
    <w:rsid w:val="00BD0C84"/>
    <w:rsid w:val="00BE7750"/>
    <w:rsid w:val="00C255BD"/>
    <w:rsid w:val="00C3019B"/>
    <w:rsid w:val="00C47D1A"/>
    <w:rsid w:val="00C7235E"/>
    <w:rsid w:val="00C7360B"/>
    <w:rsid w:val="00C85D0F"/>
    <w:rsid w:val="00CA0DE5"/>
    <w:rsid w:val="00CB2AC0"/>
    <w:rsid w:val="00D31D51"/>
    <w:rsid w:val="00D3400F"/>
    <w:rsid w:val="00D349C1"/>
    <w:rsid w:val="00D860C1"/>
    <w:rsid w:val="00D94189"/>
    <w:rsid w:val="00DD2EF4"/>
    <w:rsid w:val="00E048E2"/>
    <w:rsid w:val="00E05579"/>
    <w:rsid w:val="00E24005"/>
    <w:rsid w:val="00E24484"/>
    <w:rsid w:val="00E26C78"/>
    <w:rsid w:val="00E34F46"/>
    <w:rsid w:val="00EA624D"/>
    <w:rsid w:val="00EC07AD"/>
    <w:rsid w:val="00F01801"/>
    <w:rsid w:val="00F0502F"/>
    <w:rsid w:val="00F25BBD"/>
    <w:rsid w:val="00F53123"/>
    <w:rsid w:val="00F65426"/>
    <w:rsid w:val="00F8084D"/>
    <w:rsid w:val="00F92A4A"/>
    <w:rsid w:val="00F955E5"/>
    <w:rsid w:val="00FA7E38"/>
    <w:rsid w:val="00FC504F"/>
    <w:rsid w:val="00FC5F47"/>
    <w:rsid w:val="00FC6D7B"/>
    <w:rsid w:val="00FD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AB8CF2"/>
  <w15:chartTrackingRefBased/>
  <w15:docId w15:val="{AED6FFF9-FF7B-4D20-9E32-4847834E9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4B0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144CA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05D5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Name">
    <w:name w:val="EPName"/>
    <w:basedOn w:val="Normal"/>
    <w:rsid w:val="009340AC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C47D1A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E363A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C47D1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6D4C8E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table" w:styleId="TableGrid">
    <w:name w:val="Table Grid"/>
    <w:basedOn w:val="TableNormal"/>
    <w:rsid w:val="00C72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235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235E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235E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340AC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340AC"/>
    <w:pPr>
      <w:jc w:val="right"/>
    </w:pPr>
  </w:style>
  <w:style w:type="paragraph" w:customStyle="1" w:styleId="EPFooter">
    <w:name w:val="EPFooter"/>
    <w:basedOn w:val="Normal"/>
    <w:rsid w:val="00C47D1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6D4C8E"/>
    <w:rPr>
      <w:sz w:val="24"/>
    </w:rPr>
  </w:style>
  <w:style w:type="paragraph" w:customStyle="1" w:styleId="NormalHangingLeft12a">
    <w:name w:val="NormalHangingLeft12a"/>
    <w:basedOn w:val="Normal"/>
    <w:rsid w:val="00F65426"/>
    <w:pPr>
      <w:spacing w:after="240"/>
      <w:ind w:left="1134" w:hanging="567"/>
    </w:pPr>
  </w:style>
  <w:style w:type="paragraph" w:customStyle="1" w:styleId="Normal12a">
    <w:name w:val="Normal12a"/>
    <w:basedOn w:val="Normal"/>
    <w:rsid w:val="00902C4B"/>
    <w:pPr>
      <w:spacing w:after="240"/>
    </w:pPr>
  </w:style>
  <w:style w:type="paragraph" w:styleId="ListParagraph">
    <w:name w:val="List Paragraph"/>
    <w:basedOn w:val="Normal"/>
    <w:uiPriority w:val="34"/>
    <w:qFormat/>
    <w:rsid w:val="00941E95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941E95"/>
    <w:rPr>
      <w:sz w:val="24"/>
    </w:rPr>
  </w:style>
  <w:style w:type="paragraph" w:customStyle="1" w:styleId="Action">
    <w:name w:val="Action"/>
    <w:basedOn w:val="Normal"/>
    <w:rsid w:val="00941E95"/>
    <w:pPr>
      <w:keepNext/>
      <w:keepLines/>
      <w:tabs>
        <w:tab w:val="left" w:pos="357"/>
      </w:tabs>
      <w:snapToGrid w:val="0"/>
      <w:spacing w:after="240"/>
      <w:ind w:left="357" w:hanging="357"/>
    </w:pPr>
    <w:rPr>
      <w:lang w:eastAsia="en-US"/>
    </w:rPr>
  </w:style>
  <w:style w:type="paragraph" w:styleId="Footer">
    <w:name w:val="footer"/>
    <w:basedOn w:val="Normal"/>
    <w:link w:val="FooterChar"/>
    <w:semiHidden/>
    <w:rsid w:val="00FC6D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C6D7B"/>
    <w:rPr>
      <w:sz w:val="24"/>
    </w:rPr>
  </w:style>
  <w:style w:type="paragraph" w:styleId="Revision">
    <w:name w:val="Revision"/>
    <w:hidden/>
    <w:uiPriority w:val="99"/>
    <w:semiHidden/>
    <w:rsid w:val="00225562"/>
    <w:rPr>
      <w:sz w:val="24"/>
    </w:rPr>
  </w:style>
  <w:style w:type="character" w:styleId="CommentReference">
    <w:name w:val="annotation reference"/>
    <w:basedOn w:val="DefaultParagraphFont"/>
    <w:rsid w:val="00281021"/>
    <w:rPr>
      <w:sz w:val="16"/>
      <w:szCs w:val="16"/>
    </w:rPr>
  </w:style>
  <w:style w:type="paragraph" w:styleId="CommentText">
    <w:name w:val="annotation text"/>
    <w:basedOn w:val="Normal"/>
    <w:link w:val="CommentTextChar"/>
    <w:rsid w:val="0028102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8102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810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81021"/>
    <w:rPr>
      <w:b/>
      <w:bCs/>
    </w:rPr>
  </w:style>
  <w:style w:type="paragraph" w:styleId="FootnoteText">
    <w:name w:val="footnote text"/>
    <w:basedOn w:val="Normal"/>
    <w:link w:val="FootnoteTextChar"/>
    <w:rsid w:val="00F92A4A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F92A4A"/>
  </w:style>
  <w:style w:type="character" w:styleId="FootnoteReference">
    <w:name w:val="footnote reference"/>
    <w:basedOn w:val="DefaultParagraphFont"/>
    <w:rsid w:val="00F92A4A"/>
    <w:rPr>
      <w:vertAlign w:val="superscript"/>
    </w:rPr>
  </w:style>
  <w:style w:type="character" w:styleId="Hyperlink">
    <w:name w:val="Hyperlink"/>
    <w:basedOn w:val="DefaultParagraphFont"/>
    <w:rsid w:val="00F92A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2A4A"/>
    <w:rPr>
      <w:color w:val="605E5C"/>
      <w:shd w:val="clear" w:color="auto" w:fill="E1DFDD"/>
    </w:rPr>
  </w:style>
  <w:style w:type="paragraph" w:customStyle="1" w:styleId="Visa">
    <w:name w:val="Visa"/>
    <w:basedOn w:val="Normal"/>
    <w:rsid w:val="00F92A4A"/>
    <w:pPr>
      <w:keepNext/>
      <w:keepLines/>
      <w:tabs>
        <w:tab w:val="left" w:pos="357"/>
      </w:tabs>
      <w:spacing w:after="240"/>
      <w:ind w:left="357" w:hanging="357"/>
    </w:pPr>
    <w:rPr>
      <w:snapToGrid w:val="0"/>
      <w:lang w:eastAsia="en-US"/>
    </w:rPr>
  </w:style>
  <w:style w:type="paragraph" w:customStyle="1" w:styleId="pf0">
    <w:name w:val="pf0"/>
    <w:basedOn w:val="Normal"/>
    <w:rsid w:val="008B64B6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8B64B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ir/2012/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B2BC1-2E2C-4DE6-8F14-C4D2C1ECB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2436</Words>
  <Characters>13326</Characters>
  <Application>Microsoft Office Word</Application>
  <DocSecurity>0</DocSecurity>
  <Lines>237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PR_INI_RecommCFSP</vt:lpstr>
    </vt:vector>
  </TitlesOfParts>
  <Company/>
  <LinksUpToDate>false</LinksUpToDate>
  <CharactersWithSpaces>15693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PR_INI_RecommCFSP</dc:title>
  <dc:creator>NITSCHE Susan</dc:creator>
  <cp:lastModifiedBy>CANELAS Regina</cp:lastModifiedBy>
  <cp:revision>2</cp:revision>
  <cp:lastPrinted>2025-09-10T15:25:00Z</cp:lastPrinted>
  <dcterms:created xsi:type="dcterms:W3CDTF">2025-11-21T08:40:00Z</dcterms:created>
  <dcterms:modified xsi:type="dcterms:W3CDTF">2025-11-21T08:40:00Z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1332470</vt:lpwstr>
  </property>
  <property fmtid="{D5CDD505-2E9C-101B-9397-08002B2CF9AE}" pid="4" name="&lt;Model&gt;">
    <vt:lpwstr>PR_INI_RecommCFSP</vt:lpwstr>
  </property>
  <property fmtid="{D5CDD505-2E9C-101B-9397-08002B2CF9AE}" pid="5" name="&lt;ModelCod&gt;">
    <vt:lpwstr>\\eiciBRUpr1\pdocep$\DocEP\DOCS\General\PR\PR_NonLeg\INI\PR_INI_RecommCFSP.dotx(23/11/2023 20:35:01)</vt:lpwstr>
  </property>
  <property fmtid="{D5CDD505-2E9C-101B-9397-08002B2CF9AE}" pid="6" name="&lt;ModelTra&gt;">
    <vt:lpwstr>\\eiciBRUpr1\pdocep$\DocEP\TRANSFIL\EN\PR_INI_RecommCFSP.EN(14/08/2024 20:08:08)</vt:lpwstr>
  </property>
  <property fmtid="{D5CDD505-2E9C-101B-9397-08002B2CF9AE}" pid="7" name="&lt;Type&gt;">
    <vt:lpwstr>PR</vt:lpwstr>
  </property>
  <property fmtid="{D5CDD505-2E9C-101B-9397-08002B2CF9AE}" pid="8" name="Bookout">
    <vt:lpwstr>OK - 2025/11/21 09:18</vt:lpwstr>
  </property>
  <property fmtid="{D5CDD505-2E9C-101B-9397-08002B2CF9AE}" pid="9" name="Created with">
    <vt:lpwstr>10.1.2 Build [20250715]</vt:lpwstr>
  </property>
  <property fmtid="{D5CDD505-2E9C-101B-9397-08002B2CF9AE}" pid="10" name="FooterPath">
    <vt:lpwstr>PR\1332470PT.docx</vt:lpwstr>
  </property>
  <property fmtid="{D5CDD505-2E9C-101B-9397-08002B2CF9AE}" pid="11" name="LastEdited with">
    <vt:lpwstr>10.2.0 Build [20251001]</vt:lpwstr>
  </property>
  <property fmtid="{D5CDD505-2E9C-101B-9397-08002B2CF9AE}" pid="12" name="PE number">
    <vt:lpwstr>776.895</vt:lpwstr>
  </property>
  <property fmtid="{D5CDD505-2E9C-101B-9397-08002B2CF9AE}" pid="13" name="SDLStudio">
    <vt:lpwstr/>
  </property>
  <property fmtid="{D5CDD505-2E9C-101B-9397-08002B2CF9AE}" pid="14" name="SendToEpades">
    <vt:lpwstr>OK - 2025/09/08 12:15</vt:lpwstr>
  </property>
</Properties>
</file>