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69495A" w:rsidRPr="00E70DEB" w14:paraId="3329EBA0" w14:textId="7777777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5EFD4EB1" w14:textId="77777777" w:rsidR="0069495A" w:rsidRPr="00E70DEB" w:rsidRDefault="00D3400F" w:rsidP="00C85D0F">
            <w:pPr>
              <w:pStyle w:val="EPName"/>
            </w:pPr>
            <w:r w:rsidRPr="00E70DEB">
              <w:t>Európsky parlament</w:t>
            </w:r>
          </w:p>
          <w:p w14:paraId="36C0D58A" w14:textId="77777777" w:rsidR="0069495A" w:rsidRPr="00E70DEB" w:rsidRDefault="006067F0" w:rsidP="006067F0">
            <w:pPr>
              <w:pStyle w:val="EPTerm"/>
            </w:pPr>
            <w:r w:rsidRPr="00E70DEB">
              <w:t>2024-2029</w:t>
            </w:r>
          </w:p>
        </w:tc>
        <w:tc>
          <w:tcPr>
            <w:tcW w:w="2268" w:type="dxa"/>
            <w:shd w:val="clear" w:color="auto" w:fill="auto"/>
          </w:tcPr>
          <w:p w14:paraId="1ECCD591" w14:textId="77777777" w:rsidR="0069495A" w:rsidRPr="00E70DEB" w:rsidRDefault="0069495A" w:rsidP="00C85D0F">
            <w:pPr>
              <w:pStyle w:val="EPLogo"/>
            </w:pPr>
            <w:r w:rsidRPr="00E70DEB">
              <w:rPr>
                <w:noProof/>
              </w:rPr>
              <w:drawing>
                <wp:inline distT="0" distB="0" distL="0" distR="0" wp14:anchorId="22F286C5" wp14:editId="4D28E731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A412BB2" w14:textId="77777777" w:rsidR="00C7235E" w:rsidRPr="00E70DEB" w:rsidRDefault="00C7235E" w:rsidP="00C7235E">
      <w:pPr>
        <w:pStyle w:val="LineTop"/>
      </w:pPr>
    </w:p>
    <w:p w14:paraId="61362BF2" w14:textId="55A3BD23" w:rsidR="00C7235E" w:rsidRPr="00E70DEB" w:rsidRDefault="00C7235E" w:rsidP="00C7235E">
      <w:pPr>
        <w:pStyle w:val="EPBody"/>
      </w:pPr>
      <w:r w:rsidRPr="00E70DEB">
        <w:rPr>
          <w:rStyle w:val="HideTWBExt"/>
        </w:rPr>
        <w:t>&lt;</w:t>
      </w:r>
      <w:r w:rsidRPr="00E70DEB">
        <w:rPr>
          <w:rStyle w:val="HideTWBExt"/>
          <w:i w:val="0"/>
        </w:rPr>
        <w:t>Commission</w:t>
      </w:r>
      <w:r w:rsidRPr="00E70DEB">
        <w:rPr>
          <w:rStyle w:val="HideTWBExt"/>
        </w:rPr>
        <w:t>&gt;</w:t>
      </w:r>
      <w:r w:rsidRPr="00E70DEB">
        <w:rPr>
          <w:rStyle w:val="HideTWBInt"/>
        </w:rPr>
        <w:t>{FEMM}</w:t>
      </w:r>
      <w:r w:rsidRPr="00E70DEB">
        <w:t>Výbor pre práva žien a rodovú rovnosť</w:t>
      </w:r>
      <w:r w:rsidRPr="00E70DEB">
        <w:rPr>
          <w:rStyle w:val="HideTWBExt"/>
        </w:rPr>
        <w:t>&lt;/</w:t>
      </w:r>
      <w:r w:rsidRPr="00E70DEB">
        <w:rPr>
          <w:rStyle w:val="HideTWBExt"/>
          <w:i w:val="0"/>
        </w:rPr>
        <w:t>Commission</w:t>
      </w:r>
      <w:r w:rsidRPr="00E70DEB">
        <w:rPr>
          <w:rStyle w:val="HideTWBExt"/>
        </w:rPr>
        <w:t>&gt;</w:t>
      </w:r>
    </w:p>
    <w:p w14:paraId="7640CC69" w14:textId="77777777" w:rsidR="00C7235E" w:rsidRPr="00E70DEB" w:rsidRDefault="00C7235E" w:rsidP="00C7235E">
      <w:pPr>
        <w:pStyle w:val="LineBottom"/>
      </w:pPr>
    </w:p>
    <w:p w14:paraId="2EEECEC2" w14:textId="50A57C72" w:rsidR="00144AD8" w:rsidRPr="00E70DEB" w:rsidRDefault="00144AD8">
      <w:pPr>
        <w:pStyle w:val="CoverReference"/>
      </w:pPr>
      <w:r w:rsidRPr="00E70DEB">
        <w:rPr>
          <w:rStyle w:val="HideTWBExt"/>
          <w:b w:val="0"/>
        </w:rPr>
        <w:t>&lt;RefProc&gt;</w:t>
      </w:r>
      <w:r w:rsidRPr="00E70DEB">
        <w:t>2025/2240</w:t>
      </w:r>
      <w:r w:rsidRPr="00E70DEB">
        <w:rPr>
          <w:rStyle w:val="HideTWBExt"/>
          <w:b w:val="0"/>
        </w:rPr>
        <w:t>&lt;/RefProc&gt;&lt;RefTypeProc&gt;</w:t>
      </w:r>
      <w:r w:rsidRPr="00E70DEB">
        <w:t>(INI)</w:t>
      </w:r>
      <w:r w:rsidRPr="00E70DEB">
        <w:rPr>
          <w:rStyle w:val="HideTWBExt"/>
          <w:b w:val="0"/>
        </w:rPr>
        <w:t>&lt;/RefTypeProc&gt;</w:t>
      </w:r>
    </w:p>
    <w:p w14:paraId="1A7EB0A3" w14:textId="6866A0B7" w:rsidR="00144AD8" w:rsidRPr="00E70DEB" w:rsidRDefault="00144AD8">
      <w:pPr>
        <w:pStyle w:val="CoverDate"/>
      </w:pPr>
      <w:r w:rsidRPr="00E70DEB">
        <w:rPr>
          <w:rStyle w:val="HideTWBExt"/>
        </w:rPr>
        <w:t>&lt;Date&gt;</w:t>
      </w:r>
      <w:r w:rsidRPr="00E70DEB">
        <w:rPr>
          <w:rStyle w:val="HideTWBInt"/>
        </w:rPr>
        <w:t>{20/11/2025}</w:t>
      </w:r>
      <w:r w:rsidRPr="00E70DEB">
        <w:t>20.11.2025</w:t>
      </w:r>
      <w:r w:rsidRPr="00E70DEB">
        <w:rPr>
          <w:rStyle w:val="HideTWBExt"/>
        </w:rPr>
        <w:t>&lt;/Date&gt;</w:t>
      </w:r>
    </w:p>
    <w:p w14:paraId="094B0D9F" w14:textId="77777777" w:rsidR="00144AD8" w:rsidRPr="00E70DEB" w:rsidRDefault="00144AD8">
      <w:pPr>
        <w:pStyle w:val="CoverDocType24a"/>
      </w:pPr>
      <w:r w:rsidRPr="00E70DEB">
        <w:rPr>
          <w:rStyle w:val="HideTWBExt"/>
          <w:b w:val="0"/>
        </w:rPr>
        <w:t>&lt;TitreType&gt;</w:t>
      </w:r>
      <w:r w:rsidRPr="00E70DEB">
        <w:t>NÁVRH SPRÁVY</w:t>
      </w:r>
      <w:r w:rsidRPr="00E70DEB">
        <w:rPr>
          <w:rStyle w:val="HideTWBExt"/>
          <w:b w:val="0"/>
        </w:rPr>
        <w:t>&lt;/TitreType&gt;</w:t>
      </w:r>
    </w:p>
    <w:p w14:paraId="1F564D47" w14:textId="33D8966F" w:rsidR="00144AD8" w:rsidRPr="00E70DEB" w:rsidRDefault="00144AD8">
      <w:pPr>
        <w:pStyle w:val="CoverNormal"/>
      </w:pPr>
      <w:r w:rsidRPr="00E70DEB">
        <w:rPr>
          <w:rStyle w:val="HideTWBExt"/>
        </w:rPr>
        <w:t>&lt;Titre&gt;</w:t>
      </w:r>
      <w:r w:rsidRPr="00E70DEB">
        <w:t>o odporúčaní Európskeho parlamentu Rade o prioritách EÚ na</w:t>
      </w:r>
      <w:r w:rsidR="008F4D8B">
        <w:t> </w:t>
      </w:r>
      <w:r w:rsidRPr="00E70DEB">
        <w:t>70.</w:t>
      </w:r>
      <w:r w:rsidR="008F4D8B">
        <w:t> </w:t>
      </w:r>
      <w:r w:rsidRPr="00E70DEB">
        <w:t>zasadnutie Komisie OSN pre postavenie žien</w:t>
      </w:r>
      <w:r w:rsidRPr="00E70DEB">
        <w:rPr>
          <w:rStyle w:val="HideTWBExt"/>
        </w:rPr>
        <w:t>&lt;/Titre&gt;</w:t>
      </w:r>
    </w:p>
    <w:p w14:paraId="4CDF5F54" w14:textId="4FDD983D" w:rsidR="00144AD8" w:rsidRPr="00E70DEB" w:rsidRDefault="00144AD8">
      <w:pPr>
        <w:pStyle w:val="CoverNormal24a"/>
      </w:pPr>
      <w:r w:rsidRPr="00E70DEB">
        <w:rPr>
          <w:rStyle w:val="HideTWBExt"/>
        </w:rPr>
        <w:t>&lt;DocRef&gt;</w:t>
      </w:r>
      <w:r w:rsidRPr="00E70DEB">
        <w:t>(2025/2240(INI))</w:t>
      </w:r>
      <w:r w:rsidRPr="00E70DEB">
        <w:rPr>
          <w:rStyle w:val="HideTWBExt"/>
        </w:rPr>
        <w:t>&lt;/DocRef&gt;</w:t>
      </w:r>
    </w:p>
    <w:p w14:paraId="3058FEBF" w14:textId="47008C5B" w:rsidR="00144AD8" w:rsidRPr="00E70DEB" w:rsidRDefault="00144AD8">
      <w:pPr>
        <w:pStyle w:val="CoverNormal24a"/>
      </w:pPr>
      <w:r w:rsidRPr="00E70DEB">
        <w:rPr>
          <w:rStyle w:val="HideTWBExt"/>
        </w:rPr>
        <w:t>&lt;Commission&gt;</w:t>
      </w:r>
      <w:r w:rsidRPr="00E70DEB">
        <w:rPr>
          <w:rStyle w:val="HideTWBInt"/>
        </w:rPr>
        <w:t>{FEMM}</w:t>
      </w:r>
      <w:r w:rsidRPr="00E70DEB">
        <w:t>Výbor pre práva žien a rodovú rovnosť</w:t>
      </w:r>
      <w:r w:rsidRPr="00E70DEB">
        <w:rPr>
          <w:rStyle w:val="HideTWBExt"/>
        </w:rPr>
        <w:t>&lt;/Commission&gt;</w:t>
      </w:r>
    </w:p>
    <w:p w14:paraId="6131A812" w14:textId="77777777" w:rsidR="00144AD8" w:rsidRPr="00E70DEB" w:rsidRDefault="00D3400F">
      <w:pPr>
        <w:pStyle w:val="CoverNormal24a"/>
      </w:pPr>
      <w:r w:rsidRPr="00E70DEB">
        <w:t xml:space="preserve">Spravodajkyňa: </w:t>
      </w:r>
      <w:r w:rsidRPr="00E70DEB">
        <w:rPr>
          <w:rStyle w:val="HideTWBExt"/>
        </w:rPr>
        <w:t>&lt;Depute&gt;</w:t>
      </w:r>
      <w:r w:rsidRPr="00E70DEB">
        <w:t>Lina Gálvez</w:t>
      </w:r>
      <w:r w:rsidRPr="00E70DEB">
        <w:rPr>
          <w:rStyle w:val="HideTWBExt"/>
        </w:rPr>
        <w:t>&lt;/Depute&gt;</w:t>
      </w:r>
    </w:p>
    <w:p w14:paraId="1359B333" w14:textId="77777777" w:rsidR="00144AD8" w:rsidRPr="00E70DEB" w:rsidRDefault="00144AD8" w:rsidP="009340AC">
      <w:pPr>
        <w:widowControl/>
        <w:tabs>
          <w:tab w:val="center" w:pos="4677"/>
        </w:tabs>
      </w:pPr>
      <w:r w:rsidRPr="00E70DEB">
        <w:br w:type="page"/>
      </w:r>
      <w:r w:rsidRPr="00E70DEB">
        <w:lastRenderedPageBreak/>
        <w:t>PR_INI_RecommCFSP</w:t>
      </w:r>
    </w:p>
    <w:p w14:paraId="733C7913" w14:textId="77777777" w:rsidR="00144AD8" w:rsidRPr="00E70DEB" w:rsidRDefault="00D3400F">
      <w:pPr>
        <w:pStyle w:val="TOCHeading"/>
      </w:pPr>
      <w:r w:rsidRPr="00E70DEB">
        <w:t>OBSAH</w:t>
      </w:r>
    </w:p>
    <w:p w14:paraId="71FDCE07" w14:textId="77777777" w:rsidR="00144AD8" w:rsidRPr="00E70DEB" w:rsidRDefault="00D3400F">
      <w:pPr>
        <w:pStyle w:val="TOCPage"/>
      </w:pPr>
      <w:r w:rsidRPr="00E70DEB">
        <w:t>strana</w:t>
      </w:r>
    </w:p>
    <w:p w14:paraId="61EA0E36" w14:textId="17690289" w:rsidR="008F4D8B" w:rsidRDefault="00144AD8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 w:rsidRPr="00E70DEB">
        <w:fldChar w:fldCharType="begin"/>
      </w:r>
      <w:r w:rsidRPr="00E70DEB">
        <w:instrText xml:space="preserve"> TOC \t "PageHeading</w:instrText>
      </w:r>
      <w:r w:rsidR="005707B9" w:rsidRPr="00E70DEB">
        <w:instrText>;</w:instrText>
      </w:r>
      <w:r w:rsidRPr="00E70DEB">
        <w:instrText xml:space="preserve">1" </w:instrText>
      </w:r>
      <w:r w:rsidRPr="00E70DEB">
        <w:fldChar w:fldCharType="separate"/>
      </w:r>
      <w:r w:rsidR="008F4D8B">
        <w:rPr>
          <w:noProof/>
        </w:rPr>
        <w:t>NÁVRH ODPORÚČANIA EURÓPSKEHO PARLAMENTU</w:t>
      </w:r>
      <w:r w:rsidR="008F4D8B">
        <w:rPr>
          <w:noProof/>
        </w:rPr>
        <w:tab/>
      </w:r>
      <w:r w:rsidR="008F4D8B">
        <w:rPr>
          <w:noProof/>
        </w:rPr>
        <w:fldChar w:fldCharType="begin"/>
      </w:r>
      <w:r w:rsidR="008F4D8B">
        <w:rPr>
          <w:noProof/>
        </w:rPr>
        <w:instrText xml:space="preserve"> PAGEREF _Toc214619526 \h </w:instrText>
      </w:r>
      <w:r w:rsidR="008F4D8B">
        <w:rPr>
          <w:noProof/>
        </w:rPr>
      </w:r>
      <w:r w:rsidR="008F4D8B">
        <w:rPr>
          <w:noProof/>
        </w:rPr>
        <w:fldChar w:fldCharType="separate"/>
      </w:r>
      <w:r w:rsidR="008F4D8B">
        <w:rPr>
          <w:noProof/>
        </w:rPr>
        <w:t>3</w:t>
      </w:r>
      <w:r w:rsidR="008F4D8B">
        <w:rPr>
          <w:noProof/>
        </w:rPr>
        <w:fldChar w:fldCharType="end"/>
      </w:r>
    </w:p>
    <w:p w14:paraId="6B30141E" w14:textId="4B24E011" w:rsidR="008F4D8B" w:rsidRDefault="008F4D8B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>
        <w:rPr>
          <w:noProof/>
        </w:rPr>
        <w:t>DÔVODOVÁ SPRÁVA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_Toc214619527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14:paraId="56ABBD93" w14:textId="2E80AF52" w:rsidR="00627DF1" w:rsidRPr="00E70DEB" w:rsidRDefault="00144AD8" w:rsidP="00865AB2">
      <w:r w:rsidRPr="00E70DEB">
        <w:fldChar w:fldCharType="end"/>
      </w:r>
    </w:p>
    <w:p w14:paraId="1594A2AC" w14:textId="77777777" w:rsidR="00144AD8" w:rsidRPr="00E70DEB" w:rsidRDefault="00144AD8">
      <w:pPr>
        <w:pStyle w:val="PageHeading"/>
      </w:pPr>
      <w:r w:rsidRPr="00E70DEB">
        <w:br w:type="page"/>
      </w:r>
      <w:bookmarkStart w:id="0" w:name="_Toc214619526"/>
      <w:r w:rsidRPr="00E70DEB">
        <w:lastRenderedPageBreak/>
        <w:t>NÁVRH ODPORÚČANIA EURÓPSKEHO PARLAMENTU</w:t>
      </w:r>
      <w:bookmarkEnd w:id="0"/>
    </w:p>
    <w:p w14:paraId="0231540A" w14:textId="1A8FFEFC" w:rsidR="00144AD8" w:rsidRPr="00E70DEB" w:rsidRDefault="00D3400F">
      <w:pPr>
        <w:pStyle w:val="NormalBold"/>
      </w:pPr>
      <w:r w:rsidRPr="00E70DEB">
        <w:t>Rade o prioritách EÚ na 70. zasadnutie Komisie OSN pre postavenie žien</w:t>
      </w:r>
    </w:p>
    <w:p w14:paraId="3971B5E9" w14:textId="01FA06AC" w:rsidR="00144AD8" w:rsidRPr="00E70DEB" w:rsidRDefault="00D3400F" w:rsidP="00A144CA">
      <w:pPr>
        <w:pStyle w:val="NormalBold"/>
      </w:pPr>
      <w:r w:rsidRPr="00E70DEB">
        <w:t>(2025/2240(INI))</w:t>
      </w:r>
    </w:p>
    <w:p w14:paraId="5A5C80EA" w14:textId="77777777" w:rsidR="00144AD8" w:rsidRPr="00E70DEB" w:rsidRDefault="00D3400F">
      <w:pPr>
        <w:pStyle w:val="EPComma"/>
      </w:pPr>
      <w:r w:rsidRPr="00E70DEB">
        <w:rPr>
          <w:i/>
        </w:rPr>
        <w:t>Európsky parlament</w:t>
      </w:r>
      <w:r w:rsidRPr="00E70DEB">
        <w:t>,</w:t>
      </w:r>
    </w:p>
    <w:p w14:paraId="36939B85" w14:textId="2F3F47CF" w:rsidR="004216E6" w:rsidRPr="00E70DEB" w:rsidRDefault="004216E6" w:rsidP="004216E6">
      <w:pPr>
        <w:pStyle w:val="NormalHanging12a"/>
      </w:pPr>
      <w:r w:rsidRPr="00E70DEB">
        <w:t>–</w:t>
      </w:r>
      <w:r w:rsidRPr="00E70DEB">
        <w:tab/>
        <w:t>so zreteľom na 70. zasadnutie Komisie OSN pre postavenie žien, ktoré sa má konať v</w:t>
      </w:r>
      <w:r w:rsidR="008F4D8B">
        <w:t> </w:t>
      </w:r>
      <w:r w:rsidRPr="00E70DEB">
        <w:t>marci 2026, na jeho prioritnú tému s názvom Zabezpečenie a posilnenie prístupu všetkých žien a dievčat k spravodlivosti, a to aj podporou inkluzívnych a spravodlivých právnych systémov, odstránením diskriminačných zákonov, politík a postupov a</w:t>
      </w:r>
      <w:r w:rsidR="008F4D8B">
        <w:t> </w:t>
      </w:r>
      <w:r w:rsidRPr="00E70DEB">
        <w:t>riešením štrukturálnych prekážok, a na tému na preskúmanie s názvom Plná a</w:t>
      </w:r>
      <w:r w:rsidR="008F4D8B">
        <w:t> </w:t>
      </w:r>
      <w:r w:rsidRPr="00E70DEB">
        <w:t>skutočná účasť žien na rozhodovacom procese vo verejnom živote, ako aj odstránenie násilia v záujme dosiahnutia rodovej rovnosti a posilnenia postavenia všetkých žien a</w:t>
      </w:r>
      <w:r w:rsidR="008F4D8B">
        <w:t> </w:t>
      </w:r>
      <w:r w:rsidRPr="00E70DEB">
        <w:t>dievčat,</w:t>
      </w:r>
    </w:p>
    <w:p w14:paraId="4A4FFE9A" w14:textId="230B349A" w:rsidR="004216E6" w:rsidRPr="00E70DEB" w:rsidRDefault="004216E6" w:rsidP="004216E6">
      <w:pPr>
        <w:pStyle w:val="NormalHanging12a"/>
      </w:pPr>
      <w:r w:rsidRPr="00E70DEB">
        <w:t>–</w:t>
      </w:r>
      <w:r w:rsidRPr="00E70DEB">
        <w:tab/>
        <w:t>so zreteľom na Dohovor Organizácie Spojených národov o odstránení všetkých foriem diskriminácie žien z 18. decembra 1979,</w:t>
      </w:r>
    </w:p>
    <w:p w14:paraId="364FF0F8" w14:textId="078CC0C0" w:rsidR="004216E6" w:rsidRPr="00E70DEB" w:rsidRDefault="00554B6E" w:rsidP="00554B6E">
      <w:pPr>
        <w:pStyle w:val="pf0"/>
        <w:ind w:left="567" w:hanging="567"/>
        <w:rPr>
          <w:rFonts w:ascii="Arial" w:hAnsi="Arial" w:cs="Arial"/>
          <w:sz w:val="20"/>
        </w:rPr>
      </w:pPr>
      <w:r w:rsidRPr="00E70DEB">
        <w:t>–</w:t>
      </w:r>
      <w:r w:rsidRPr="00E70DEB">
        <w:tab/>
        <w:t>so zreteľom na Agendu OSN 2030 pre udržateľný rozvoj, konkrétne na zásadu „na</w:t>
      </w:r>
      <w:r w:rsidR="008F4D8B">
        <w:t> </w:t>
      </w:r>
      <w:r w:rsidRPr="00E70DEB">
        <w:t>nikoho nezabudnúť“, a najmä na cieľ udržateľného rozvoja č. 5, ktorý sa usiluje dosiahnuť rodovú rovnosť a zabezpečiť, aby ženy mali rovnaké práva na hospodárske zdroje, ako aj prístup k vlastníctvu a správe pôdy či iných majetkových foriem, k</w:t>
      </w:r>
      <w:r w:rsidR="008F4D8B">
        <w:t> </w:t>
      </w:r>
      <w:r w:rsidRPr="00E70DEB">
        <w:t>finančným službám, dedičstvu a prírodným zdrojom, a na cieľ trvalo udržateľného rozvoja č. 10, ktorý sa usiluje odstrániť diskriminačné zákony, politiky a postupy a</w:t>
      </w:r>
      <w:r w:rsidR="008F4D8B">
        <w:t> </w:t>
      </w:r>
      <w:r w:rsidRPr="00E70DEB">
        <w:t>podporovať náležité právne predpisy, politiky a opatrenia,</w:t>
      </w:r>
    </w:p>
    <w:p w14:paraId="1E5750D0" w14:textId="28C961BA" w:rsidR="004216E6" w:rsidRPr="00E70DEB" w:rsidRDefault="004216E6" w:rsidP="004216E6">
      <w:pPr>
        <w:pStyle w:val="NormalHanging12a"/>
      </w:pPr>
      <w:r w:rsidRPr="00E70DEB">
        <w:t>–</w:t>
      </w:r>
      <w:r w:rsidRPr="00E70DEB">
        <w:tab/>
        <w:t>so zreteľom na články 20, 21, 23 a 47 Charty základných práv Európskej únie,</w:t>
      </w:r>
    </w:p>
    <w:p w14:paraId="796AB9A0" w14:textId="64F5EAE6" w:rsidR="004216E6" w:rsidRPr="00E70DEB" w:rsidRDefault="004216E6" w:rsidP="004216E6">
      <w:pPr>
        <w:pStyle w:val="NormalHanging12a"/>
      </w:pPr>
      <w:r w:rsidRPr="00E70DEB">
        <w:t>–</w:t>
      </w:r>
      <w:r w:rsidRPr="00E70DEB">
        <w:tab/>
        <w:t>so zreteľom na spoločné oznámenie Komisie a Rady z 25. novembra 2020 s názvom Akčný plán EÚ pre rodovú rovnosť (GAP) III – Ambiciózny program pre rodovú rovnosť a posilnenie postavenia žien v rámci vonkajšej činnosti EÚ (JOIN(2020)0017), v ktorom je načrtnutý akčný plán EÚ pre rodovú rovnosť na obdobie 2021 – 2025,</w:t>
      </w:r>
    </w:p>
    <w:p w14:paraId="185E19C9" w14:textId="2F1D1259" w:rsidR="004216E6" w:rsidRPr="00E70DEB" w:rsidRDefault="004216E6" w:rsidP="004216E6">
      <w:pPr>
        <w:pStyle w:val="NormalHanging12a"/>
      </w:pPr>
      <w:r w:rsidRPr="00E70DEB">
        <w:t>–</w:t>
      </w:r>
      <w:r w:rsidRPr="00E70DEB">
        <w:tab/>
        <w:t>so zreteľom na oznámenie Komisie zo 7. marca 2025 s názvom Plán pre práva žien (COM(2020)0097), v ktorom sa opätovne potvrdzuje záväzok EÚ presadzovať rodovú rovnosť,</w:t>
      </w:r>
    </w:p>
    <w:p w14:paraId="19304248" w14:textId="298FA960" w:rsidR="004216E6" w:rsidRPr="00E70DEB" w:rsidRDefault="004216E6" w:rsidP="004216E6">
      <w:pPr>
        <w:pStyle w:val="NormalHanging12a"/>
      </w:pPr>
      <w:r w:rsidRPr="00E70DEB">
        <w:t>–</w:t>
      </w:r>
      <w:r w:rsidRPr="00E70DEB">
        <w:tab/>
        <w:t>so zreteľom na oznámenie Komisie z 5. marca 2020 s názvom Únia rovnosti: stratégia pre rodovú rovnosť na roky 2020 – 2025 (COM(2020)0152),</w:t>
      </w:r>
    </w:p>
    <w:p w14:paraId="169F7F18" w14:textId="500DCE59" w:rsidR="004216E6" w:rsidRPr="00E70DEB" w:rsidRDefault="004216E6" w:rsidP="004216E6">
      <w:pPr>
        <w:pStyle w:val="NormalHanging12a"/>
        <w:rPr>
          <w:szCs w:val="24"/>
        </w:rPr>
      </w:pPr>
      <w:r w:rsidRPr="00E70DEB">
        <w:t>–</w:t>
      </w:r>
      <w:r w:rsidRPr="00E70DEB">
        <w:tab/>
        <w:t>so zreteľom na smernicu Európskeho parlamentu a Rady 2012/29/EÚ z 25. októbra 2012, ktorou sa stanovujú minimálne normy v oblasti práv, podpory a ochrany obetí trestných činov a ktorou sa nahrádza rámcové rozhodnutie Rady 2001/220/SVV</w:t>
      </w:r>
      <w:r w:rsidR="00F92A4A" w:rsidRPr="00E70DEB">
        <w:rPr>
          <w:rStyle w:val="FootnoteReference"/>
          <w:szCs w:val="24"/>
        </w:rPr>
        <w:footnoteReference w:id="1"/>
      </w:r>
      <w:r w:rsidRPr="00E70DEB">
        <w:t>,</w:t>
      </w:r>
    </w:p>
    <w:p w14:paraId="205CA1CE" w14:textId="31556099" w:rsidR="004216E6" w:rsidRPr="00E70DEB" w:rsidRDefault="004216E6" w:rsidP="004216E6">
      <w:pPr>
        <w:pStyle w:val="NormalHanging12a"/>
      </w:pPr>
      <w:r w:rsidRPr="00E70DEB">
        <w:t>–</w:t>
      </w:r>
      <w:r w:rsidRPr="00E70DEB">
        <w:tab/>
        <w:t xml:space="preserve">so zreteľom na program Komisie Spravodlivosť na roky 2021 – 2027, ktorý poskytuje finančné prostriedky na podporu justičnej spolupráce v občianskych a trestných veciach, ako je odborná príprava sudcov a iných odborníkov pracujúcich v oblasti práva, a na </w:t>
      </w:r>
      <w:r w:rsidRPr="00E70DEB">
        <w:lastRenderedPageBreak/>
        <w:t>účinný prístup k spravodlivosti pre občanov a podniky,</w:t>
      </w:r>
    </w:p>
    <w:p w14:paraId="5CF3B8F0" w14:textId="1BD87D46" w:rsidR="004216E6" w:rsidRPr="00E70DEB" w:rsidRDefault="004216E6" w:rsidP="004216E6">
      <w:pPr>
        <w:pStyle w:val="NormalHanging12a"/>
      </w:pPr>
      <w:r w:rsidRPr="00E70DEB">
        <w:t>–</w:t>
      </w:r>
      <w:r w:rsidRPr="00E70DEB">
        <w:tab/>
        <w:t>so zreteľom na Dohovor Rady Európy o predchádzaní násiliu na ženách a domácemu násiliu a o boji proti nemu (Istanbulský dohovor),</w:t>
      </w:r>
    </w:p>
    <w:p w14:paraId="70F155F3" w14:textId="3367AC25" w:rsidR="004216E6" w:rsidRPr="00E70DEB" w:rsidRDefault="004216E6" w:rsidP="004216E6">
      <w:pPr>
        <w:pStyle w:val="NormalHanging12a"/>
      </w:pPr>
      <w:r w:rsidRPr="00E70DEB">
        <w:t>–</w:t>
      </w:r>
      <w:r w:rsidRPr="00E70DEB">
        <w:tab/>
        <w:t>so zreteľom na článok 81 ods. 2 Zmluvy o fungovaní Európskej únie,</w:t>
      </w:r>
    </w:p>
    <w:p w14:paraId="532FD7B2" w14:textId="2B43C3C3" w:rsidR="004216E6" w:rsidRPr="00E70DEB" w:rsidRDefault="004216E6" w:rsidP="004216E6">
      <w:pPr>
        <w:pStyle w:val="NormalHanging12a"/>
      </w:pPr>
      <w:r w:rsidRPr="00E70DEB">
        <w:t>–</w:t>
      </w:r>
      <w:r w:rsidRPr="00E70DEB">
        <w:tab/>
        <w:t>so zreteľom na článok 121 rokovacieho poriadku,</w:t>
      </w:r>
    </w:p>
    <w:p w14:paraId="386EB1B1" w14:textId="42CE7178" w:rsidR="00F92A4A" w:rsidRPr="00E70DEB" w:rsidRDefault="00F92A4A" w:rsidP="00724B9E">
      <w:pPr>
        <w:pStyle w:val="Visa"/>
        <w:tabs>
          <w:tab w:val="clear" w:pos="357"/>
        </w:tabs>
        <w:spacing w:after="360"/>
        <w:ind w:left="567" w:hanging="567"/>
      </w:pPr>
      <w:r w:rsidRPr="00E70DEB">
        <w:t>–</w:t>
      </w:r>
      <w:r w:rsidRPr="00E70DEB">
        <w:tab/>
        <w:t>so zreteľom na správu Výboru pre práva žien a rodovú rovnosť (A10</w:t>
      </w:r>
      <w:r w:rsidRPr="00E70DEB">
        <w:noBreakHyphen/>
        <w:t>0000/2025),</w:t>
      </w:r>
    </w:p>
    <w:p w14:paraId="58365780" w14:textId="41D6C57C" w:rsidR="004216E6" w:rsidRPr="00E70DEB" w:rsidRDefault="004216E6" w:rsidP="004216E6">
      <w:pPr>
        <w:pStyle w:val="NormalHanging12a"/>
      </w:pPr>
      <w:r w:rsidRPr="00E70DEB">
        <w:t>A.</w:t>
      </w:r>
      <w:r w:rsidRPr="00E70DEB">
        <w:tab/>
        <w:t>keďže rovnosť medzi ženami a mužmi je základnou zásadou EÚ; keďže hľadisko rodovej rovnosti a prierezový prístup by sa mali uplatňovať a integrovať v rámci všetkých politík EÚ; keďže vnútorné a vonkajšie politiky by mali zostať konzistentné a</w:t>
      </w:r>
      <w:r w:rsidR="008F4D8B">
        <w:t> </w:t>
      </w:r>
      <w:r w:rsidRPr="00E70DEB">
        <w:t>súdržné, aby sa zabezpečilo účinné a dôveryhodné presadzovanie ľudských práv, demokracie a rodovej rovnosti na celom svete;</w:t>
      </w:r>
    </w:p>
    <w:p w14:paraId="01DA8662" w14:textId="360DC703" w:rsidR="004216E6" w:rsidRPr="00E70DEB" w:rsidRDefault="00FC6D7B" w:rsidP="004216E6">
      <w:pPr>
        <w:pStyle w:val="NormalHanging12a"/>
        <w:rPr>
          <w:szCs w:val="24"/>
        </w:rPr>
      </w:pPr>
      <w:r w:rsidRPr="00E70DEB">
        <w:t>B.</w:t>
      </w:r>
      <w:r w:rsidRPr="00E70DEB">
        <w:tab/>
        <w:t>keďže práva žien a rodová rovnosť nie sú len základnými ľudskými právami, ale aj predpokladom na ďalší ľudský rozvoj a znižovanie chudoby a nevyhnutným základom pre mierový, prosperujúci a udržateľný svet;</w:t>
      </w:r>
    </w:p>
    <w:p w14:paraId="48D136F5" w14:textId="6571864B" w:rsidR="004216E6" w:rsidRPr="00E70DEB" w:rsidRDefault="00FC6D7B" w:rsidP="004216E6">
      <w:pPr>
        <w:pStyle w:val="NormalHanging12a"/>
        <w:rPr>
          <w:szCs w:val="24"/>
        </w:rPr>
      </w:pPr>
      <w:r w:rsidRPr="00E70DEB">
        <w:t>C.</w:t>
      </w:r>
      <w:r w:rsidRPr="00E70DEB">
        <w:tab/>
        <w:t>keďže prístup k spravodlivosti sa podľa medzinárodného práva všeobecne uznáva ako základné ľudské právo, kľúčová koncepcia v širšej oblasti spravodlivosti a základný kameň právneho štátu a demokracie; keďže EÚ uznáva prístup k spravodlivosti ako základné právo podľa článku 47 Charty základných práv Európskej únie;</w:t>
      </w:r>
    </w:p>
    <w:p w14:paraId="4176943D" w14:textId="3FE22A02" w:rsidR="004216E6" w:rsidRPr="00E70DEB" w:rsidRDefault="00FC6D7B" w:rsidP="004216E6">
      <w:pPr>
        <w:pStyle w:val="NormalHanging12a"/>
        <w:rPr>
          <w:szCs w:val="24"/>
        </w:rPr>
      </w:pPr>
      <w:r w:rsidRPr="00E70DEB">
        <w:t>D.</w:t>
      </w:r>
      <w:r w:rsidRPr="00E70DEB">
        <w:tab/>
        <w:t>keďže prístup žien k spravodlivosti je však naďalej zložitý a predstavuje významnú výzvu vo všetkých regiónoch sveta;</w:t>
      </w:r>
    </w:p>
    <w:p w14:paraId="115EBFB8" w14:textId="7A48EB60" w:rsidR="004216E6" w:rsidRPr="00E70DEB" w:rsidRDefault="00FC6D7B" w:rsidP="004216E6">
      <w:pPr>
        <w:pStyle w:val="NormalHanging12a"/>
        <w:rPr>
          <w:szCs w:val="24"/>
        </w:rPr>
      </w:pPr>
      <w:r w:rsidRPr="00E70DEB">
        <w:t>E.</w:t>
      </w:r>
      <w:r w:rsidRPr="00E70DEB">
        <w:tab/>
        <w:t>keďže na celom svete sú ženy stále vo výraznej miere nedostatočne zastúpené na najvyšších úrovniach súdnictva a prokuratúry, najmä vo vedúcich pozíciách, ako sú predsedovia súdov, najvyšší sudcovia a vedúci prokuratúr;</w:t>
      </w:r>
    </w:p>
    <w:p w14:paraId="0E34560C" w14:textId="1751A521" w:rsidR="004216E6" w:rsidRPr="00E70DEB" w:rsidRDefault="00FC6D7B" w:rsidP="00F8084D">
      <w:pPr>
        <w:pStyle w:val="NormalHanging12a"/>
        <w:rPr>
          <w:szCs w:val="24"/>
        </w:rPr>
      </w:pPr>
      <w:r w:rsidRPr="00E70DEB">
        <w:t>F.</w:t>
      </w:r>
      <w:r w:rsidRPr="00E70DEB">
        <w:tab/>
        <w:t>keďže OSN aktívne podporuje väčšiu účasť žien v súdnictve prostredníctvom špecializovaných iniciatív a kampaní; keďže väčšie zastúpenie žien v súdnych inštitúciách sa spája s presadzovaním prístupov k spravodlivosti, ktoré sú vo väčšej miere zamerané na obete;</w:t>
      </w:r>
    </w:p>
    <w:p w14:paraId="097C1C74" w14:textId="4121D732" w:rsidR="004216E6" w:rsidRPr="00E70DEB" w:rsidRDefault="00FC6D7B" w:rsidP="004216E6">
      <w:pPr>
        <w:pStyle w:val="NormalHanging12a"/>
        <w:rPr>
          <w:szCs w:val="24"/>
        </w:rPr>
      </w:pPr>
      <w:r w:rsidRPr="00E70DEB">
        <w:t>G.</w:t>
      </w:r>
      <w:r w:rsidRPr="00E70DEB">
        <w:tab/>
        <w:t>keďže násilie páchané na ženách a domáce násilie predstavuje porušenie základných práv; keďže právne systémy musia reagovať na osobitné potreby obetí rodovo motivovaného násilia tým, že im zabezpečia primeranú ochranu a prostriedky nápravy; keďže mnohé ženy stále čelia značným prekážkam pri oznamovaní násilia a prístupe k právnej podpore;</w:t>
      </w:r>
    </w:p>
    <w:p w14:paraId="651447A3" w14:textId="69E83E17" w:rsidR="004216E6" w:rsidRPr="00E70DEB" w:rsidRDefault="00FC6D7B" w:rsidP="004216E6">
      <w:pPr>
        <w:pStyle w:val="NormalHanging12a"/>
        <w:rPr>
          <w:szCs w:val="24"/>
        </w:rPr>
      </w:pPr>
      <w:r w:rsidRPr="00E70DEB">
        <w:t>H.</w:t>
      </w:r>
      <w:r w:rsidRPr="00E70DEB">
        <w:tab/>
        <w:t>keďže súdna stereotypizácia a prevládajúce rodové normy môžu ženám, ktoré sa stali obeťami a prežili násilie, brániť v prístupe k spravodlivosti;</w:t>
      </w:r>
    </w:p>
    <w:p w14:paraId="4E9173B9" w14:textId="7C83596A" w:rsidR="004216E6" w:rsidRPr="00E70DEB" w:rsidRDefault="00941E95" w:rsidP="004216E6">
      <w:pPr>
        <w:pStyle w:val="NormalHanging12a"/>
      </w:pPr>
      <w:r w:rsidRPr="00E70DEB">
        <w:t>1.</w:t>
      </w:r>
      <w:r w:rsidRPr="00E70DEB">
        <w:tab/>
        <w:t>odporúča Rade:</w:t>
      </w:r>
    </w:p>
    <w:p w14:paraId="5E76077F" w14:textId="5A16CF1F" w:rsidR="004216E6" w:rsidRPr="00E70DEB" w:rsidRDefault="00FC6D7B" w:rsidP="004216E6">
      <w:pPr>
        <w:pStyle w:val="NormalHanging12a"/>
        <w:ind w:firstLine="0"/>
      </w:pPr>
      <w:r w:rsidRPr="00E70DEB">
        <w:t>a)</w:t>
      </w:r>
      <w:r w:rsidRPr="00E70DEB">
        <w:tab/>
        <w:t>opätovne potvrdiť neochvejný záväzok EÚ presadzovať rodovú rovnosť a</w:t>
      </w:r>
      <w:r w:rsidR="008F4D8B">
        <w:t> </w:t>
      </w:r>
      <w:r w:rsidRPr="00E70DEB">
        <w:t xml:space="preserve">zabezpečovať, aby sa práva žien plne uplatňovali vo všetkých aspektoch vonkajšej </w:t>
      </w:r>
      <w:r w:rsidRPr="00E70DEB">
        <w:lastRenderedPageBreak/>
        <w:t>činnosti EÚ na základe primerane financovaného, rodovo transformačného, inkluzívneho a prierezového prístupu;</w:t>
      </w:r>
    </w:p>
    <w:p w14:paraId="376E0B38" w14:textId="4F3FF701" w:rsidR="004216E6" w:rsidRPr="00E70DEB" w:rsidRDefault="00FC6D7B" w:rsidP="004216E6">
      <w:pPr>
        <w:pStyle w:val="NormalHanging12a"/>
        <w:ind w:firstLine="0"/>
      </w:pPr>
      <w:r w:rsidRPr="00E70DEB">
        <w:t>b)</w:t>
      </w:r>
      <w:r w:rsidRPr="00E70DEB">
        <w:tab/>
        <w:t>zabezpečiť plné zapojenie Parlamentu a jeho Výboru pre práva žien a rodovú rovnosť do procesu rozhodovania o pozícii EÚ na 70. zasadnutí Komisie OSN pre postavenie žien; zabezpečiť, aby mal Parlament pred rokovaniami primerané informácie a prístup k pozičnému dokumentu EÚ; ďalej zlepšovať medziinštitucionálnu spoluprácu, a to aj počas rokovaní, tak aby sa riadne zohľadnili priority Parlamentu;</w:t>
      </w:r>
    </w:p>
    <w:p w14:paraId="0F1821AF" w14:textId="434F2010" w:rsidR="004216E6" w:rsidRPr="00E70DEB" w:rsidRDefault="00FC6D7B" w:rsidP="004216E6">
      <w:pPr>
        <w:pStyle w:val="NormalHanging12a"/>
        <w:ind w:firstLine="0"/>
      </w:pPr>
      <w:r w:rsidRPr="00E70DEB">
        <w:t>c)</w:t>
      </w:r>
      <w:r w:rsidRPr="00E70DEB">
        <w:tab/>
        <w:t>zaviazať sa k silnej podpore práce orgánu OSN Ženy, ktorý je ústredným aktérom v systéme OSN na podporu práv žien v celej ich rozmanitosti a na spájanie všetkých príslušných zainteresovaných strán s cieľom dosiahnuť politickú zmenu a</w:t>
      </w:r>
      <w:r w:rsidR="008F4D8B">
        <w:t> </w:t>
      </w:r>
      <w:r w:rsidRPr="00E70DEB">
        <w:t>koordinovať činnosti; vyzvať všetky členské štáty OSN, ako aj EÚ, aby pre orgán OSN Ženy zabezpečili primerané financovanie;</w:t>
      </w:r>
    </w:p>
    <w:p w14:paraId="09C979B9" w14:textId="561D6319" w:rsidR="004216E6" w:rsidRPr="00E70DEB" w:rsidRDefault="00FC6D7B" w:rsidP="004216E6">
      <w:pPr>
        <w:pStyle w:val="NormalHanging12a"/>
        <w:ind w:firstLine="0"/>
      </w:pPr>
      <w:r w:rsidRPr="00E70DEB">
        <w:t>d)</w:t>
      </w:r>
      <w:r w:rsidRPr="00E70DEB">
        <w:tab/>
        <w:t>zabezpečiť, aby európske a medzinárodné nástroje boli komplementárne a</w:t>
      </w:r>
      <w:r w:rsidR="008F4D8B">
        <w:t> </w:t>
      </w:r>
      <w:r w:rsidRPr="00E70DEB">
        <w:t>ambiciózne a obsahovali pevné a zásadné ustanovenia na posilnenie postavenia žien a</w:t>
      </w:r>
      <w:r w:rsidR="008F4D8B">
        <w:t> </w:t>
      </w:r>
      <w:r w:rsidRPr="00E70DEB">
        <w:t>zaručenie prístupu k spravodlivosti, a zohľadniť, že v tejto súvislosti má zásadný význam právo na právnu pomoc; zabezpečiť, aby EÚ preukázala silné vedúce postavenie a zaujala jednotnú pozíciu k inkluzívnym a nezaujatým justičným systémom prístupným pre všetkých, najmä pre znevýhodnené a zraniteľné skupiny žien, ktoré často v dôsledku nedostatkov v inštitucionálnych kapacitách, zo sociálno-kultúrnych dôvodov a z dôvodu diskriminácie čelia prekážkam v prístupe k spravodlivosti; preskúmať zavedenie osobitných súdov pre rodovo motivované násilie; presadzovať komplexné právne rámce, ktoré chránia práva žien a zabezpečujú plnú a rovnocennú účasť žien podľa vnútroštátneho aj medzinárodného práva;</w:t>
      </w:r>
    </w:p>
    <w:p w14:paraId="3009A9BA" w14:textId="6A18C4C4" w:rsidR="004216E6" w:rsidRPr="00E70DEB" w:rsidRDefault="00FC6D7B" w:rsidP="004216E6">
      <w:pPr>
        <w:pStyle w:val="NormalHanging12a"/>
        <w:ind w:firstLine="0"/>
      </w:pPr>
      <w:r w:rsidRPr="00E70DEB">
        <w:t>e)</w:t>
      </w:r>
      <w:r w:rsidRPr="00E70DEB">
        <w:tab/>
        <w:t>uplatňovať hľadisko rodovej rovnosti a rodové rozpočtovanie vo všetkých oblastiach politiky EÚ vrátane vonkajšej činnosti; zdôrazniť, že je potrebné, aby štáty vyčlenili dostatočné finančné prostriedky na rodovo responzívnu právnu pomoc a</w:t>
      </w:r>
      <w:r w:rsidR="008F4D8B">
        <w:t xml:space="preserve"> </w:t>
      </w:r>
      <w:r w:rsidRPr="00E70DEB">
        <w:t>podporné služby, najmä pre obete rodovo motivovaného násilia, a zabezpečili dostatočný prístup k odškodneniu, pretože existujúce prekážky neúmerne ovplyvňujú prístup žien k spravodlivosti;</w:t>
      </w:r>
    </w:p>
    <w:p w14:paraId="72A1CBDE" w14:textId="66543EA3" w:rsidR="004216E6" w:rsidRPr="00E70DEB" w:rsidRDefault="00FC6D7B" w:rsidP="004216E6">
      <w:pPr>
        <w:pStyle w:val="NormalHanging12a"/>
        <w:ind w:firstLine="0"/>
      </w:pPr>
      <w:r w:rsidRPr="00E70DEB">
        <w:t>f)</w:t>
      </w:r>
      <w:r w:rsidRPr="00E70DEB">
        <w:tab/>
        <w:t>urýchliť vykonávanie medzinárodných záväzkov s cieľom ďalej predchádzať všetkým formám násilia páchaného na ženách a dievčatách vo verejnej aj v súkromnej sfére a reagovať na ne, a to i pokiaľ ide o mrzačenie ženských pohlavných orgánov, nútené manželstvá, šírenie intímnych alebo zmanipulovaných záberov bez súhlasu, kybernetické nebezpečné prenasledovanie, kybernetické obťažovanie, posielanie obscénnych obrázkov (tzv. cyberflashing) a kybernetické podnecovanie k násiliu alebo nenávisti;</w:t>
      </w:r>
    </w:p>
    <w:p w14:paraId="41CD9603" w14:textId="6EAA7AFB" w:rsidR="004216E6" w:rsidRPr="00E70DEB" w:rsidRDefault="00FC6D7B" w:rsidP="004216E6">
      <w:pPr>
        <w:pStyle w:val="NormalHanging12a"/>
        <w:ind w:firstLine="0"/>
      </w:pPr>
      <w:r w:rsidRPr="00E70DEB">
        <w:t>g)</w:t>
      </w:r>
      <w:r w:rsidRPr="00E70DEB">
        <w:tab/>
        <w:t>prijať opatrenia na úplné vykonávanie existujúcich záväzkov v oblasti rodovej rovnosti a posilnenia postavenia žien, čím sa zabezpečí ochrana rovnakých ľudských práv a základných slobôd žien bez diskriminácie, v záujme podpory ich účasti na verejnom živote;</w:t>
      </w:r>
    </w:p>
    <w:p w14:paraId="43D20581" w14:textId="156F45B3" w:rsidR="004216E6" w:rsidRPr="00E70DEB" w:rsidRDefault="00FC6D7B" w:rsidP="004216E6">
      <w:pPr>
        <w:pStyle w:val="NormalHanging12a"/>
        <w:ind w:firstLine="0"/>
      </w:pPr>
      <w:r w:rsidRPr="00E70DEB">
        <w:t>h)</w:t>
      </w:r>
      <w:r w:rsidRPr="00E70DEB">
        <w:tab/>
        <w:t>zdôrazniť, že práva žien a rodová rovnosť sú základnými ľudskými právami, ktoré majú zásadný význam pre právny štát, odolné a inkluzívne demokracie a základné hodnoty EÚ; zdôrazniť, že je poľutovaniahodné, že milióny žien a dievčat, najmä v</w:t>
      </w:r>
      <w:r w:rsidR="008F4D8B">
        <w:t> </w:t>
      </w:r>
      <w:r w:rsidRPr="00E70DEB">
        <w:t xml:space="preserve">kontexte konfliktov a vysídľovania, naďalej čelia diskriminácii a násiliu a je im </w:t>
      </w:r>
      <w:r w:rsidRPr="00E70DEB">
        <w:lastRenderedPageBreak/>
        <w:t>odopieraná ich dôstojnosť a právo konať; opätovne zdôrazniť, že znásilnenie je stále jedným z najrozšírenejších prípadov porušenia ľudských práv na celom svete; zdôrazniť význam právnych predpisov o znásilnení postavených na absencii súhlasu;</w:t>
      </w:r>
    </w:p>
    <w:p w14:paraId="45E746B1" w14:textId="3FA235D1" w:rsidR="004216E6" w:rsidRPr="00E70DEB" w:rsidRDefault="00FC6D7B" w:rsidP="004216E6">
      <w:pPr>
        <w:pStyle w:val="NormalHanging12a"/>
        <w:ind w:firstLine="0"/>
      </w:pPr>
      <w:r w:rsidRPr="00E70DEB">
        <w:t>i)</w:t>
      </w:r>
      <w:r w:rsidRPr="00E70DEB">
        <w:tab/>
      </w:r>
      <w:r w:rsidRPr="00E70DEB">
        <w:tab/>
        <w:t>podporovať zastúpenie žien v súdnictve a jeho riadiacich orgánoch s cieľom odstrániť štrukturálne prekážky udržiavané patriarchálnym a androcentrickým justičným systémom;</w:t>
      </w:r>
    </w:p>
    <w:p w14:paraId="2B20958C" w14:textId="796B87B7" w:rsidR="004216E6" w:rsidRPr="00E70DEB" w:rsidRDefault="00941E95" w:rsidP="004216E6">
      <w:pPr>
        <w:pStyle w:val="NormalHanging12a"/>
      </w:pPr>
      <w:r w:rsidRPr="00E70DEB">
        <w:t>2.</w:t>
      </w:r>
      <w:r w:rsidRPr="00E70DEB">
        <w:tab/>
        <w:t>poveruje svoju predsedníčku, aby postúpila toto odporúčanie Rade, Komisii a</w:t>
      </w:r>
      <w:r w:rsidR="008F4D8B">
        <w:t> </w:t>
      </w:r>
      <w:r w:rsidRPr="00E70DEB">
        <w:t>podpredsedníčke Komisie/vysokej predstaviteľke Únie pre zahraničné veci a</w:t>
      </w:r>
      <w:r w:rsidR="008F4D8B">
        <w:t> </w:t>
      </w:r>
      <w:r w:rsidRPr="00E70DEB">
        <w:t>bezpečnostnú politiku a pre informáciu osobitnej zástupkyni Európskej únie pre ľudské práva.</w:t>
      </w:r>
    </w:p>
    <w:p w14:paraId="547EC32C" w14:textId="548FC90B" w:rsidR="00902C4B" w:rsidRPr="00E70DEB" w:rsidRDefault="00902C4B" w:rsidP="00FD4651">
      <w:pPr>
        <w:sectPr w:rsidR="00902C4B" w:rsidRPr="00E70DEB" w:rsidSect="00E70DE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14:paraId="1E12618D" w14:textId="77777777" w:rsidR="00902C4B" w:rsidRPr="00E70DEB" w:rsidRDefault="00D3400F" w:rsidP="00902C4B">
      <w:pPr>
        <w:pStyle w:val="PageHeading"/>
      </w:pPr>
      <w:bookmarkStart w:id="1" w:name="_Toc214619527"/>
      <w:r w:rsidRPr="00E70DEB">
        <w:lastRenderedPageBreak/>
        <w:t>DÔVODOVÁ SPRÁVA</w:t>
      </w:r>
      <w:bookmarkEnd w:id="1"/>
    </w:p>
    <w:p w14:paraId="42352DA6" w14:textId="1133082C" w:rsidR="00390253" w:rsidRPr="00E70DEB" w:rsidRDefault="00390253" w:rsidP="00390253">
      <w:r w:rsidRPr="00E70DEB">
        <w:t>Rovnosť žien a mužov je základným princípom Európskej únie. Hľadisko rodovej rovnosti a prierezový prístup sa musia uplatňovať a integrovať v rámci všetkých politík EÚ, čím sa zabezpečí ucelenosť medzi vnútornou a vonkajšou činnosťou v záujme podpory ľudských práv, demokracie a rodovej rovnosti na celom svete. Ľudské práva žien a rodová rovnosť nie sú len základnými právami, ale aj predpokladom rozvoja, znižovania chudoby a budovania mierových, prosperujúcich a udržateľných spoločností.</w:t>
      </w:r>
    </w:p>
    <w:p w14:paraId="0D250177" w14:textId="77777777" w:rsidR="00390253" w:rsidRPr="00E70DEB" w:rsidRDefault="00390253" w:rsidP="00390253"/>
    <w:p w14:paraId="5FB5E2A2" w14:textId="77777777" w:rsidR="00390253" w:rsidRPr="00E70DEB" w:rsidRDefault="00390253" w:rsidP="00390253">
      <w:r w:rsidRPr="00E70DEB">
        <w:t>Prístup k spravodlivosti, zakotvený v medzinárodnom práve a v článku 47 Charty základných práv Európskej únie, je ústredným prvkom právneho štátu a demokracie. Prístup žien k spravodlivosti je však naďalej zložitý a predstavuje významnú výzvu vo všetkých regiónoch sveta. Ženy sú stále vo výraznej miere nedostatočne zastúpené na najvyšších úrovniach súdnictva a prokuratúry, najmä vo vedúcich funkciách, ako sú predsedovia súdov a najvyšší sudcovia a vedúci prokuratúr. Súdna stereotypizácia a prevládajúce rodové normy zároveň bránia ženám, ktoré sa stali obeťami a prežili násilie, v prístupe spravodlivosti.</w:t>
      </w:r>
    </w:p>
    <w:p w14:paraId="5FC447BA" w14:textId="77777777" w:rsidR="00390253" w:rsidRPr="00E70DEB" w:rsidRDefault="00390253" w:rsidP="00390253"/>
    <w:p w14:paraId="08009379" w14:textId="77777777" w:rsidR="00390253" w:rsidRPr="00E70DEB" w:rsidRDefault="00390253" w:rsidP="00390253">
      <w:r w:rsidRPr="00E70DEB">
        <w:t>Organizácia Spojených národov podporuje väčšiu účasť žien v sektore súdnictva, pričom z dôkazov vyplýva, že väčšie zastúpenie žien v súdnych inštitúciách sa spája s presadzovaním prístupov k spravodlivosti, ktoré sú vo väčšej miere zamerané na obete. Je to obzvlášť dôležité pri reakcii na násilie páchané na ženách a domáce násilie, ktoré predstavujú porušovanie základných práv. Právne systémy musia reagovať na potreby obetí zabezpečením primeranej ochrany a prostriedkov nápravy, mnohé ženy však stále čelia značným prekážkam pri oznamovaní násilia a pri prístupe k právnej podpore. Skúsenosti mnohých žien a dievčat, najmä tých, ktoré čelia viacnásobným a prierezovým formám diskriminácie, s justičným systémom nasvedčujú tomu, že tento systém je necitlivý voči problémom zraniteľných skupín.</w:t>
      </w:r>
    </w:p>
    <w:p w14:paraId="192647D3" w14:textId="77777777" w:rsidR="00390253" w:rsidRPr="00E70DEB" w:rsidRDefault="00390253" w:rsidP="00390253"/>
    <w:p w14:paraId="6C9E2C56" w14:textId="3006CD69" w:rsidR="00390253" w:rsidRPr="00E70DEB" w:rsidRDefault="00390253" w:rsidP="00390253">
      <w:r w:rsidRPr="00E70DEB">
        <w:t>V tomto odporúčaní sa Rada vyzýva, aby opätovne potvrdila záväzok EÚ k rodovej rovnosti a zabezpečila, aby sa práva žien v plnej miere uplatňovali vo všetkých aspektoch vonkajšej činnosti EÚ prostredníctvom inkluzívneho, prierezového a primerane financovaného prístupu. Zároveň sa v ňom zdôrazňuje potreba plného zapojenia Parlamentu a jeho Výboru pre práva žien a rodovú rovnosť do formovania pozície EÚ na 70. zasadnutie Komisie OSN pre postavenie žien;</w:t>
      </w:r>
    </w:p>
    <w:p w14:paraId="0B17D269" w14:textId="77777777" w:rsidR="00390253" w:rsidRPr="00E70DEB" w:rsidRDefault="00390253" w:rsidP="00390253"/>
    <w:p w14:paraId="2BEFC0AA" w14:textId="5A901345" w:rsidR="00390253" w:rsidRPr="00E70DEB" w:rsidRDefault="00390253" w:rsidP="00390253">
      <w:r w:rsidRPr="00E70DEB">
        <w:t>V odporúčaní sa ďalej uvádza záväzok k silnej podpory orgánu OSN Ženy ako ústredného aktéra v rámci systému OSN na presadzovanie práv žien, pričom sa všetky členské štáty OSN spolu s EÚ vyzývajú, aby poskytovali primerané finančné prostriedky. Zdôrazňuje sa v ňom význam ambicióznych a komplementárnych európskych a medzinárodných nástrojov so spoľahlivými ustanoveniami na zaručenie posilnenia postavenia žien a prístupu k spravodlivosti vrátane prístupu k právnej pomoci a zváženia špecializovaných súdov pre rodovo motivované násilie. Ochrana práv žien prostredníctvom účinných justičných systémov vytvára cestu k spravodlivejšej spoločnosti v súlade s účinným vykonávaním Agendy 2030 pre udržateľný rozvoj (cieľ udržateľného rozvoja č. 16).</w:t>
      </w:r>
    </w:p>
    <w:p w14:paraId="27BF0E47" w14:textId="77777777" w:rsidR="00390253" w:rsidRPr="00E70DEB" w:rsidRDefault="00390253" w:rsidP="00390253"/>
    <w:p w14:paraId="67938F6F" w14:textId="21D61F03" w:rsidR="00390253" w:rsidRPr="00E70DEB" w:rsidRDefault="00390253" w:rsidP="00390253">
      <w:r w:rsidRPr="00E70DEB">
        <w:t xml:space="preserve">V odporúčaní sa napokon zdôrazňuje potreba uplatňovania hľadiska rodovej rovnosti a rodového rozpočtovania vo všetkých oblastiach politiky EÚ, potreba urýchlenia medzinárodných záväzkov na predchádzanie všetkým formám násilia páchaného na ženách a dievčatách, ako aj potreba podpory rovnocenného zastúpenia žien v súdnictve. Práva žien a </w:t>
      </w:r>
      <w:r w:rsidRPr="00E70DEB">
        <w:lastRenderedPageBreak/>
        <w:t>rodová rovnosť majú zásadný význam z hľadiska právneho štátu, odolných demokracií a základných hodnôt EÚ a Únia musí preukázať vedúce postavenie pri zabezpečovaní toho, aby boli tieto práva zaručené v praxi. Prístup k spravodlivosti pre všetkých je kľúčom k spravodlivým a inkluzívnym spoločnostiam a predpokladom pre skutočnú rodovú rovnosť a ľudské práva.</w:t>
      </w:r>
    </w:p>
    <w:sectPr w:rsidR="00390253" w:rsidRPr="00E70DEB" w:rsidSect="008F067F"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08A1" w14:textId="77777777" w:rsidR="00D3400F" w:rsidRPr="00E70DEB" w:rsidRDefault="00D3400F">
      <w:r w:rsidRPr="00E70DEB">
        <w:separator/>
      </w:r>
    </w:p>
  </w:endnote>
  <w:endnote w:type="continuationSeparator" w:id="0">
    <w:p w14:paraId="504225F0" w14:textId="77777777" w:rsidR="00D3400F" w:rsidRPr="00E70DEB" w:rsidRDefault="00D3400F">
      <w:r w:rsidRPr="00E70DE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653AC" w14:textId="77777777" w:rsidR="00E70DEB" w:rsidRPr="00E70DEB" w:rsidRDefault="00E70DEB" w:rsidP="00E70DEB">
    <w:pPr>
      <w:pStyle w:val="EPFooter"/>
    </w:pPr>
    <w:r w:rsidRPr="00E70DEB">
      <w:t>PE</w:t>
    </w:r>
    <w:r w:rsidRPr="00E70DEB">
      <w:rPr>
        <w:rStyle w:val="HideTWBExt"/>
      </w:rPr>
      <w:t>&lt;NoPE&gt;</w:t>
    </w:r>
    <w:r w:rsidRPr="00E70DEB">
      <w:t>776.895</w:t>
    </w:r>
    <w:r w:rsidRPr="00E70DEB">
      <w:rPr>
        <w:rStyle w:val="HideTWBExt"/>
      </w:rPr>
      <w:t>&lt;/NoPE&gt;&lt;Version&gt;</w:t>
    </w:r>
    <w:r w:rsidRPr="00E70DEB">
      <w:t>v02-00</w:t>
    </w:r>
    <w:r w:rsidRPr="00E70DEB">
      <w:rPr>
        <w:rStyle w:val="HideTWBExt"/>
      </w:rPr>
      <w:t>&lt;/Version&gt;</w:t>
    </w:r>
    <w:r w:rsidRPr="00E70DEB">
      <w:tab/>
    </w:r>
    <w:r w:rsidRPr="00E70DEB">
      <w:fldChar w:fldCharType="begin"/>
    </w:r>
    <w:r w:rsidRPr="00E70DEB">
      <w:instrText xml:space="preserve"> PAGE  \* MERGEFORMAT </w:instrText>
    </w:r>
    <w:r w:rsidRPr="00E70DEB">
      <w:fldChar w:fldCharType="separate"/>
    </w:r>
    <w:r w:rsidRPr="00E70DEB">
      <w:rPr>
        <w:noProof/>
      </w:rPr>
      <w:t>2</w:t>
    </w:r>
    <w:r w:rsidRPr="00E70DEB">
      <w:fldChar w:fldCharType="end"/>
    </w:r>
    <w:r w:rsidRPr="00E70DEB">
      <w:t>/</w:t>
    </w:r>
    <w:fldSimple w:instr=" NUMPAGES  \* MERGEFORMAT ">
      <w:r w:rsidRPr="00E70DEB">
        <w:rPr>
          <w:noProof/>
        </w:rPr>
        <w:t>1</w:t>
      </w:r>
    </w:fldSimple>
    <w:r w:rsidRPr="00E70DEB">
      <w:tab/>
    </w:r>
    <w:r w:rsidRPr="00E70DEB">
      <w:rPr>
        <w:rStyle w:val="HideTWBExt"/>
      </w:rPr>
      <w:t>&lt;PathFdR&gt;</w:t>
    </w:r>
    <w:r w:rsidRPr="00E70DEB">
      <w:t>PR\1332470SK.docx</w:t>
    </w:r>
    <w:r w:rsidRPr="00E70DEB">
      <w:rPr>
        <w:rStyle w:val="HideTWBExt"/>
      </w:rPr>
      <w:t>&lt;/PathFdR&gt;</w:t>
    </w:r>
  </w:p>
  <w:p w14:paraId="2433F31E" w14:textId="524D3BF8" w:rsidR="00144AD8" w:rsidRPr="00E70DEB" w:rsidRDefault="00E70DEB" w:rsidP="00E70DEB">
    <w:pPr>
      <w:pStyle w:val="EPFooter2"/>
    </w:pPr>
    <w:r w:rsidRPr="00E70DEB">
      <w:t>SK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0E83B" w14:textId="77777777" w:rsidR="00E70DEB" w:rsidRPr="00E70DEB" w:rsidRDefault="00E70DEB" w:rsidP="00E70DEB">
    <w:pPr>
      <w:pStyle w:val="EPFooter"/>
    </w:pPr>
    <w:r w:rsidRPr="00E70DEB">
      <w:rPr>
        <w:rStyle w:val="HideTWBExt"/>
      </w:rPr>
      <w:t>&lt;PathFdR&gt;</w:t>
    </w:r>
    <w:r w:rsidRPr="00E70DEB">
      <w:t>PR\1332470SK.docx</w:t>
    </w:r>
    <w:r w:rsidRPr="00E70DEB">
      <w:rPr>
        <w:rStyle w:val="HideTWBExt"/>
      </w:rPr>
      <w:t>&lt;/PathFdR&gt;</w:t>
    </w:r>
    <w:r w:rsidRPr="00E70DEB">
      <w:tab/>
    </w:r>
    <w:r w:rsidRPr="00E70DEB">
      <w:fldChar w:fldCharType="begin"/>
    </w:r>
    <w:r w:rsidRPr="00E70DEB">
      <w:instrText xml:space="preserve"> PAGE  \* MERGEFORMAT </w:instrText>
    </w:r>
    <w:r w:rsidRPr="00E70DEB">
      <w:fldChar w:fldCharType="separate"/>
    </w:r>
    <w:r w:rsidRPr="00E70DEB">
      <w:rPr>
        <w:noProof/>
      </w:rPr>
      <w:t>9</w:t>
    </w:r>
    <w:r w:rsidRPr="00E70DEB">
      <w:fldChar w:fldCharType="end"/>
    </w:r>
    <w:r w:rsidRPr="00E70DEB">
      <w:t>/</w:t>
    </w:r>
    <w:fldSimple w:instr=" NUMPAGES  \* MERGEFORMAT ">
      <w:r w:rsidRPr="00E70DEB">
        <w:rPr>
          <w:noProof/>
        </w:rPr>
        <w:t>1</w:t>
      </w:r>
    </w:fldSimple>
    <w:r w:rsidRPr="00E70DEB">
      <w:tab/>
      <w:t>PE</w:t>
    </w:r>
    <w:r w:rsidRPr="00E70DEB">
      <w:rPr>
        <w:rStyle w:val="HideTWBExt"/>
      </w:rPr>
      <w:t>&lt;NoPE&gt;</w:t>
    </w:r>
    <w:r w:rsidRPr="00E70DEB">
      <w:t>776.895</w:t>
    </w:r>
    <w:r w:rsidRPr="00E70DEB">
      <w:rPr>
        <w:rStyle w:val="HideTWBExt"/>
      </w:rPr>
      <w:t>&lt;/NoPE&gt;&lt;Version&gt;</w:t>
    </w:r>
    <w:r w:rsidRPr="00E70DEB">
      <w:t>v02-00</w:t>
    </w:r>
    <w:r w:rsidRPr="00E70DEB">
      <w:rPr>
        <w:rStyle w:val="HideTWBExt"/>
      </w:rPr>
      <w:t>&lt;/Version&gt;</w:t>
    </w:r>
  </w:p>
  <w:p w14:paraId="595F0F4A" w14:textId="57FBEDF3" w:rsidR="00144AD8" w:rsidRPr="00E70DEB" w:rsidRDefault="00E70DEB" w:rsidP="00E70DEB">
    <w:pPr>
      <w:pStyle w:val="EPFooter2"/>
    </w:pPr>
    <w:r w:rsidRPr="00E70DEB">
      <w:tab/>
    </w:r>
    <w:r w:rsidRPr="00E70DEB">
      <w:tab/>
      <w:t>SK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F6FB" w14:textId="77777777" w:rsidR="00E70DEB" w:rsidRPr="00E70DEB" w:rsidRDefault="00E70DEB" w:rsidP="00E70DEB">
    <w:pPr>
      <w:pStyle w:val="EPFooter"/>
    </w:pPr>
    <w:r w:rsidRPr="00E70DEB">
      <w:rPr>
        <w:rStyle w:val="HideTWBExt"/>
      </w:rPr>
      <w:t>&lt;PathFdR&gt;</w:t>
    </w:r>
    <w:r w:rsidRPr="00E70DEB">
      <w:t>PR\1332470SK.docx</w:t>
    </w:r>
    <w:r w:rsidRPr="00E70DEB">
      <w:rPr>
        <w:rStyle w:val="HideTWBExt"/>
      </w:rPr>
      <w:t>&lt;/PathFdR&gt;</w:t>
    </w:r>
    <w:r w:rsidRPr="00E70DEB">
      <w:tab/>
    </w:r>
    <w:r w:rsidRPr="00E70DEB">
      <w:tab/>
      <w:t>PE</w:t>
    </w:r>
    <w:r w:rsidRPr="00E70DEB">
      <w:rPr>
        <w:rStyle w:val="HideTWBExt"/>
      </w:rPr>
      <w:t>&lt;NoPE&gt;</w:t>
    </w:r>
    <w:r w:rsidRPr="00E70DEB">
      <w:t>776.895</w:t>
    </w:r>
    <w:r w:rsidRPr="00E70DEB">
      <w:rPr>
        <w:rStyle w:val="HideTWBExt"/>
      </w:rPr>
      <w:t>&lt;/NoPE&gt;&lt;Version&gt;</w:t>
    </w:r>
    <w:r w:rsidRPr="00E70DEB">
      <w:t>v02-00</w:t>
    </w:r>
    <w:r w:rsidRPr="00E70DEB">
      <w:rPr>
        <w:rStyle w:val="HideTWBExt"/>
      </w:rPr>
      <w:t>&lt;/Version&gt;</w:t>
    </w:r>
  </w:p>
  <w:p w14:paraId="5C5FD736" w14:textId="43FFECE3" w:rsidR="00144AD8" w:rsidRPr="00E70DEB" w:rsidRDefault="00E70DEB" w:rsidP="00E70DEB">
    <w:pPr>
      <w:pStyle w:val="EPFooter2"/>
    </w:pPr>
    <w:r w:rsidRPr="00E70DEB">
      <w:t>SK</w:t>
    </w:r>
    <w:r w:rsidRPr="00E70DEB">
      <w:tab/>
    </w:r>
    <w:r w:rsidRPr="00E70DEB">
      <w:rPr>
        <w:b w:val="0"/>
        <w:i/>
        <w:color w:val="C0C0C0"/>
        <w:sz w:val="22"/>
      </w:rPr>
      <w:t>Zjednotení v rozmanitosti</w:t>
    </w:r>
    <w:r w:rsidRPr="00E70DEB">
      <w:tab/>
      <w:t>SK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6E74C" w14:textId="77777777" w:rsidR="00D3400F" w:rsidRPr="00E70DEB" w:rsidRDefault="00D3400F">
      <w:r w:rsidRPr="00E70DEB">
        <w:separator/>
      </w:r>
    </w:p>
  </w:footnote>
  <w:footnote w:type="continuationSeparator" w:id="0">
    <w:p w14:paraId="0FD00A6B" w14:textId="77777777" w:rsidR="00D3400F" w:rsidRPr="00E70DEB" w:rsidRDefault="00D3400F">
      <w:r w:rsidRPr="00E70DEB">
        <w:continuationSeparator/>
      </w:r>
    </w:p>
  </w:footnote>
  <w:footnote w:id="1">
    <w:p w14:paraId="5AB6A84F" w14:textId="1B5F6C21" w:rsidR="00F92A4A" w:rsidRPr="00E70DEB" w:rsidRDefault="00F92A4A">
      <w:pPr>
        <w:pStyle w:val="FootnoteText"/>
      </w:pPr>
      <w:r w:rsidRPr="00E70DEB">
        <w:rPr>
          <w:rStyle w:val="FootnoteReference"/>
        </w:rPr>
        <w:footnoteRef/>
      </w:r>
      <w:r w:rsidRPr="00E70DEB">
        <w:t xml:space="preserve"> Ú. v. EÚ L 315, 14.11.2012, s. 57, ELI: </w:t>
      </w:r>
      <w:hyperlink r:id="rId1" w:tooltip="Umožňuje prístup k tomuto dokumentu prostredníctvom identifikátora URI používaného v rámci ELI." w:history="1">
        <w:r w:rsidRPr="00E70DEB">
          <w:rPr>
            <w:rStyle w:val="Hyperlink"/>
          </w:rPr>
          <w:t>http://data.europa.eu/eli/dir/2012/29/oj</w:t>
        </w:r>
      </w:hyperlink>
      <w:r w:rsidRPr="00E70DEB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D4C6C" w14:textId="77777777" w:rsidR="008F4D8B" w:rsidRDefault="008F4D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EE832" w14:textId="77777777" w:rsidR="008F4D8B" w:rsidRDefault="008F4D8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7AF50" w14:textId="77777777" w:rsidR="008F4D8B" w:rsidRDefault="008F4D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D90B9F"/>
    <w:multiLevelType w:val="hybridMultilevel"/>
    <w:tmpl w:val="2D185E4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DF5FFC"/>
    <w:multiLevelType w:val="hybridMultilevel"/>
    <w:tmpl w:val="3ED85424"/>
    <w:lvl w:ilvl="0" w:tplc="049AD322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B733C1"/>
    <w:multiLevelType w:val="hybridMultilevel"/>
    <w:tmpl w:val="82A8040E"/>
    <w:lvl w:ilvl="0" w:tplc="B4A24A6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5B2F11"/>
    <w:multiLevelType w:val="hybridMultilevel"/>
    <w:tmpl w:val="C00CFDF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797057">
    <w:abstractNumId w:val="9"/>
  </w:num>
  <w:num w:numId="2" w16cid:durableId="1162887863">
    <w:abstractNumId w:val="9"/>
  </w:num>
  <w:num w:numId="3" w16cid:durableId="57366499">
    <w:abstractNumId w:val="7"/>
  </w:num>
  <w:num w:numId="4" w16cid:durableId="436606001">
    <w:abstractNumId w:val="7"/>
  </w:num>
  <w:num w:numId="5" w16cid:durableId="1165165287">
    <w:abstractNumId w:val="6"/>
  </w:num>
  <w:num w:numId="6" w16cid:durableId="1779061856">
    <w:abstractNumId w:val="6"/>
  </w:num>
  <w:num w:numId="7" w16cid:durableId="2137216953">
    <w:abstractNumId w:val="5"/>
  </w:num>
  <w:num w:numId="8" w16cid:durableId="1532111925">
    <w:abstractNumId w:val="5"/>
  </w:num>
  <w:num w:numId="9" w16cid:durableId="566039089">
    <w:abstractNumId w:val="4"/>
  </w:num>
  <w:num w:numId="10" w16cid:durableId="647125523">
    <w:abstractNumId w:val="4"/>
  </w:num>
  <w:num w:numId="11" w16cid:durableId="1122648178">
    <w:abstractNumId w:val="8"/>
  </w:num>
  <w:num w:numId="12" w16cid:durableId="1928343531">
    <w:abstractNumId w:val="8"/>
  </w:num>
  <w:num w:numId="13" w16cid:durableId="215701509">
    <w:abstractNumId w:val="3"/>
  </w:num>
  <w:num w:numId="14" w16cid:durableId="978025668">
    <w:abstractNumId w:val="3"/>
  </w:num>
  <w:num w:numId="15" w16cid:durableId="1747531408">
    <w:abstractNumId w:val="2"/>
  </w:num>
  <w:num w:numId="16" w16cid:durableId="1457795142">
    <w:abstractNumId w:val="2"/>
  </w:num>
  <w:num w:numId="17" w16cid:durableId="1248493009">
    <w:abstractNumId w:val="1"/>
  </w:num>
  <w:num w:numId="18" w16cid:durableId="1688753840">
    <w:abstractNumId w:val="1"/>
  </w:num>
  <w:num w:numId="19" w16cid:durableId="434062385">
    <w:abstractNumId w:val="0"/>
  </w:num>
  <w:num w:numId="20" w16cid:durableId="596328263">
    <w:abstractNumId w:val="0"/>
  </w:num>
  <w:num w:numId="21" w16cid:durableId="763301141">
    <w:abstractNumId w:val="9"/>
  </w:num>
  <w:num w:numId="22" w16cid:durableId="1876427258">
    <w:abstractNumId w:val="7"/>
  </w:num>
  <w:num w:numId="23" w16cid:durableId="219172838">
    <w:abstractNumId w:val="6"/>
  </w:num>
  <w:num w:numId="24" w16cid:durableId="1320231647">
    <w:abstractNumId w:val="5"/>
  </w:num>
  <w:num w:numId="25" w16cid:durableId="607349351">
    <w:abstractNumId w:val="4"/>
  </w:num>
  <w:num w:numId="26" w16cid:durableId="895581408">
    <w:abstractNumId w:val="8"/>
  </w:num>
  <w:num w:numId="27" w16cid:durableId="1464687739">
    <w:abstractNumId w:val="3"/>
  </w:num>
  <w:num w:numId="28" w16cid:durableId="869562472">
    <w:abstractNumId w:val="2"/>
  </w:num>
  <w:num w:numId="29" w16cid:durableId="1633900284">
    <w:abstractNumId w:val="1"/>
  </w:num>
  <w:num w:numId="30" w16cid:durableId="1083530876">
    <w:abstractNumId w:val="0"/>
  </w:num>
  <w:num w:numId="31" w16cid:durableId="1185896692">
    <w:abstractNumId w:val="9"/>
  </w:num>
  <w:num w:numId="32" w16cid:durableId="1060447434">
    <w:abstractNumId w:val="7"/>
  </w:num>
  <w:num w:numId="33" w16cid:durableId="1154875675">
    <w:abstractNumId w:val="6"/>
  </w:num>
  <w:num w:numId="34" w16cid:durableId="858279285">
    <w:abstractNumId w:val="5"/>
  </w:num>
  <w:num w:numId="35" w16cid:durableId="2056201424">
    <w:abstractNumId w:val="4"/>
  </w:num>
  <w:num w:numId="36" w16cid:durableId="560407856">
    <w:abstractNumId w:val="8"/>
  </w:num>
  <w:num w:numId="37" w16cid:durableId="1728842512">
    <w:abstractNumId w:val="3"/>
  </w:num>
  <w:num w:numId="38" w16cid:durableId="35546412">
    <w:abstractNumId w:val="2"/>
  </w:num>
  <w:num w:numId="39" w16cid:durableId="964389001">
    <w:abstractNumId w:val="1"/>
  </w:num>
  <w:num w:numId="40" w16cid:durableId="2128546685">
    <w:abstractNumId w:val="0"/>
  </w:num>
  <w:num w:numId="41" w16cid:durableId="184441767">
    <w:abstractNumId w:val="12"/>
  </w:num>
  <w:num w:numId="42" w16cid:durableId="6540733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36428190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01215099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KEY" w:val="FEMM"/>
    <w:docVar w:name="INSTMNU" w:val=" 1"/>
    <w:docVar w:name="LastEditedSection" w:val=" 1"/>
    <w:docVar w:name="strDocTypeID" w:val="PR_INI_RecommCFSP"/>
    <w:docVar w:name="strSubDir" w:val="1332"/>
    <w:docVar w:name="TXTLANGUE" w:val="EN"/>
    <w:docVar w:name="TXTLANGUEMIN" w:val="en"/>
    <w:docVar w:name="TXTNRINI" w:val="2025/0000"/>
    <w:docVar w:name="TXTNRPE" w:val="776.895"/>
    <w:docVar w:name="TXTPEorAP" w:val="PE"/>
    <w:docVar w:name="TXTROUTE" w:val="PR\1332470EN.docx"/>
    <w:docVar w:name="TXTTITLE" w:val="the EU priorities for the 70th session of the UN Commission on the Status of Women"/>
    <w:docVar w:name="TXTVERSION" w:val="02-00"/>
  </w:docVars>
  <w:rsids>
    <w:rsidRoot w:val="00D3400F"/>
    <w:rsid w:val="000005E5"/>
    <w:rsid w:val="00001993"/>
    <w:rsid w:val="00005D56"/>
    <w:rsid w:val="00010437"/>
    <w:rsid w:val="00020ED8"/>
    <w:rsid w:val="000239F7"/>
    <w:rsid w:val="00025F31"/>
    <w:rsid w:val="00105305"/>
    <w:rsid w:val="00144AD8"/>
    <w:rsid w:val="001533B4"/>
    <w:rsid w:val="00160F77"/>
    <w:rsid w:val="00173DC5"/>
    <w:rsid w:val="001748A3"/>
    <w:rsid w:val="001815BB"/>
    <w:rsid w:val="001876BE"/>
    <w:rsid w:val="001944B2"/>
    <w:rsid w:val="001A6651"/>
    <w:rsid w:val="001B22EB"/>
    <w:rsid w:val="001B6AE5"/>
    <w:rsid w:val="00225562"/>
    <w:rsid w:val="00234B03"/>
    <w:rsid w:val="0024591C"/>
    <w:rsid w:val="00266F7B"/>
    <w:rsid w:val="00267945"/>
    <w:rsid w:val="00281021"/>
    <w:rsid w:val="002C0BF6"/>
    <w:rsid w:val="00300BF7"/>
    <w:rsid w:val="00310F0B"/>
    <w:rsid w:val="003253FD"/>
    <w:rsid w:val="0032649C"/>
    <w:rsid w:val="0037604E"/>
    <w:rsid w:val="00387C58"/>
    <w:rsid w:val="00390253"/>
    <w:rsid w:val="00392F42"/>
    <w:rsid w:val="00393B38"/>
    <w:rsid w:val="003D0074"/>
    <w:rsid w:val="004216E6"/>
    <w:rsid w:val="00434A68"/>
    <w:rsid w:val="00451A82"/>
    <w:rsid w:val="00480DEA"/>
    <w:rsid w:val="004A388E"/>
    <w:rsid w:val="004A5141"/>
    <w:rsid w:val="004C60CB"/>
    <w:rsid w:val="004C76B9"/>
    <w:rsid w:val="004D5F5D"/>
    <w:rsid w:val="005133F6"/>
    <w:rsid w:val="00554B6E"/>
    <w:rsid w:val="005577F1"/>
    <w:rsid w:val="005707B9"/>
    <w:rsid w:val="00575311"/>
    <w:rsid w:val="0058789A"/>
    <w:rsid w:val="005E5A0F"/>
    <w:rsid w:val="006067F0"/>
    <w:rsid w:val="0061137D"/>
    <w:rsid w:val="0062719E"/>
    <w:rsid w:val="00627DF1"/>
    <w:rsid w:val="00636FA9"/>
    <w:rsid w:val="00651102"/>
    <w:rsid w:val="00686DFF"/>
    <w:rsid w:val="0069495A"/>
    <w:rsid w:val="00696C67"/>
    <w:rsid w:val="006A7D5C"/>
    <w:rsid w:val="006C1E65"/>
    <w:rsid w:val="006D4C8E"/>
    <w:rsid w:val="006E363A"/>
    <w:rsid w:val="006F094F"/>
    <w:rsid w:val="006F2AF3"/>
    <w:rsid w:val="0072199F"/>
    <w:rsid w:val="00724B9E"/>
    <w:rsid w:val="00747A00"/>
    <w:rsid w:val="00792335"/>
    <w:rsid w:val="007A12A3"/>
    <w:rsid w:val="007B69EF"/>
    <w:rsid w:val="007C4764"/>
    <w:rsid w:val="007F392E"/>
    <w:rsid w:val="00801386"/>
    <w:rsid w:val="0081489C"/>
    <w:rsid w:val="0083042A"/>
    <w:rsid w:val="00855A58"/>
    <w:rsid w:val="0086407B"/>
    <w:rsid w:val="00865AB2"/>
    <w:rsid w:val="008A2913"/>
    <w:rsid w:val="008A7BA8"/>
    <w:rsid w:val="008B64B6"/>
    <w:rsid w:val="008F067F"/>
    <w:rsid w:val="008F4D8B"/>
    <w:rsid w:val="00902C4B"/>
    <w:rsid w:val="009062FC"/>
    <w:rsid w:val="009302EC"/>
    <w:rsid w:val="00931782"/>
    <w:rsid w:val="009340AC"/>
    <w:rsid w:val="00941E95"/>
    <w:rsid w:val="0097457B"/>
    <w:rsid w:val="009907C2"/>
    <w:rsid w:val="009B3734"/>
    <w:rsid w:val="00A144CA"/>
    <w:rsid w:val="00A22B21"/>
    <w:rsid w:val="00A6377C"/>
    <w:rsid w:val="00A74837"/>
    <w:rsid w:val="00AA5FA9"/>
    <w:rsid w:val="00AE302F"/>
    <w:rsid w:val="00AF2187"/>
    <w:rsid w:val="00AF289B"/>
    <w:rsid w:val="00B10048"/>
    <w:rsid w:val="00B26C55"/>
    <w:rsid w:val="00B5366B"/>
    <w:rsid w:val="00B6527B"/>
    <w:rsid w:val="00B6642B"/>
    <w:rsid w:val="00B669D2"/>
    <w:rsid w:val="00B801FB"/>
    <w:rsid w:val="00B97AA4"/>
    <w:rsid w:val="00BC0749"/>
    <w:rsid w:val="00BD0C84"/>
    <w:rsid w:val="00BE7750"/>
    <w:rsid w:val="00C255BD"/>
    <w:rsid w:val="00C3019B"/>
    <w:rsid w:val="00C46AAA"/>
    <w:rsid w:val="00C47D1A"/>
    <w:rsid w:val="00C7235E"/>
    <w:rsid w:val="00C7360B"/>
    <w:rsid w:val="00CA0DE5"/>
    <w:rsid w:val="00CB2AC0"/>
    <w:rsid w:val="00D3400F"/>
    <w:rsid w:val="00D349C1"/>
    <w:rsid w:val="00D860C1"/>
    <w:rsid w:val="00D94189"/>
    <w:rsid w:val="00DD2EF4"/>
    <w:rsid w:val="00E0274C"/>
    <w:rsid w:val="00E048E2"/>
    <w:rsid w:val="00E05579"/>
    <w:rsid w:val="00E24005"/>
    <w:rsid w:val="00E24484"/>
    <w:rsid w:val="00E26C78"/>
    <w:rsid w:val="00E34F46"/>
    <w:rsid w:val="00E70DEB"/>
    <w:rsid w:val="00EA624D"/>
    <w:rsid w:val="00EC07AD"/>
    <w:rsid w:val="00F01801"/>
    <w:rsid w:val="00F0502F"/>
    <w:rsid w:val="00F25BBD"/>
    <w:rsid w:val="00F505B6"/>
    <w:rsid w:val="00F65426"/>
    <w:rsid w:val="00F8084D"/>
    <w:rsid w:val="00F92A4A"/>
    <w:rsid w:val="00F955E5"/>
    <w:rsid w:val="00FA7E38"/>
    <w:rsid w:val="00FC504F"/>
    <w:rsid w:val="00FC5F47"/>
    <w:rsid w:val="00FC665B"/>
    <w:rsid w:val="00FC6D7B"/>
    <w:rsid w:val="00FD4651"/>
    <w:rsid w:val="00FE5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280728"/>
  <w15:chartTrackingRefBased/>
  <w15:docId w15:val="{AED6FFF9-FF7B-4D20-9E32-4847834E9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4B03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EPComma">
    <w:name w:val="EPComma"/>
    <w:basedOn w:val="Normal"/>
    <w:rsid w:val="00A144CA"/>
    <w:pPr>
      <w:spacing w:before="480" w:after="240"/>
    </w:pPr>
  </w:style>
  <w:style w:type="paragraph" w:styleId="TOC1">
    <w:name w:val="toc 1"/>
    <w:basedOn w:val="Normal"/>
    <w:next w:val="Normal"/>
    <w:autoRedefine/>
    <w:uiPriority w:val="39"/>
    <w:rsid w:val="00005D56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Hanging12a">
    <w:name w:val="NormalHanging12a"/>
    <w:basedOn w:val="Normal"/>
    <w:link w:val="NormalHanging12aChar"/>
    <w:pPr>
      <w:spacing w:after="240"/>
      <w:ind w:left="567" w:hanging="567"/>
    </w:pPr>
  </w:style>
  <w:style w:type="paragraph" w:customStyle="1" w:styleId="EPName">
    <w:name w:val="EPName"/>
    <w:basedOn w:val="Normal"/>
    <w:rsid w:val="009340AC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C47D1A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rsid w:val="006E363A"/>
    <w:pPr>
      <w:spacing w:before="1080"/>
      <w:jc w:val="right"/>
    </w:pPr>
    <w:rPr>
      <w:rFonts w:ascii="Arial" w:hAnsi="Arial" w:cs="Arial"/>
      <w:b/>
    </w:rPr>
  </w:style>
  <w:style w:type="paragraph" w:customStyle="1" w:styleId="CoverDocType24a">
    <w:name w:val="CoverDocType24a"/>
    <w:basedOn w:val="Normal"/>
    <w:rsid w:val="00C47D1A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6D4C8E"/>
    <w:pPr>
      <w:tabs>
        <w:tab w:val="center" w:pos="4513"/>
        <w:tab w:val="right" w:pos="9026"/>
      </w:tabs>
    </w:pPr>
  </w:style>
  <w:style w:type="character" w:styleId="PageNumber">
    <w:name w:val="page number"/>
    <w:basedOn w:val="DefaultParagraphFont"/>
    <w:semiHidden/>
  </w:style>
  <w:style w:type="table" w:styleId="TableGrid">
    <w:name w:val="Table Grid"/>
    <w:basedOn w:val="TableNormal"/>
    <w:rsid w:val="00C723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C7235E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C7235E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C7235E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9340AC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9340AC"/>
    <w:pPr>
      <w:jc w:val="right"/>
    </w:pPr>
  </w:style>
  <w:style w:type="paragraph" w:customStyle="1" w:styleId="EPFooter">
    <w:name w:val="EPFooter"/>
    <w:basedOn w:val="Normal"/>
    <w:rsid w:val="00C47D1A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6D4C8E"/>
    <w:rPr>
      <w:sz w:val="24"/>
    </w:rPr>
  </w:style>
  <w:style w:type="paragraph" w:customStyle="1" w:styleId="NormalHangingLeft12a">
    <w:name w:val="NormalHangingLeft12a"/>
    <w:basedOn w:val="Normal"/>
    <w:rsid w:val="00F65426"/>
    <w:pPr>
      <w:spacing w:after="240"/>
      <w:ind w:left="1134" w:hanging="567"/>
    </w:pPr>
  </w:style>
  <w:style w:type="paragraph" w:customStyle="1" w:styleId="Normal12a">
    <w:name w:val="Normal12a"/>
    <w:basedOn w:val="Normal"/>
    <w:rsid w:val="00902C4B"/>
    <w:pPr>
      <w:spacing w:after="240"/>
    </w:pPr>
  </w:style>
  <w:style w:type="paragraph" w:styleId="ListParagraph">
    <w:name w:val="List Paragraph"/>
    <w:basedOn w:val="Normal"/>
    <w:uiPriority w:val="34"/>
    <w:qFormat/>
    <w:rsid w:val="00941E95"/>
    <w:pPr>
      <w:widowControl/>
      <w:ind w:left="720"/>
      <w:contextualSpacing/>
      <w:jc w:val="both"/>
    </w:pPr>
    <w:rPr>
      <w:rFonts w:eastAsiaTheme="minorHAnsi"/>
      <w:szCs w:val="24"/>
      <w:lang w:eastAsia="en-US"/>
    </w:rPr>
  </w:style>
  <w:style w:type="character" w:customStyle="1" w:styleId="NormalHanging12aChar">
    <w:name w:val="NormalHanging12a Char"/>
    <w:basedOn w:val="DefaultParagraphFont"/>
    <w:link w:val="NormalHanging12a"/>
    <w:locked/>
    <w:rsid w:val="00941E95"/>
    <w:rPr>
      <w:sz w:val="24"/>
    </w:rPr>
  </w:style>
  <w:style w:type="paragraph" w:customStyle="1" w:styleId="Action">
    <w:name w:val="Action"/>
    <w:basedOn w:val="Normal"/>
    <w:rsid w:val="00941E95"/>
    <w:pPr>
      <w:keepNext/>
      <w:keepLines/>
      <w:tabs>
        <w:tab w:val="left" w:pos="357"/>
      </w:tabs>
      <w:snapToGrid w:val="0"/>
      <w:spacing w:after="240"/>
      <w:ind w:left="357" w:hanging="357"/>
    </w:pPr>
    <w:rPr>
      <w:lang w:eastAsia="en-US"/>
    </w:rPr>
  </w:style>
  <w:style w:type="paragraph" w:styleId="Footer">
    <w:name w:val="footer"/>
    <w:basedOn w:val="Normal"/>
    <w:link w:val="FooterChar"/>
    <w:semiHidden/>
    <w:rsid w:val="00FC6D7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FC6D7B"/>
    <w:rPr>
      <w:sz w:val="24"/>
    </w:rPr>
  </w:style>
  <w:style w:type="paragraph" w:styleId="Revision">
    <w:name w:val="Revision"/>
    <w:hidden/>
    <w:uiPriority w:val="99"/>
    <w:semiHidden/>
    <w:rsid w:val="00225562"/>
    <w:rPr>
      <w:sz w:val="24"/>
    </w:rPr>
  </w:style>
  <w:style w:type="character" w:styleId="CommentReference">
    <w:name w:val="annotation reference"/>
    <w:basedOn w:val="DefaultParagraphFont"/>
    <w:rsid w:val="00281021"/>
    <w:rPr>
      <w:sz w:val="16"/>
      <w:szCs w:val="16"/>
    </w:rPr>
  </w:style>
  <w:style w:type="paragraph" w:styleId="CommentText">
    <w:name w:val="annotation text"/>
    <w:basedOn w:val="Normal"/>
    <w:link w:val="CommentTextChar"/>
    <w:rsid w:val="00281021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281021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810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81021"/>
    <w:rPr>
      <w:b/>
      <w:bCs/>
    </w:rPr>
  </w:style>
  <w:style w:type="paragraph" w:styleId="FootnoteText">
    <w:name w:val="footnote text"/>
    <w:basedOn w:val="Normal"/>
    <w:link w:val="FootnoteTextChar"/>
    <w:rsid w:val="00F92A4A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F92A4A"/>
  </w:style>
  <w:style w:type="character" w:styleId="FootnoteReference">
    <w:name w:val="footnote reference"/>
    <w:basedOn w:val="DefaultParagraphFont"/>
    <w:rsid w:val="00F92A4A"/>
    <w:rPr>
      <w:vertAlign w:val="superscript"/>
    </w:rPr>
  </w:style>
  <w:style w:type="character" w:styleId="Hyperlink">
    <w:name w:val="Hyperlink"/>
    <w:basedOn w:val="DefaultParagraphFont"/>
    <w:rsid w:val="00F92A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2A4A"/>
    <w:rPr>
      <w:color w:val="605E5C"/>
      <w:shd w:val="clear" w:color="auto" w:fill="E1DFDD"/>
    </w:rPr>
  </w:style>
  <w:style w:type="paragraph" w:customStyle="1" w:styleId="Visa">
    <w:name w:val="Visa"/>
    <w:basedOn w:val="Normal"/>
    <w:rsid w:val="00F92A4A"/>
    <w:pPr>
      <w:keepNext/>
      <w:keepLines/>
      <w:tabs>
        <w:tab w:val="left" w:pos="357"/>
      </w:tabs>
      <w:spacing w:after="240"/>
      <w:ind w:left="357" w:hanging="357"/>
    </w:pPr>
    <w:rPr>
      <w:snapToGrid w:val="0"/>
      <w:lang w:eastAsia="en-US"/>
    </w:rPr>
  </w:style>
  <w:style w:type="paragraph" w:customStyle="1" w:styleId="pf0">
    <w:name w:val="pf0"/>
    <w:basedOn w:val="Normal"/>
    <w:rsid w:val="008B64B6"/>
    <w:pPr>
      <w:widowControl/>
      <w:spacing w:before="100" w:beforeAutospacing="1" w:after="100" w:afterAutospacing="1"/>
    </w:pPr>
    <w:rPr>
      <w:szCs w:val="24"/>
    </w:rPr>
  </w:style>
  <w:style w:type="character" w:customStyle="1" w:styleId="cf01">
    <w:name w:val="cf01"/>
    <w:basedOn w:val="DefaultParagraphFont"/>
    <w:rsid w:val="008B64B6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data.europa.eu/eli/dir/2012/29/o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B2BC1-2E2C-4DE6-8F14-C4D2C1ECB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1930</Words>
  <Characters>11644</Characters>
  <Application>Microsoft Office Word</Application>
  <DocSecurity>0</DocSecurity>
  <Lines>211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PR_INI_RecommCFSP</vt:lpstr>
    </vt:vector>
  </TitlesOfParts>
  <Company/>
  <LinksUpToDate>false</LinksUpToDate>
  <CharactersWithSpaces>13506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PR_INI_RecommCFSP</dc:title>
  <dc:subject/>
  <dc:creator>NITSCHE Susan</dc:creator>
  <cp:keywords/>
  <dc:description/>
  <cp:lastModifiedBy>NAVALHAS Maria</cp:lastModifiedBy>
  <cp:revision>2</cp:revision>
  <cp:lastPrinted>2025-09-10T15:25:00Z</cp:lastPrinted>
  <dcterms:created xsi:type="dcterms:W3CDTF">2025-11-21T11:11:00Z</dcterms:created>
  <dcterms:modified xsi:type="dcterms:W3CDTF">2025-11-21T11:11:00Z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SK</vt:lpwstr>
  </property>
  <property fmtid="{D5CDD505-2E9C-101B-9397-08002B2CF9AE}" pid="3" name="Created with">
    <vt:lpwstr>10.1.2 Build [20250715]</vt:lpwstr>
  </property>
  <property fmtid="{D5CDD505-2E9C-101B-9397-08002B2CF9AE}" pid="4" name="LastEdited with">
    <vt:lpwstr>10.2.0 Build [20251001]</vt:lpwstr>
  </property>
  <property fmtid="{D5CDD505-2E9C-101B-9397-08002B2CF9AE}" pid="5" name="&lt;FdR&gt;">
    <vt:lpwstr>1332470</vt:lpwstr>
  </property>
  <property fmtid="{D5CDD505-2E9C-101B-9397-08002B2CF9AE}" pid="6" name="&lt;Type&gt;">
    <vt:lpwstr>PR</vt:lpwstr>
  </property>
  <property fmtid="{D5CDD505-2E9C-101B-9397-08002B2CF9AE}" pid="7" name="&lt;ModelCod&gt;">
    <vt:lpwstr>\\eiciBRUpr1\pdocep$\DocEP\DOCS\General\PR\PR_NonLeg\INI\PR_INI_RecommCFSP.dotx(23/11/2023 20:35:01)</vt:lpwstr>
  </property>
  <property fmtid="{D5CDD505-2E9C-101B-9397-08002B2CF9AE}" pid="8" name="&lt;ModelTra&gt;">
    <vt:lpwstr>\\eiciBRUpr1\pdocep$\DocEP\TRANSFIL\EN\PR_INI_RecommCFSP.EN(14/08/2024 20:08:08)</vt:lpwstr>
  </property>
  <property fmtid="{D5CDD505-2E9C-101B-9397-08002B2CF9AE}" pid="9" name="&lt;Model&gt;">
    <vt:lpwstr>PR_INI_RecommCFSP</vt:lpwstr>
  </property>
  <property fmtid="{D5CDD505-2E9C-101B-9397-08002B2CF9AE}" pid="10" name="FooterPath">
    <vt:lpwstr>PR\1332470SK.docx</vt:lpwstr>
  </property>
  <property fmtid="{D5CDD505-2E9C-101B-9397-08002B2CF9AE}" pid="11" name="PE number">
    <vt:lpwstr>776.895</vt:lpwstr>
  </property>
  <property fmtid="{D5CDD505-2E9C-101B-9397-08002B2CF9AE}" pid="12" name="SendToEpades">
    <vt:lpwstr>OK - 2025/11/20 12:27</vt:lpwstr>
  </property>
  <property fmtid="{D5CDD505-2E9C-101B-9397-08002B2CF9AE}" pid="13" name="Bookout">
    <vt:lpwstr>OK - 2025/11/21 12:11</vt:lpwstr>
  </property>
  <property fmtid="{D5CDD505-2E9C-101B-9397-08002B2CF9AE}" pid="14" name="SDLStudio">
    <vt:lpwstr/>
  </property>
</Properties>
</file>