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{FEMM}</w:t>
      </w:r>
      <w:r>
        <w:t>Kumitat għad-Drittijiet tan-Nisa u l-Ugwaljanza bejn il-Ġeneri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2025/2074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{08/01/2026}</w:t>
      </w:r>
      <w:r>
        <w:t>08.01.2026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dwar l-inugwaljanzi bejn il-ġeneri fis-saħħa, b’mod speċifiku fir-rigward tal-kundizzjonijiet speċifiċi għall-ġeneri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(2025/2074(INI))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{FEMM}</w:t>
      </w:r>
      <w:r>
        <w:t>Kumitat għad-Drittijiet tan-Nisa u l-Ugwaljanza bejn il-Ġeneri</w:t>
      </w:r>
      <w:r>
        <w:rPr>
          <w:rStyle w:val="HideTWBExt"/>
        </w:rPr>
        <w:t>&lt;/Commission&gt;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&lt;Depute&gt;</w:t>
      </w:r>
      <w:r>
        <w:t>Billy Kelleher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9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ANNESS: DIKJARAZZJONI TAL-KONTRIBUT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MOZZJONI GĦAL RIŻOLUZZJONI TAL-PARLAMENT EWROPEW</w:t>
      </w:r>
      <w:bookmarkEnd w:id="0"/>
    </w:p>
    <w:p>
      <w:pPr>
        <w:pStyle w:val="NormalBold"/>
      </w:pPr>
      <w:r>
        <w:t>dwar l-inugwaljanzi bejn il-ġeneri fis-saħħa, b’mod speċifiku fir-rigward tal-kundizzjonijiet speċifiċi għall-ġeneri</w:t>
      </w:r>
    </w:p>
    <w:p>
      <w:pPr>
        <w:pStyle w:val="NormalBold"/>
      </w:pPr>
    </w:p>
    <w:p>
      <w:pPr>
        <w:pStyle w:val="NormalBold12a"/>
      </w:pPr>
      <w:r>
        <w:t>(</w:t>
      </w:r>
      <w:r>
        <w:t>2025/2074(INI)</w:t>
      </w:r>
      <w:r>
        <w:t>)</w:t>
      </w:r>
    </w:p>
    <w:p>
      <w:pPr>
        <w:pStyle w:val="Normal12"/>
      </w:pPr>
      <w:r>
        <w:rPr>
          <w:i/>
        </w:rPr>
        <w:t>Il-Parlament Ewropew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l-Artikolu 2 u l-Artikolu 3(3) tat-Trattat dwar l-Unjoni Ewropea,</w:t>
      </w:r>
    </w:p>
    <w:p>
      <w:pPr>
        <w:pStyle w:val="NormalHanging"/>
      </w:pPr>
      <w:r>
        <w:t>–</w:t>
      </w:r>
      <w:r>
        <w:tab/>
      </w:r>
      <w:r>
        <w:t>wara li kkunsidra l-Artikoli 8, 9, 151, 153 u 157 tat-Trattat dwar il-Funzjonament tal-Unjoni Ewropea,</w:t>
      </w:r>
    </w:p>
    <w:p>
      <w:pPr>
        <w:pStyle w:val="NormalHanging"/>
      </w:pPr>
      <w:r>
        <w:t>–</w:t>
      </w:r>
      <w:r>
        <w:tab/>
      </w:r>
      <w:r>
        <w:t>wara li kkunsidra r-Regolament (UE) Nru 536/2014 tal-</w:t>
      </w:r>
      <w:r>
        <w:t>Parlament Ewropew</w:t>
      </w:r>
      <w:r>
        <w:t xml:space="preserve"> u tal-Kunsill tas-16 ta’ April 2014 dwar il-provi kliniċi fuq prodotti mediċinali għall-użu mill-bniedem, u li jħassar id-Direttiva 2001/20/KE</w:t>
      </w:r>
      <w:r>
        <w:rPr>
          <w:rStyle w:val="FootnoteReference"/>
        </w:rPr>
        <w:footnoteReference w:customMarkFollows="1" w:id="2"/>
        <w:t xml:space="preserve">1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l-proposta tal-Kummissjoni għal regolament tal-</w:t>
      </w:r>
      <w:r>
        <w:t>Parlament Ewropew</w:t>
      </w:r>
      <w:r>
        <w:t xml:space="preserve"> u tal-Kunsill tas-16 ta’ Lulju 2025 dwar l-istabbiliment tal-Fond Ewropew għall-Kompetittività (“FEK”), inkluż il-programm speċifiku għal attivitajiet ta’ riċerka u ta’ innovazzjoni fil-qasam tad-difiża, li jħassar ir-Regolamenti (UE) 2021/522, (UE) 2021/694, (UE) 2021/697, (UE) 2021/783, li jħassar id-dispożizzjonijiet tar-Regolamenti (UE) 2021/696, (UE) 2023/588, u li jemenda r-Regolament (UE) [EDIP] (</w:t>
      </w:r>
      <w:hyperlink r:id="rId6" w:tgtFrame="https://eur-lex.europa.eu/legal-content/EN/TXT/?uri=celex:52025PC0555" w:history="1">
        <w:r>
          <w:rPr>
            <w:rStyle w:val="Hyperlink"/>
          </w:rPr>
          <w:t>COM(2025)555</w:t>
        </w:r>
      </w:hyperlink>
      <w:r>
        <w:t>),</w:t>
      </w:r>
    </w:p>
    <w:p>
      <w:pPr>
        <w:pStyle w:val="NormalHanging"/>
      </w:pPr>
      <w:r>
        <w:t>–</w:t>
      </w:r>
      <w:r>
        <w:tab/>
      </w:r>
      <w:r>
        <w:t>wara li kkunsidra r-riżoluzzjoni tiegħu tas-17 ta’ Diċembru 2025 dwar l-Inizjattiva taċ-Ċittadini Ewropej “Il-Vuċi Tiegħi, l-Għażla Tiegħi: Għal Abort Sikur u Aċċessibbli”</w:t>
      </w:r>
      <w:r>
        <w:rPr>
          <w:rStyle w:val="FootnoteReference"/>
        </w:rPr>
        <w:footnoteReference w:customMarkFollows="1" w:id="3"/>
        <w:t xml:space="preserve">2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r-riżoluzzjoni tiegħu tal-24 ta’ Ġunju 2021 dwar is-sitwazzjoni tas-saħħa sesswali u riproduttiva u d-drittijiet relatati fl-UE, fil-kuntest tas-saħħa tan-nisa</w:t>
      </w:r>
      <w:r>
        <w:rPr>
          <w:rStyle w:val="FootnoteReference"/>
        </w:rPr>
        <w:footnoteReference w:customMarkFollows="1" w:id="4"/>
        <w:t xml:space="preserve">3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r-Rakkomandazzjoni tal-Kunsill tal-21 ta’ Ġunju 2024 dwar il-kanċers li jistgħu jiġu evitati bil-vaċċini</w:t>
      </w:r>
      <w:r>
        <w:rPr>
          <w:rStyle w:val="FootnoteReference"/>
        </w:rPr>
        <w:footnoteReference w:customMarkFollows="1" w:id="5"/>
        <w:t xml:space="preserve">4</w:t>
      </w:r>
      <w:r>
        <w:t>,</w:t>
      </w:r>
    </w:p>
    <w:p>
      <w:pPr>
        <w:pStyle w:val="NormalHanging"/>
      </w:pPr>
      <w:r>
        <w:t>–</w:t>
      </w:r>
      <w:r>
        <w:tab/>
      </w:r>
      <w:r>
        <w:t>wara li kkunsidra r-Rakkomandazzjoni tal-Kunsill tad-9 ta’ Diċembru 2022 dwar it-tisħiħ tal-prevenzjoni permezz tad-detezzjoni bikrija: Approċċ ġdid tal-UE għall-iskrinjar tal-kanċer li jissostitwixxi r-Rakkomandazzjoni tal-Kunsill 2003/878/KE</w:t>
      </w:r>
      <w:r>
        <w:rPr>
          <w:rStyle w:val="FootnoteReference"/>
        </w:rPr>
        <w:footnoteReference w:customMarkFollows="1" w:id="6"/>
        <w:t xml:space="preserve">5</w:t>
      </w:r>
    </w:p>
    <w:p>
      <w:pPr>
        <w:pStyle w:val="NormalHanging"/>
      </w:pPr>
      <w:r>
        <w:t>–</w:t>
      </w:r>
      <w:r>
        <w:tab/>
      </w:r>
      <w:r>
        <w:t>wara li kkunsidra l-komunikazzjoni tal-Kummissjoni tas-16 ta’ Diċembru 2025 dwar pjan tas-saħħa kardjovaskulari tal-UE: il-Pjan għall-Qlub b’Saħħithom (</w:t>
      </w:r>
      <w:hyperlink r:id="rId7" w:tgtFrame="https://eur-lex.europa.eu/legal-content/EN/TXT/?uri=COM%3A2025%3A1024%3AFIN&amp;qid=1518252661475" w:history="1">
        <w:r>
          <w:rPr>
            <w:rStyle w:val="Hyperlink"/>
          </w:rPr>
          <w:t>COM(2025)1024</w:t>
        </w:r>
      </w:hyperlink>
      <w:r>
        <w:t>),</w:t>
      </w:r>
    </w:p>
    <w:p>
      <w:pPr>
        <w:pStyle w:val="NormalHanging"/>
      </w:pPr>
      <w:r>
        <w:t>–</w:t>
      </w:r>
      <w:r>
        <w:tab/>
      </w:r>
      <w:r>
        <w:t>wara li kkunsidra l-komunikazzjoni tal-Kummissjoni tas-7 ta’ Marzu 2025 bit-titolu “Pjan Direzzjonali għad-Drittijiet tan-Nisa” (</w:t>
      </w:r>
      <w:hyperlink r:id="rId8" w:tgtFrame="https://eur-lex.europa.eu/legal-content/EN/ALL/?uri=CELEX:52025DC0097" w:history="1">
        <w:r>
          <w:rPr>
            <w:rStyle w:val="Hyperlink"/>
          </w:rPr>
          <w:t>COM(2025)0097</w:t>
        </w:r>
      </w:hyperlink>
      <w:r>
        <w:t>),</w:t>
      </w:r>
    </w:p>
    <w:p>
      <w:pPr>
        <w:pStyle w:val="NormalHanging"/>
      </w:pPr>
      <w:r>
        <w:t>–</w:t>
      </w:r>
      <w:r>
        <w:tab/>
      </w:r>
      <w:r>
        <w:t>wara li kkunsidra l-komunikazzjoni tal-Kummissjoni tat-3 ta’ Frar 2021 bit-titolu “Pjan tal-Ewropa biex Jingħeleb il-Kanċer” (</w:t>
      </w:r>
      <w:hyperlink r:id="rId9" w:tgtFrame="https://eur-lex.europa.eu/legal-content/EN/ALL/?uri=CELEX:52021DC0044" w:history="1">
        <w:r>
          <w:rPr>
            <w:rStyle w:val="Hyperlink"/>
          </w:rPr>
          <w:t>COM(2021)0044</w:t>
        </w:r>
      </w:hyperlink>
      <w:r>
        <w:t>),</w:t>
      </w:r>
    </w:p>
    <w:p>
      <w:pPr>
        <w:pStyle w:val="NormalHanging"/>
      </w:pPr>
      <w:r>
        <w:t>–</w:t>
      </w:r>
      <w:r>
        <w:tab/>
      </w:r>
      <w:r>
        <w:t>wara li kkunsidra l-linji gwida proposti tal-Aġenzija Ewropea għall-Mediċini (EMA) maħruġa għall-konsultazzjoni fl-4 ta’ Ġunju 2025 bit-titolu “ICH E21 guideline on inclusion of pregnant and breastling individuals in clinical trials – Scientific guideline” (Linja gwida ICH E21 dwar l-inklużjoni ta’ individwi tqal u li qed ireddgħu fi provi kliniċi – Linja gwida xjentifika),</w:t>
      </w:r>
    </w:p>
    <w:p>
      <w:pPr>
        <w:pStyle w:val="NormalHanging"/>
      </w:pPr>
      <w:r>
        <w:t>–</w:t>
      </w:r>
      <w:r>
        <w:tab/>
      </w:r>
      <w:r>
        <w:t>wara li kkunsidra r-rapport tal-Organizzazzjoni għall-Kooperazzjoni u l-Iżvilupp Ekonomiċi (OECD) ta’ Jannar 2024 bit-titolu “Beating Cancer Inequalities in the EU: Spotlight on Cancer Prevention and Early Detection” (Kif negħlbu l-inugwaljanzi fil-kanċer fl-UE: Niffukaw fuq il-Prevenzjoni tal-Kanċer u d-Detezzjoni Bikrija),</w:t>
      </w:r>
    </w:p>
    <w:p>
      <w:pPr>
        <w:pStyle w:val="NormalHanging"/>
      </w:pPr>
      <w:r>
        <w:t>–</w:t>
      </w:r>
      <w:r>
        <w:tab/>
      </w:r>
      <w:r>
        <w:t>wara li kkunsidra l-Artikolu 55 tar-Regoli ta’ Proċedura tiegħu,</w:t>
      </w:r>
    </w:p>
    <w:p>
      <w:pPr>
        <w:pStyle w:val="NormalHanging"/>
      </w:pPr>
      <w:r>
        <w:t>–</w:t>
      </w:r>
      <w:r>
        <w:tab/>
      </w:r>
      <w:r>
        <w:t>wara li kkunsidra l-opinjoni tal-Kumitat għas-Saħħa Pubblika,</w:t>
      </w:r>
    </w:p>
    <w:p>
      <w:pPr>
        <w:pStyle w:val="NormalHanging"/>
      </w:pPr>
      <w:r>
        <w:t>–</w:t>
      </w:r>
      <w:r>
        <w:tab/>
      </w:r>
      <w:r>
        <w:t>wara li kkunsidra r-rapport tal-Kumitat għad-Drittijiet tan-Nisa u l-Ugwaljanza bejn il-Ġeneri (A10-0000/2026),</w:t>
      </w:r>
    </w:p>
    <w:p>
      <w:pPr>
        <w:pStyle w:val="NormalHanging"/>
      </w:pPr>
      <w:r>
        <w:t>A.</w:t>
      </w:r>
      <w:r>
        <w:tab/>
      </w:r>
      <w:r>
        <w:t>billi r-riċerka medika storikament kienet iffukata fuq l-irġiel, u dan wassal għal nuqqas ta’ fehim tal-anatomija femminili; billi din l-inugwaljanza sistemika fil-mediċina għandha impatt fuq id-dijanjostika, it-trattament, il-morbidità u l-mortalità ta’ setturi sottorappreżentati tal-popolazzjoni;</w:t>
      </w:r>
    </w:p>
    <w:p>
      <w:pPr>
        <w:pStyle w:val="NormalHanging"/>
      </w:pPr>
      <w:r>
        <w:t>B.</w:t>
      </w:r>
      <w:r>
        <w:tab/>
      </w:r>
      <w:r>
        <w:t>billi, għalkemm l-iżviluppi regolatorji tejbu l-inklużività fil-provi kliniċi, ir-rappreżentanza tan-nisa għadha taħt dik tal-irġiel u d-disparità hija partikolarment akuta għan-nisa tqal u li qed ireddgħu</w:t>
      </w:r>
      <w:r>
        <w:rPr>
          <w:rStyle w:val="FootnoteReference"/>
        </w:rPr>
        <w:footnoteReference w:customMarkFollows="1" w:id="7"/>
        <w:t xml:space="preserve">6</w:t>
      </w:r>
      <w:r>
        <w:t>;</w:t>
      </w:r>
    </w:p>
    <w:p>
      <w:pPr>
        <w:pStyle w:val="NormalHanging"/>
      </w:pPr>
      <w:r>
        <w:t>C.</w:t>
      </w:r>
      <w:r>
        <w:tab/>
      </w:r>
      <w:r>
        <w:t>billi l-persuni transġeneru u l-komunitajiet emarġinati huma nieqsa mill-biċċa l-kbira tal-provi kliniċi, u dan ifisser li r-reazzjoni tagħhom għat-trattament spiss ma tkunx magħrufa</w:t>
      </w:r>
      <w:r>
        <w:rPr>
          <w:rStyle w:val="FootnoteReference"/>
        </w:rPr>
        <w:footnoteReference w:customMarkFollows="1" w:id="8"/>
        <w:t xml:space="preserve">7</w:t>
      </w:r>
      <w:r>
        <w:t>;</w:t>
      </w:r>
    </w:p>
    <w:p>
      <w:pPr>
        <w:pStyle w:val="NormalHanging"/>
      </w:pPr>
      <w:r>
        <w:t>D.</w:t>
      </w:r>
      <w:r>
        <w:tab/>
      </w:r>
      <w:r>
        <w:t>billi 72 % tal-istudji dwar il-provi tal-prodotti mediċinali jonqsu milli jipprovdu data diżaggregata skont is-sess u l-ġeneru</w:t>
      </w:r>
      <w:r>
        <w:rPr>
          <w:rStyle w:val="FootnoteReference"/>
        </w:rPr>
        <w:footnoteReference w:customMarkFollows="1" w:id="9"/>
        <w:t xml:space="preserve">8</w:t>
      </w:r>
      <w:r>
        <w:t>;</w:t>
      </w:r>
    </w:p>
    <w:p>
      <w:pPr>
        <w:pStyle w:val="NormalHanging"/>
      </w:pPr>
      <w:r>
        <w:t>E.</w:t>
      </w:r>
      <w:r>
        <w:tab/>
      </w:r>
      <w:r>
        <w:t>billi l-kapaċità tal-individwi li jeżerċitaw is-saħħa sesswali u riproduttiva u d-drittijiet relatati (SRHR) tagħhom iridu jiġu ggarantiti sabiex tinkiseb l-ugwaljanza bejn il-ġeneri;</w:t>
      </w:r>
    </w:p>
    <w:p>
      <w:pPr>
        <w:pStyle w:val="NormalHanging"/>
      </w:pPr>
      <w:r>
        <w:t>F.</w:t>
      </w:r>
      <w:r>
        <w:tab/>
      </w:r>
      <w:r>
        <w:t>billi aktar minn 20 miljun mara</w:t>
      </w:r>
      <w:r>
        <w:rPr>
          <w:rStyle w:val="FootnoteReference"/>
        </w:rPr>
        <w:footnoteReference w:customMarkFollows="1" w:id="10"/>
        <w:t xml:space="preserve">9</w:t>
      </w:r>
      <w:r>
        <w:t xml:space="preserve"> fl-UE għad m’għandhomx aċċess għal abort sikur u legali, peress li diversi Stati Membri jżommu ostakli regolatorji u proċedurali dannużi;</w:t>
      </w:r>
    </w:p>
    <w:p>
      <w:pPr>
        <w:pStyle w:val="NormalHanging"/>
      </w:pPr>
      <w:r>
        <w:t>G.</w:t>
      </w:r>
      <w:r>
        <w:tab/>
      </w:r>
      <w:r>
        <w:t>billi l-endometrijożi hija kundizzjoni kronika li taffettwa 10 % sa 15 % tan-nisa ta’ età riproduttiva</w:t>
      </w:r>
      <w:r>
        <w:rPr>
          <w:rStyle w:val="FootnoteReference"/>
        </w:rPr>
        <w:footnoteReference w:customMarkFollows="1" w:id="11"/>
        <w:t xml:space="preserve">10</w:t>
      </w:r>
      <w:r>
        <w:t>;</w:t>
      </w:r>
    </w:p>
    <w:p>
      <w:pPr>
        <w:pStyle w:val="NormalHanging"/>
      </w:pPr>
      <w:r>
        <w:t>H.</w:t>
      </w:r>
      <w:r>
        <w:tab/>
      </w:r>
      <w:r>
        <w:t>billi, minkejja l-prevalenza tal-endometrijożi, id-dijanjożi tieħu medja ta’ bejn 6 u 10 snin;</w:t>
      </w:r>
    </w:p>
    <w:p>
      <w:pPr>
        <w:pStyle w:val="NormalHanging"/>
      </w:pPr>
      <w:r>
        <w:t>I.</w:t>
      </w:r>
      <w:r>
        <w:tab/>
      </w:r>
      <w:r>
        <w:t>billi 85 % tan-nisa jesperjenzaw sintomi tal-menopawża u sal-2030, huwa stmat li madwar 1,2 biljun mara se jkunu qed jesperjenzaw menopawża globalment</w:t>
      </w:r>
      <w:r>
        <w:rPr>
          <w:rStyle w:val="FootnoteReference"/>
        </w:rPr>
        <w:footnoteReference w:customMarkFollows="1" w:id="12"/>
        <w:t xml:space="preserve">11</w:t>
      </w:r>
      <w:r>
        <w:t>;</w:t>
      </w:r>
    </w:p>
    <w:p>
      <w:pPr>
        <w:pStyle w:val="NormalHanging"/>
      </w:pPr>
      <w:r>
        <w:t>J.</w:t>
      </w:r>
      <w:r>
        <w:tab/>
      </w:r>
      <w:r>
        <w:t>billi l-kanċer huwa t-tieni kawża ewlenija ta’ mewt fl-UE u għandu rata ta’ mortalità ogħla għall-irġiel milli għan-nisa</w:t>
      </w:r>
      <w:r>
        <w:rPr>
          <w:rStyle w:val="FootnoteReference"/>
        </w:rPr>
        <w:footnoteReference w:customMarkFollows="1" w:id="13"/>
        <w:t xml:space="preserve">12</w:t>
      </w:r>
      <w:r>
        <w:t>;</w:t>
      </w:r>
    </w:p>
    <w:p>
      <w:pPr>
        <w:pStyle w:val="NormalHanging"/>
      </w:pPr>
      <w:r>
        <w:t>K.</w:t>
      </w:r>
      <w:r>
        <w:tab/>
      </w:r>
      <w:r>
        <w:t>billi l-mira tal-Kummissjoni u tal-Kunsill għall-2022, li jiġi offrut skrinjar tal-kanċer lil mill-anqas 90 % ta’ dawk eliġibbli sal-2025, mhijiex qed tintlaħaq b’mod universali madwar l-UE;</w:t>
      </w:r>
    </w:p>
    <w:p>
      <w:pPr>
        <w:pStyle w:val="NormalHanging"/>
      </w:pPr>
      <w:r>
        <w:t>L.</w:t>
      </w:r>
      <w:r>
        <w:tab/>
      </w:r>
      <w:r>
        <w:t>billi l-mard kardjovaskulari huwa l-kawża ewlenija tal-mewt fl-UE, b’rata ogħla ta’ mortalità għan-nisa milli għall-irġiel, minkejja l-ideat żbaljati prevalenti tas-soċjetà</w:t>
      </w:r>
      <w:r>
        <w:rPr>
          <w:rStyle w:val="FootnoteReference"/>
        </w:rPr>
        <w:footnoteReference w:customMarkFollows="1" w:id="14"/>
        <w:t xml:space="preserve">13</w:t>
      </w:r>
      <w:r>
        <w:t>;</w:t>
      </w:r>
    </w:p>
    <w:p>
      <w:pPr>
        <w:pStyle w:val="NormalHanging"/>
      </w:pPr>
      <w:r>
        <w:t>M.</w:t>
      </w:r>
      <w:r>
        <w:tab/>
      </w:r>
      <w:r>
        <w:t>billi 14 % tal-persuni LGBTQI+ irrappurtaw li esperjenzaw diskriminazzjoni f’ambjenti tal-kura tas-saħħa u ħafna Stati Membri jipprovdu biss aċċess limitat għal kura tas-saħħa speċifika għat-transġeneru;</w:t>
      </w:r>
    </w:p>
    <w:p>
      <w:pPr>
        <w:pStyle w:val="NormalHanging"/>
      </w:pPr>
      <w:r>
        <w:t>N.</w:t>
      </w:r>
      <w:r>
        <w:tab/>
      </w:r>
      <w:r>
        <w:t>billi, fl-2020, 5 % biss tal-finanzjament globali għar-riċerka u l-iżvilupp ġie allokat għar-riċerka dwar is-saħħa tan-nisa</w:t>
      </w:r>
      <w:r>
        <w:rPr>
          <w:rStyle w:val="FootnoteReference"/>
        </w:rPr>
        <w:footnoteReference w:customMarkFollows="1" w:id="15"/>
        <w:t xml:space="preserve">14</w:t>
      </w:r>
      <w:r>
        <w:t>;</w:t>
      </w:r>
    </w:p>
    <w:p>
      <w:pPr>
        <w:pStyle w:val="Normal12a"/>
      </w:pPr>
      <w:r>
        <w:rPr>
          <w:b/>
          <w:i/>
        </w:rPr>
        <w:t>Kunsiderazzjonijiet</w:t>
      </w:r>
      <w:r>
        <w:t xml:space="preserve"> </w:t>
      </w:r>
      <w:r>
        <w:rPr>
          <w:b/>
          <w:i/>
        </w:rPr>
        <w:t>ġenerali</w:t>
      </w:r>
    </w:p>
    <w:p>
      <w:pPr>
        <w:pStyle w:val="NormalHanging12a"/>
      </w:pPr>
      <w:r>
        <w:t>1.</w:t>
      </w:r>
      <w:r>
        <w:tab/>
      </w:r>
      <w:r>
        <w:t>Jisħaq li l-inugwaljanzi bejn il-ġeneri fis-saħħa huma multidimensjonali b’inugwaljanzi sistemiċi li jirriżultaw minn għexieren ta’ snin ta’ riċerka medika bbażata fuq l-anatomija maskili, li min-naħa tagħha sawret iċ-ċiklu kollu tal-kura mid-dijanjostika sat-trattament;</w:t>
      </w:r>
    </w:p>
    <w:p>
      <w:pPr>
        <w:pStyle w:val="NormalHanging12a"/>
      </w:pPr>
      <w:r>
        <w:t>2.</w:t>
      </w:r>
      <w:r>
        <w:tab/>
      </w:r>
      <w:r>
        <w:t>Jenfasizza li l-inugwaljanzi fil-kura tas-saħħa huma iggravati minn inugwaljanzi intersezzjonali, pereżempju, abbażi tal-istatus soċjoekonomiku ta’ persuna u dawk l-inugwaljanzi esperjenzati minn persuni minn minoranzi etniċi jew komunitajiet migranti u l-komunità LGBTQI+; jirrimarka li l-inugwaljanzi huma evidenti wkoll f’kundizzjonijiet speċifiċi għall-ġeneru, peress li r-riċerka dwar dawn il-kundizzjonijiet kienet ripetutament sottofinanzjata;</w:t>
      </w:r>
    </w:p>
    <w:p>
      <w:pPr>
        <w:pStyle w:val="NormalHanging12a"/>
      </w:pPr>
      <w:r>
        <w:t>3.</w:t>
      </w:r>
      <w:r>
        <w:tab/>
      </w:r>
      <w:r>
        <w:t>Jitlob lil dawk li jfasslu l-politika biex jieħdu approċċ olistiku bil-għan li jindirizzaw l-inugwaljanzi u jikkoreġu d-diskrepanzi filwaqt li jiġu żviluppati trattamenti u proċeduri innovattivi ġodda;</w:t>
      </w:r>
    </w:p>
    <w:p>
      <w:pPr>
        <w:pStyle w:val="NormalHanging12a"/>
      </w:pPr>
      <w:r>
        <w:t>4.</w:t>
      </w:r>
      <w:r>
        <w:tab/>
      </w:r>
      <w:r>
        <w:t>Iħeġġeġ lill-Kummissjoni tinkludi miri ċari u vinkolanti biex jiġu indirizzati l-inugwaljanzi fis-saħħa u tiġi implimentata sistema ta’ monitoraġġ trasparenti għal dawn il-miri;</w:t>
      </w:r>
    </w:p>
    <w:p>
      <w:pPr>
        <w:pStyle w:val="Normal12a"/>
      </w:pPr>
      <w:r>
        <w:rPr>
          <w:b/>
          <w:i/>
        </w:rPr>
        <w:t>Provi kliniċi</w:t>
      </w:r>
      <w:r>
        <w:t xml:space="preserve"> </w:t>
      </w:r>
      <w:r>
        <w:rPr>
          <w:b/>
          <w:i/>
        </w:rPr>
        <w:t>u riċerka</w:t>
      </w:r>
    </w:p>
    <w:p>
      <w:pPr>
        <w:pStyle w:val="NormalHanging12a"/>
      </w:pPr>
      <w:r>
        <w:t>5.</w:t>
      </w:r>
      <w:r>
        <w:tab/>
      </w:r>
      <w:r>
        <w:t>Jesprimi tħassib li minkejja li ttejbet l-inklużività fil-provi kliniċi, ir-rappreżentanza tan-nisa għadha anqas minn dik tal-irġiel; jisħaq li ma hemm l-ebda rekwiżiti ta’ inklużività fil-fażi ta’ qabel il-prova u li l-maġġoranza tal-ittestjar fuq l-annimali għadu qed isir fuq l-ispeċijiet maskili biss</w:t>
      </w:r>
      <w:r>
        <w:rPr>
          <w:rStyle w:val="FootnoteReference"/>
        </w:rPr>
        <w:footnoteReference w:customMarkFollows="1" w:id="16"/>
        <w:t xml:space="preserve">15</w:t>
      </w:r>
      <w:r>
        <w:t>; jistieden lill-Kummissjoni tintroduċi aktar miżuri biex tindirizza l-iżbilanċ li għadu għaddej fil-parteċipazzjoni fil-provi kliniċi;</w:t>
      </w:r>
    </w:p>
    <w:p>
      <w:pPr>
        <w:pStyle w:val="NormalHanging12a"/>
      </w:pPr>
      <w:r>
        <w:t>6.</w:t>
      </w:r>
      <w:r>
        <w:tab/>
      </w:r>
      <w:r>
        <w:t>Jilqa’ li l-EMA adottat b’mod intenzjonali linji gwida ġodda dwar l-inklużjoni ta’ individwi tqal u li qed ireddgħu fi provi kliniċi; iħeġġeġ lill-EMA tadotta linji gwida simili biex tittejjeb l-inklużjoni ta’ komunitajiet oħra sottorappreżentati;</w:t>
      </w:r>
    </w:p>
    <w:p>
      <w:pPr>
        <w:pStyle w:val="NormalHanging12a"/>
      </w:pPr>
      <w:r>
        <w:t>7.</w:t>
      </w:r>
      <w:r>
        <w:tab/>
      </w:r>
      <w:r>
        <w:t>Jisħaq li n-nuqqas ta’ fehim tad-differenzi abbażi tas-sess u tal-ġeneru fil-qasam tas-saħħa huwa iggravat mill-fatt li l-eżiti tad-data tar-riċerka rarament jiġu diżaggregati skont is-sess; jistieden lill-Kummissjoni toħloq obbligu għal data diżaggregata skont is-sessi fil-proġetti kollha ffinanzjati mill-UE;</w:t>
      </w:r>
    </w:p>
    <w:p>
      <w:pPr>
        <w:pStyle w:val="Normal12a"/>
      </w:pPr>
      <w:r>
        <w:rPr>
          <w:b/>
          <w:i/>
        </w:rPr>
        <w:t>Id-dijanjostika u</w:t>
      </w:r>
      <w:r>
        <w:t xml:space="preserve"> </w:t>
      </w:r>
      <w:r>
        <w:rPr>
          <w:b/>
          <w:i/>
        </w:rPr>
        <w:t>t-trattament</w:t>
      </w:r>
    </w:p>
    <w:p>
      <w:pPr>
        <w:pStyle w:val="NormalHanging12a"/>
      </w:pPr>
      <w:r>
        <w:t>8.</w:t>
      </w:r>
      <w:r>
        <w:tab/>
      </w:r>
      <w:r>
        <w:t>Jenfasizza l-fatt li bħala riżultat ta’ sottofinanzjament sistemiku u nuqqas ta’ riċerka, il-metodi dijanjostiċi u t-trattamenti għadhom jiffukaw fuq l-irġiel, u dan jista’ jwassal għal trattament ta’ standard inferjuri u ta’ riskju ogħla għan-nisa u għall-persuni transġeneru;</w:t>
      </w:r>
    </w:p>
    <w:p>
      <w:pPr>
        <w:pStyle w:val="NormalHanging12a"/>
      </w:pPr>
      <w:r>
        <w:t>9.</w:t>
      </w:r>
      <w:r>
        <w:tab/>
      </w:r>
      <w:r>
        <w:t>Iħeġġeġ lill-professjoni medika tapplika approċċ ta’ mediċina preċiża għat-trattament sabiex tikkomplementa kwalunkwe miżura meħuda bil-għan li titnaqqas l-inugwaljanza u jiżdied l-investiment fir-riċerka medika; iħeġġeġ lill-Istati Membri jistabbilixxu programmi pilota dwar kura tas-saħħa li tkun sensittiva għall-ġeneri;</w:t>
      </w:r>
    </w:p>
    <w:p>
      <w:pPr>
        <w:pStyle w:val="NormalHanging12a"/>
      </w:pPr>
      <w:r>
        <w:t>10.</w:t>
      </w:r>
      <w:r>
        <w:tab/>
      </w:r>
      <w:r>
        <w:t>Iqis li huwa essenzjali li l-Istati Membri jintegraw taħriġ tal-kura tas-saħħa li jkun sensittiv għall-ġeneri fil-kurrikuli mediċi tagħhom;</w:t>
      </w:r>
    </w:p>
    <w:p>
      <w:pPr>
        <w:pStyle w:val="Normal12a"/>
      </w:pPr>
      <w:r>
        <w:rPr>
          <w:b/>
          <w:i/>
        </w:rPr>
        <w:t>Kundizzjonijiet</w:t>
      </w:r>
      <w:r>
        <w:t xml:space="preserve"> </w:t>
      </w:r>
      <w:r>
        <w:rPr>
          <w:b/>
          <w:i/>
        </w:rPr>
        <w:t>speċifiċi għall-ġeneri</w:t>
      </w:r>
    </w:p>
    <w:p>
      <w:pPr>
        <w:pStyle w:val="NormalHanging12a"/>
      </w:pPr>
      <w:r>
        <w:t>11.</w:t>
      </w:r>
      <w:r>
        <w:tab/>
      </w:r>
      <w:r>
        <w:t>Jilqa’ bil-qawwa l-Inizjattiva taċ-Ċittadini Ewropej “Il-Vuċi Tiegħi, l-Għażla Tiegħi”; itenni t-talba tiegħu lill-Kummissjoni biex din tagħmel użu sħiħ mill-kompetenza tagħha fil-politika tas-saħħa u tipprovdi appoġġ lill-Istati Membri bil-għan li dawn jiggarantixxu aċċess universali għas-saħħa sesswali u riproduttiva u d-drittijiet relatati, u biex tinkorporahom flimkien mad-dritt għal abort sikur u legali fil-Karta tad-Drittijiet Fundamentali tal-Unjoni Ewropea;</w:t>
      </w:r>
    </w:p>
    <w:p>
      <w:pPr>
        <w:pStyle w:val="NormalHanging12a"/>
      </w:pPr>
      <w:r>
        <w:t>12.</w:t>
      </w:r>
      <w:r>
        <w:tab/>
      </w:r>
      <w:r>
        <w:t>Itenni t-talba tiegħu lill-Kummissjoni biex tistabbilixxi mekkaniżmu finanzjarju tal-UE volontarju, ibbażat fuq is-solidarjetà u fakultattiv, li jippermetti lill-Istati Membri jipprovdu kura f’każ ta’ abort lil persuni li ma jistgħux jaċċessawha f’pajjiżhom, mingħajr ma jinterferu mal-liġijiet u mar-regolamenti nazzjonali; jistieden, barra minn hekk, lill-Kummissjoni tressaq proposta għal dan l-għan;</w:t>
      </w:r>
    </w:p>
    <w:p>
      <w:pPr>
        <w:pStyle w:val="NormalHanging12a"/>
      </w:pPr>
      <w:r>
        <w:t>13.</w:t>
      </w:r>
      <w:r>
        <w:tab/>
      </w:r>
      <w:r>
        <w:t>Jiddeplora l-fatt li sa mill-bidu tas-Servizz Komunitarju ta’ Informazzjoni dwar ir-Riċerka u l-Iżvilupp tal-UE, kważi 40 sena ilu, 10 biss mill-145 983 proġett iffinanzjati mill-UE ffukaw speċifikament fuq l-endometrijożi</w:t>
      </w:r>
      <w:r>
        <w:rPr>
          <w:rStyle w:val="FootnoteReference"/>
        </w:rPr>
        <w:footnoteReference w:customMarkFollows="1" w:id="17"/>
        <w:t xml:space="preserve">16</w:t>
      </w:r>
      <w:r>
        <w:t>;</w:t>
      </w:r>
    </w:p>
    <w:p>
      <w:pPr>
        <w:pStyle w:val="NormalHanging12a"/>
      </w:pPr>
      <w:r>
        <w:t>14.</w:t>
      </w:r>
      <w:r>
        <w:tab/>
      </w:r>
      <w:r>
        <w:t>Jesprimi dispjaċir għall-fatt li, minkejja l-prevalenza ta’ sintomi negattivi tal-menopawża fost in-nisa, il-menopawża għadha mhijiex integrata regolarment fil-kura tas-saħħa primarja u għadha moħbija fl-istigma soċjali;</w:t>
      </w:r>
    </w:p>
    <w:p>
      <w:pPr>
        <w:pStyle w:val="NormalHanging12a"/>
      </w:pPr>
      <w:r>
        <w:t>15.</w:t>
      </w:r>
      <w:r>
        <w:tab/>
      </w:r>
      <w:r>
        <w:t>Iħeġġeġ lill-Kummissjoni tuża l-istrateġija li jmiss dwar l-ugwaljanza bejn il-ġeneri għall-2026-2030 biex tipproponi miżuri konkreti li jagħtu prijorità lill-investiment f’kundizzjonijiet speċifiċi għall-ġeneri; jisħaq li investiment f’kundizzjonijiet speċifiċi għall-ġeneri għandhom jirriflettu s-severità u l-prevalenza tagħhom;</w:t>
      </w:r>
    </w:p>
    <w:p>
      <w:pPr>
        <w:pStyle w:val="Normal12a"/>
      </w:pPr>
      <w:r>
        <w:rPr>
          <w:b/>
          <w:i/>
        </w:rPr>
        <w:t>Il-finanzjament</w:t>
      </w:r>
    </w:p>
    <w:p>
      <w:pPr>
        <w:pStyle w:val="NormalHanging12a"/>
      </w:pPr>
      <w:r>
        <w:t>16.</w:t>
      </w:r>
      <w:r>
        <w:tab/>
      </w:r>
      <w:r>
        <w:t>Jirrikonoxxi li l-finanzjament tal-UE jista’ jkollu rwol sinifikanti biex iħeġġeġ investiment akbar fir-riċerka dwar kwistjonijiet speċifiċi għall-ġeneri u biex jindirizza l-inugwaljanzi fl-aċċess għat-trattament; Jisħaq li ftit hemm inċentiv għas-settur privat biex jinvesti fil-kura preventiva u li għalhekk din għandha tkun prijorità tal-Kummissjoni u tal-Istati Membri;</w:t>
      </w:r>
    </w:p>
    <w:p>
      <w:pPr>
        <w:pStyle w:val="NormalHanging12a"/>
      </w:pPr>
      <w:r>
        <w:t>17.</w:t>
      </w:r>
      <w:r>
        <w:tab/>
      </w:r>
      <w:r>
        <w:t>Jappoġġja bil-qawwa li l-perspettiva tal-ġeneri tiġi integrata fil-politiki rilevanti kollha u fil-baġit tal-UE; jappella lill-Kummissjoni biex tniedi sejħiet għall-finanzjament iddedikati għal kundizzjonijiet u proġetti speċifiċi għall-ġeneri li jfittxu li jnaqqsu d-distakk fid-data speċifika għas-sess dwar il-qasam tas-saħħa;</w:t>
      </w:r>
    </w:p>
    <w:p>
      <w:pPr>
        <w:pStyle w:val="NormalHanging12a"/>
      </w:pPr>
      <w:r>
        <w:t>18.</w:t>
      </w:r>
      <w:r>
        <w:tab/>
      </w:r>
      <w:r>
        <w:t>Iqis it-titjib tal-ugwaljanza bejn il-ġeneri fir-riċerka dwar is-saħħa bħala opportunità kompetittiva għall-UE; jisħaq li l-allokazzjoni ta’ finanzjament tal-UE biex jiġu indirizzati l-inugwaljanzi bejn il-ġeneri fis-saħħa, flimkien ma’ miżuri biex jingħalqu d-distakki fid-data, jistgħu jinċentivaw l-investiment u jagħtu spinta lill-innovazzjoni fl-UE;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19.</w:t>
      </w:r>
      <w:r>
        <w:tab/>
      </w:r>
      <w:r>
        <w:t>Jagħti istruzzjonijiet lill-President tiegħu biex tgħaddi din ir-riżoluzzjoni lill-Kunsill u lill-Kummissjoni.</w:t>
      </w:r>
    </w:p>
    <w:p>
      <w:pPr>
        <w:sectPr>
          <w:footerReference w:type="even" r:id="rId10"/>
          <w:footerReference w:type="default" r:id="rId11"/>
          <w:footerReference w:type="first" r:id="rId12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"/>
      </w:pPr>
      <w:bookmarkStart w:id="1" w:name="_Toc256000001"/>
      <w:r>
        <w:t>NOTA SPJEGATTIVA</w:t>
      </w:r>
      <w:bookmarkEnd w:id="1"/>
    </w:p>
    <w:p>
      <w:pPr>
        <w:pStyle w:val="Normal12"/>
      </w:pPr>
      <w:r>
        <w:t>L-inugwaljanzi bejn il-ġeneri fil-kura tas-saħħa fl-Unjoni Ewropea għadhom sfida sinifikanti minkejja li ttieħdu xi miżuri regolatorji u impenji uffiċjali biex tittejjeb l-ugwaljanza. Dan ir-rapport jeżamina r-raġunijiet multidimensjonali għall-inugwaljanzi persistenti bejn il-ġeneri fil-qasam tas-saħħa u jqis iċ-ċiklu kollu tal-kura tas-saħħa, mill-provi kliniċi u l-iżvilupp tal-prodotti mediċinali sad-dijanjostika u t-trattament. Ir-rapport jenfasizza wkoll l-inugwaljanzi li jeżistu fit-trattament ta’ kundizzjonijiet speċifiċi għall-ġeneri, bħall-menopawża, l-endometrijożi eċċ.</w:t>
      </w:r>
    </w:p>
    <w:p>
      <w:pPr>
        <w:pStyle w:val="Normal12"/>
      </w:pPr>
      <w:r>
        <w:t>Filwaqt li d-direzzjoni tad-diskussjoni dwar l-inugwaljanzi f’dan ir-rapport tikkonċerna l-inugwaljanzi bejn il-ġeneri li għandhom x’jaqsmu man-nisa, ħafna mis-sorsi ta’ inugwaljanza japplikaw bl-istess mod għal gruppi oħra ta’ persuni, bħall-persuni transġeneru u l-komunitajiet ta’ minoranzi etniċi, u r-rapporteur għandu f’moħħu li l-azzjonijiet li qed jipproponi se jkunu ta’ benefiċċju wkoll għal dawn il-gruppi.</w:t>
      </w:r>
    </w:p>
    <w:p>
      <w:pPr>
        <w:pStyle w:val="Normal12"/>
      </w:pPr>
      <w:r>
        <w:t>Ir-rapporteur jemmen li, minħabba l-oriġini kumplessa tal-inugwaljanzi bejn il-ġeneri, dawk li jfasslu l-politika jeħtiġilhom jieħdu approċċ olistiku għalihom u jaħdmu mill-qrib mal-professjoni medika u mas-soċjetà ċivili. Ir-rapporteur itenni l-appoġġ tiegħu biex il-perspettiva tal-ġeneri tiġi integrata fil-politiki rilevanti kollha u fil-baġit tal-UE u jqis li dan huwa katalist meħtieġ biex jiġu indirizzati s-sorsi speċifiċi ta’ inugwaljanza.</w:t>
      </w:r>
    </w:p>
    <w:p>
      <w:pPr>
        <w:pStyle w:val="Normal12"/>
      </w:pPr>
      <w:r>
        <w:t>Ħafna mill-inugwaljanza tirriżulta minn preġudizzji sistemiċi fi ħdan l-ekosistema medika. Ir-riċerka medika u l-iżvilupp tal-mediċini storikament kienu ffukati fuq l-irġiel. Dan il-preġudizzju jinjora l-fatt li l-kundizzjonijiet mediċi jistgħu jkunu preżenti b’mod differenti fil-ġisem tal-mara u l-anatomija tal-mara tista’ tirreaġixxi b’mod differenti għall-mediċini u għat-trattamenti. Dawn il-lakuni fl-għarfien huma iggravati minn sottofinanzjament konsistenti u ripetut tar-riċerka dwar is-saħħa tan-nisa u l-kundizzjonijiet speċifiċi għall-ġeneri, b’5 % biss tal-finanzjament globali għar-riċerka u l-iżvilupp allokat għar-riċerka dwar is-saħħa tan-nisa fl-2020</w:t>
      </w:r>
      <w:r>
        <w:rPr>
          <w:rStyle w:val="FootnoteReference"/>
        </w:rPr>
        <w:footnoteReference w:customMarkFollows="1" w:id="18"/>
        <w:t xml:space="preserve">1</w:t>
      </w:r>
      <w:r>
        <w:t>.</w:t>
      </w:r>
    </w:p>
    <w:p>
      <w:pPr>
        <w:pStyle w:val="Normal12"/>
      </w:pPr>
      <w:r>
        <w:t>Minkejja l-avvanzi mediċi konsiderevoli f’dawn l-aħħar 50 sena u t-titjib fis-sistemi nazzjonali tal-kura tas-saħħa, in-nisa jiffaċċjaw b’mod persistenti dijanjożi ħażina, is-sintomi tagħhom ma jingħatawx l-importanza mistħoqqa u jiffaċċjaw reazzjonijiet avversi għall-mediċini. Ħafna drabi, sempliċiment ma jkunx hemm trattament effettiv magħruf għall-kundizzjoni tagħhom, bħal fil-każijiet ta’ endometrijożi u disturb disforiku premenstruwali (PMDD).</w:t>
      </w:r>
    </w:p>
    <w:p>
      <w:pPr>
        <w:pStyle w:val="Normal12"/>
      </w:pPr>
      <w:r>
        <w:t>L-inugwaljanzi li n-nisa huma soġġetti għalihom fil-kura tas-saħħa spiss jiġu riflessi u saħansitra amplifikati mill-inugwaljanza intersezzjonali li jiffaċċjaw komunitajiet oħra sottorappreżentati, inklużi persuni transġeneru u komunitajiet ta’ minoranzi etniċi u migranti, kif ukoll minn inugwaljanzi ġeografiċi.</w:t>
      </w:r>
    </w:p>
    <w:p>
      <w:pPr>
        <w:pStyle w:val="Normal12"/>
      </w:pPr>
      <w:r>
        <w:rPr>
          <w:b/>
        </w:rPr>
        <w:t>Il-provi kliniċi</w:t>
      </w:r>
    </w:p>
    <w:p>
      <w:pPr>
        <w:pStyle w:val="Normal12"/>
      </w:pPr>
      <w:r>
        <w:t>Ir-Regolament (UE) Nru 536/2014 dwar il-Provi Kliniċi tal-UE introduċa obbligi mfassla biex jippromwovu l-inklużività, inkluża l-ħtieġa li jiġi ġġustifikat xjentifikament għaliex ċerti gruppi huma esklużi. Madankollu, ir-rappreżentanza tan-nisa fil-provi kliniċi għadha taħt dik tal-irġiel u d-disparità hija partikolarment akuta għan-nisa tqal u li qed ireddgħu, b’anqas minn 0,4 % tal-provi kliniċi fl-UE li jinkludu n-nisa tqal</w:t>
      </w:r>
      <w:r>
        <w:rPr>
          <w:rStyle w:val="FootnoteReference"/>
        </w:rPr>
        <w:footnoteReference w:customMarkFollows="1" w:id="19"/>
        <w:t xml:space="preserve">2</w:t>
      </w:r>
      <w:r>
        <w:t>. Barra minn hekk, ma hemm l-ebda obbligu li tiġi żgurata d-diversità fil-fażi ta’ qabel il-proċess bil-maġġoranza tal-ittestjar fuq l-annimali li għadu jsir fuq speċijiet maskili biss</w:t>
      </w:r>
      <w:r>
        <w:rPr>
          <w:rStyle w:val="FootnoteReference"/>
        </w:rPr>
        <w:footnoteReference w:customMarkFollows="1" w:id="20"/>
        <w:t xml:space="preserve">3</w:t>
      </w:r>
      <w:r>
        <w:t>.</w:t>
      </w:r>
    </w:p>
    <w:p>
      <w:pPr>
        <w:pStyle w:val="Normal12"/>
      </w:pPr>
      <w:r>
        <w:t>Ir-rapport jenfasizza wkoll in-nuqqas ta’ data diżaggregata skont is-sessi li tikkontribwixxi għal lakuni fl-għarfien fis-saħħa tan-nisa.</w:t>
      </w:r>
    </w:p>
    <w:p>
      <w:pPr>
        <w:pStyle w:val="Normal12"/>
      </w:pPr>
      <w:r>
        <w:rPr>
          <w:b/>
        </w:rPr>
        <w:t>Id-dijanjostika u t-trattament</w:t>
      </w:r>
    </w:p>
    <w:p>
      <w:pPr>
        <w:pStyle w:val="Normal12"/>
      </w:pPr>
      <w:r>
        <w:t>L-approċċ għall-mediċina, li storikament iffoka fuq l-irġiel, ġie inkorporat fi proċeduri dijanjostiċi u ta’ trattament u n-nuqqas ta’ approċċ sensittiv għall-ġeneri għall-mediċina jista’ jwassal għal trattament ta’ standard inferjuri u ta’ riskju ogħla għan-nisa.</w:t>
      </w:r>
    </w:p>
    <w:p>
      <w:pPr>
        <w:pStyle w:val="Normal12"/>
      </w:pPr>
      <w:r>
        <w:t>Pereżempju, il-mard kardjovaskulari huwa l-kawża ewlenija tal-mewt fost in-nisa fl-UE iżda s-sintomi tagħhom huma preżenti b’mod hekk imsejjaħ “atipiku” u għalhekk in-nisa huma darbtejn aktar probabbli li jkollhom insuffiċjenza kardjaka dijanjostikata ħażin</w:t>
      </w:r>
      <w:r>
        <w:rPr>
          <w:rStyle w:val="FootnoteReference"/>
        </w:rPr>
        <w:footnoteReference w:customMarkFollows="1" w:id="21"/>
        <w:t xml:space="preserve">4</w:t>
      </w:r>
      <w:r>
        <w:t>. It-trattament tal-uġigħ u tas-saħħa mentali jipprovdi wkoll eżempji ċari tal-preġudizzji inċiżi fid-dijanjostika u fit-trattament.</w:t>
      </w:r>
    </w:p>
    <w:p>
      <w:pPr>
        <w:pStyle w:val="Normal12"/>
      </w:pPr>
      <w:r>
        <w:t>Ir-rapporteur iqis li huwa essenzjali li l-Istati Membri, f’kooperazzjoni mill-qrib mal-professjoni medika u mal-istituzzjonijiet edukattivi, jintegraw taħriġ tal-kura tas-saħħa sensittiv għall-ġeneru fil-kurrikulu mediku. Ir-rapporteur jenfasizza wkoll li kwalunkwe bidla fil-proċeduri li jsiru meta pazjent ikun fis-sodda għandha tkun infurmata mill-esperjenza reali tal-pazjent.</w:t>
      </w:r>
    </w:p>
    <w:p>
      <w:pPr>
        <w:pStyle w:val="Normal12"/>
      </w:pPr>
      <w:r>
        <w:rPr>
          <w:b/>
        </w:rPr>
        <w:t>Kundizzjonijiet speċifiċi għall-ġeneru</w:t>
      </w:r>
    </w:p>
    <w:p>
      <w:pPr>
        <w:pStyle w:val="Normal12"/>
      </w:pPr>
      <w:r>
        <w:t>Minħabba sottofinanzjament kroniku u nuqqas ta’ prijoritizzazzjoni fir-riċerka, l-avvanzi mediċi għal kwistjonijiet speċifiċi għall-ġeneri għadhom lura u d-distakk huwa partikolarment evidenti għal kwistjonijiet speċifiċi għan-nisa.</w:t>
      </w:r>
    </w:p>
    <w:p>
      <w:pPr>
        <w:pStyle w:val="Normal12"/>
      </w:pPr>
      <w:r>
        <w:rPr>
          <w:b/>
          <w:i/>
        </w:rPr>
        <w:t>L-endometrijożi</w:t>
      </w:r>
    </w:p>
    <w:p>
      <w:pPr>
        <w:pStyle w:val="Normal12"/>
      </w:pPr>
      <w:r>
        <w:t>L-endometrijożi hija kundizzjoni kronika li tista’ tikkawża sintomi bħal uġigħ sever, emorraġija qawwija, u għej. Huwa stmat li l-endometrijożi taffettwa 10 % sa 15 % tan-nisa ta’ età riproduttiva</w:t>
      </w:r>
      <w:r>
        <w:rPr>
          <w:rStyle w:val="FootnoteReference"/>
        </w:rPr>
        <w:footnoteReference w:customMarkFollows="1" w:id="22"/>
        <w:t xml:space="preserve">5</w:t>
      </w:r>
      <w:r>
        <w:t>. Minħabba nuqqas ta’ fehim fost il-professjonisti mediċi u preġudizzji intrinsiċi li jirriżultaw meta s-sintomi ma jingħatawx l-importanza mistħoqqa – spiss bħala “uġigħ normali tal-mestrwazzjoni” – il-kundizzjoni tieħu, bħala medja, bejn 6 u 10 snin biex tiġi dijanjostikata. Dan id-dewmien huwa sistemiku, mhux aċċidentali.</w:t>
      </w:r>
    </w:p>
    <w:p>
      <w:pPr>
        <w:pStyle w:val="Normal12"/>
      </w:pPr>
      <w:r>
        <w:rPr>
          <w:b/>
          <w:i/>
        </w:rPr>
        <w:t>Il-menopawża</w:t>
      </w:r>
    </w:p>
    <w:p>
      <w:pPr>
        <w:pStyle w:val="Normal12"/>
      </w:pPr>
      <w:r>
        <w:t>85 % tan-nisa jesperjenzaw sintomi tal-menopawża u sal-2030, madwar 1,2 biljun mara se jkunu qed jesperjenzaw menopawża globalment</w:t>
      </w:r>
      <w:r>
        <w:rPr>
          <w:rStyle w:val="FootnoteReference"/>
        </w:rPr>
        <w:footnoteReference w:customMarkFollows="1" w:id="23"/>
        <w:t xml:space="preserve">6</w:t>
      </w:r>
      <w:r>
        <w:t>. Madankollu, l-aċċess għall-kura jvarja ħafna bejn il-pajjiżi u spiss ikun għadu moħbi fl-istigma soċjali. Barra minn hekk, il-kura tal-menopawża hija mxekkla minn ħinijiet twal ta’ stennija, servizzi speċjalizzati limitati, u linji gwida inkonsistenti għat-terapija ta’ sostituzzjoni tal-ormoni (HRT). Ħafna pazjenti jirrapportaw li s-sintomi ma jingħatawx l-importanza mistħoqqa għax jitqiesu bħala “tixjiħ normali,” u dan isaħħaħ is-suppożizzjonijiet ibbażati fuq il-ġeneru dwar is-saħħa u r-reżiljenza tan-nisa. Barra minn hekk, il-maġġoranza tar-riċerka medika eżistenti tiffoka fuq is-snin tal-fertilità u, għalhekk, tinjora l-pubertà, il-perimenopawża u l-menopawża.</w:t>
      </w:r>
    </w:p>
    <w:p>
      <w:pPr>
        <w:pStyle w:val="Normal12"/>
      </w:pPr>
      <w:r>
        <w:rPr>
          <w:b/>
          <w:i/>
        </w:rPr>
        <w:t>Id-drittijiet tas-saħħa sesswali u dawk riproduttivi</w:t>
      </w:r>
    </w:p>
    <w:p>
      <w:pPr>
        <w:pStyle w:val="Normal12"/>
      </w:pPr>
      <w:r>
        <w:t>Il-kapaċità tal-individwi li jeżerċitaw is-saħħa sesswali u riproduttiva u d-drittijiet relatati (SRHR) tagħhom u d-dritt tagħhom għall-integrità fiżika u l-awtonomija jridu jiġu ggarantiti sabiex tinkiseb l-ugwaljanza bejn il-ġeneri. Bħala tali, ir-rapporteur jemmen li s-saħħa sesswali u riproduttiva u d-drittijiet relatati kif ukoll id-dritt għal abort sikur u legali għandhom jiġu minquxa fil-Karta tad-Drittijiet Fundamentali tal-Unjoni Ewropea.</w:t>
      </w:r>
    </w:p>
    <w:p>
      <w:pPr>
        <w:pStyle w:val="Normal12"/>
      </w:pPr>
      <w:r>
        <w:t>L-adozzjoni tar-reazzjoni tal-Parlament għall-Inizjattiva taċ-Ċittadini Ewropej, “Il-Vuċi Tiegħi, l-Għażla Tiegħi” f’Diċembru 2025 kienet kisba importanti, li għamlet sejħa qawwija lill-Kummissjoni biex tieħu azzjoni. Barra minn hekk, ir-rapport jibgħat sinjal sinifikanti liċ-ċittadini tal-UE li l-Parlament jappoġġja d-drittijiet tan-nisa u tal-bniet u se jiġġieled biex jiżgura l-ugwaljanza.</w:t>
      </w:r>
    </w:p>
    <w:p>
      <w:pPr>
        <w:pStyle w:val="Normal12"/>
      </w:pPr>
      <w:r>
        <w:rPr>
          <w:b/>
        </w:rPr>
        <w:t>Il-finanzjament</w:t>
      </w:r>
    </w:p>
    <w:p>
      <w:pPr>
        <w:pStyle w:val="Normal12"/>
      </w:pPr>
      <w:r>
        <w:t>Ir-rapporteur jirrikonoxxi li l-finanzjament tal-UE jista’ jkollu rwol sinifikanti biex iħeġġeġ investiment ferm akbar fir-riċerka dwar kwistjonijiet speċifiċi għall-ġeneri u biex jindirizza l-inugwaljanzi fl-aċċess għat-trattament madwar l-Unjoni. Huwa tal-fehma li jistgħu jkunu meħtieġa sejħiet għal finanzjament iddedikati għal kundizzjonijiet speċifiċi għall-ġeneru.</w:t>
      </w:r>
    </w:p>
    <w:p>
      <w:pPr>
        <w:pStyle w:val="Normal12"/>
      </w:pPr>
      <w:r>
        <w:t>F’dan ir-rapport, ir-rapporteur jenfasizza li l-investiment fit-tnaqqis tad-distakk fid-data dwar is-saħħa speċifika għas-sess jippreżenta opportunità kompetittiva għall-Ewropa. Dan mhux biss jista’ jikkontribwixxi biex jiġi indirizzat it-telf għall-ekonomija tal-UE mil-liv minħabba mard għal kundizzjonijiet speċifiċi għall-ġeneru</w:t>
      </w:r>
      <w:r>
        <w:rPr>
          <w:rStyle w:val="FootnoteReference"/>
        </w:rPr>
        <w:footnoteReference w:customMarkFollows="1" w:id="24"/>
        <w:t xml:space="preserve">7</w:t>
      </w:r>
      <w:r>
        <w:t>, iżda jista’ wkoll jattira l-investiment privat u joffri bażi solida għal aktar innovazzjoni fl-Ewropa.</w:t>
      </w:r>
    </w:p>
    <w:p>
      <w:pPr>
        <w:pStyle w:val="Normal12"/>
      </w:pPr>
      <w:r>
        <w:t>Bħala l-ewwel pass, il-Kummissjoni jeħtiġilha tuża l-Istrateġija li jmiss dwar l-Ugwaljanza bejn il-Ġeneri (2026-2030) biex tirrinforza u tibni fuq il-prinċipji dwar is-saħħa tan-nisa stabbiliti fil-Pjan Direzzjonali tagħha tal-2025 għad-Drittijiet tan-Nisa billi tipproponi miżuri konkreti li se jagħtu prijorità u jinċentivaw l-investiment f’kundizzjonijiet speċifiċi għall-ġeneru.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"/>
      </w:pPr>
      <w:bookmarkStart w:id="2" w:name="_Toc256000002"/>
      <w:r>
        <w:t>ANNESS: DIKJARAZZJONI TAL-KONTRIBUT</w:t>
      </w:r>
      <w:bookmarkEnd w:id="2"/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F’konformità mal-Artikolu 8 tal-Anness I tar-Regoli ta’ Proċedura, ir-rapporteur jiddikjara li fir-rapport tiegħu inkluda kontribut dwar kwistjonijiet li għandhom x’jaqsmu mas-suġġett tal-fajl li rċieva, għat-tħejjija tal-abbozz ta’ rapport, mingħand ir-rappreżentanti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customMarkFollows="1" w:id="25"/>
        <w:t xml:space="preserve">1</w:t>
      </w:r>
      <w:r>
        <w:t xml:space="preserve"> li ġejjin, jew mingħand ir-rappreżentanti ta’ awtoritajiet pubbliċi ta’ pajjiżi terzi, inklużi l-missjonijiet diplomatiċi u l-ambaxxati tagħhom, li ġejjin: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908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1. Rappreżentanti ta’ gruppi ta’ interess li jaqgħu fil-kamp ta’ applikazzjoni tal-Ftehim Interistituzzjonali dwar Reġistru Obbligatorju ta’ Trasparenza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Cancer Organisation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Hologic BV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Deutsche Stiftung Weltbevoelkerung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EDANA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Essity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Association of Urology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Center for Reproductive Rights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Heart Network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Care4Everybody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Astra Zeneca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Vaccines Europe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Ferring Pharmaceuticals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Delta (CHIREC) Hospital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Pain Federation (EFIC)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Institute of Women’s Health (EIWH)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Alliance for Cardiovascular Health (EACH)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Cancer Patients Europe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Bayer AG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Federation of Pharmaceutical Industries (EFPIA)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International Planned Parenthood Federation (IPPF)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Daiichi Sankyo Europe GmbH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ILGA-Europe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MedTech Europe Cardiovascular Sector Group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Trans Europe and Central Asia (TGEU)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EUROPA DONNA (The European Breast Cancer Coalition)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European Board and College of Obstetrics and Gynaecology (EBCOG)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EuroHealthNet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2. Rappreżentanti ta’ awtoritajiet pubbliċi ta’ pajjiżi terzi, inklużi l-missjonijiet diplomatiċi u l-ambaxxati tagħhom</w:t>
            </w:r>
          </w:p>
        </w:tc>
      </w:tr>
    </w:tbl>
    <w:p/>
    <w:p>
      <w:pPr>
        <w:pStyle w:val="Normal12a"/>
      </w:pPr>
      <w:r>
        <w:t>Il-lista ta’ hawn fuq hija mfassla taħt ir-responsabbiltà esklużiva tar-rapporteur.</w:t>
      </w:r>
    </w:p>
    <w:p>
      <w:pPr>
        <w:pStyle w:val="Normal12a"/>
      </w:pPr>
      <w:r>
        <w:t>Meta persuni fiżiċi jkunu identifikati fil-lista b’isimhom, bil-funzjoni tagħhom jew bit-tnejn, ir-rapporteur jiddikjara li ppreżenta lill-persuni fiżiċi kkonċernati l-Avviż tal-Parlament Ewropew Nru 484 dwar il-Protezzjoni tad-Data (</w:t>
      </w:r>
      <w:hyperlink r:id="rId13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li jistabbilixxi l-kundizzjonijiet applikabbli għall-ipproċessar tad-data personali tagħhom u d-drittijiet marbuta ma’ dak l-ipproċessar.</w:t>
      </w:r>
    </w:p>
    <w:sectPr>
      <w:footnotePr>
        <w:numRestart w:val="eachSect"/>
      </w:footnote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782.188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</w:t>
    </w:r>
    <w:r>
      <w:fldChar w:fldCharType="end"/>
    </w:r>
    <w:r>
      <w:tab/>
    </w:r>
    <w:r>
      <w:rPr>
        <w:rStyle w:val="HideTWBExt"/>
      </w:rPr>
      <w:t>&lt;PathFdR&gt;</w:t>
    </w:r>
    <w:r>
      <w:t>PR\1334794MT.docx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PR\1334794MT.docx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782.188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PR\1334794MT.docx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782.188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ĠU L 158, 27.5.2014, p. 1, ELI: </w:t>
      </w:r>
      <w:hyperlink r:id="rId1" w:tgtFrame="http://data.europa.eu/eli/reg/2014/536/2022-12-05" w:history="1">
        <w:r>
          <w:rPr>
            <w:rStyle w:val="Hyperlink"/>
          </w:rPr>
          <w:t>http://data.europa.eu/eli/reg/2014/536/2022-12-05</w:t>
        </w:r>
      </w:hyperlink>
      <w:r>
        <w:t>.</w:t>
      </w:r>
    </w:p>
  </w:footnote>
  <w:footnote w:id="3">
    <w:p>
      <w:pPr>
        <w:pStyle w:val="FootnoteText"/>
      </w:pPr>
      <w:r>
        <w:rPr>
          <w:vertAlign w:val="superscript"/>
        </w:rPr>
        <w:t>2</w:t>
      </w:r>
      <w:r>
        <w:t xml:space="preserve"> </w:t>
      </w:r>
      <w:r>
        <w:t xml:space="preserve">Testi adottati, </w:t>
      </w:r>
      <w:hyperlink r:id="rId2" w:tgtFrame="https://www.europarl.europa.eu/doceo/document/TA-10-2025-0338_EN.html" w:history="1">
        <w:r>
          <w:rPr>
            <w:rStyle w:val="Hyperlink"/>
          </w:rPr>
          <w:t>P10_TA(2025)0338</w:t>
        </w:r>
      </w:hyperlink>
      <w:r>
        <w:t>.</w:t>
      </w:r>
    </w:p>
  </w:footnote>
  <w:footnote w:id="4">
    <w:p>
      <w:pPr>
        <w:pStyle w:val="FootnoteText"/>
      </w:pPr>
      <w:r>
        <w:rPr>
          <w:vertAlign w:val="superscript"/>
        </w:rPr>
        <w:t>3</w:t>
      </w:r>
      <w:r>
        <w:t xml:space="preserve"> </w:t>
      </w:r>
      <w:r>
        <w:t>ĠU C 81, 18.2.2022, p. 43.</w:t>
      </w:r>
    </w:p>
  </w:footnote>
  <w:footnote w:id="5">
    <w:p>
      <w:pPr>
        <w:pStyle w:val="FootnoteText"/>
      </w:pPr>
      <w:r>
        <w:rPr>
          <w:vertAlign w:val="superscript"/>
        </w:rPr>
        <w:t>4</w:t>
      </w:r>
      <w:r>
        <w:t xml:space="preserve"> </w:t>
      </w:r>
      <w:r>
        <w:t xml:space="preserve">ĠU C, C/2024/4259, 28.6.2024, ELI: </w:t>
      </w:r>
      <w:hyperlink r:id="rId3" w:tgtFrame="http://data.europa.eu/eli/C/2024/4259/oj" w:history="1">
        <w:r>
          <w:rPr>
            <w:rStyle w:val="Hyperlink"/>
          </w:rPr>
          <w:t>http://data.europa.eu/eli/C/2024/4259/oj</w:t>
        </w:r>
      </w:hyperlink>
      <w:r>
        <w:t>.</w:t>
      </w:r>
    </w:p>
  </w:footnote>
  <w:footnote w:id="6">
    <w:p>
      <w:pPr>
        <w:pStyle w:val="FootnoteText"/>
      </w:pPr>
      <w:r>
        <w:rPr>
          <w:vertAlign w:val="superscript"/>
        </w:rPr>
        <w:t>5</w:t>
      </w:r>
      <w:r>
        <w:t xml:space="preserve"> </w:t>
      </w:r>
      <w:r>
        <w:t>ĠU C 473, 13.12.2022, p. 1.</w:t>
      </w:r>
    </w:p>
  </w:footnote>
  <w:footnote w:id="7">
    <w:p>
      <w:pPr>
        <w:pStyle w:val="FootnoteText"/>
      </w:pPr>
      <w:r>
        <w:rPr>
          <w:vertAlign w:val="superscript"/>
        </w:rPr>
        <w:t>6</w:t>
      </w:r>
      <w:r>
        <w:t xml:space="preserve"> </w:t>
      </w:r>
      <w:r>
        <w:t xml:space="preserve">Anqas minn 0,4 % tal-provi fl-UE jinkludu nisa tqal jew li qed ireddgħu skont id-data mis-Sistema ta’ Informazzjoni dwar il-Provi Kliniċi (CTIS) kkwotata mill-Aġenzija Ewropea għall-Mediċini fl-4 ta’ Ġunju 2025. L-Aġenzija Ewropea għall-Mediċini, ‘New guideline on inclusion of pregnant and breastfeeding individuals in clinical trials’ (Linja gwida ġdida dwar l-inklużjoni ta’ individwi tqal u li qed ireddgħu fi provi kliniċi), 2025, </w:t>
      </w:r>
      <w:hyperlink r:id="rId4" w:tgtFrame="https://www.ema.europa.eu/en/news/new-guideline-inclusion-pregnant-breastfeeding-individuals-clinical-trials" w:history="1">
        <w:r>
          <w:rPr>
            <w:rStyle w:val="Hyperlink"/>
          </w:rPr>
          <w:t>https://www.ema.europa.eu/en/news/new-guideline-inclusion-pregnant-breastfeeding-individuals-clinical-trials</w:t>
        </w:r>
      </w:hyperlink>
      <w:hyperlink r:id="rId4" w:tgtFrame="https://www.ema.europa.eu/en/news/new-guideline-inclusion-pregnant-breastfeeding-individuals-clinical-trials" w:history="1">
        <w:r>
          <w:rPr>
            <w:rStyle w:val="Hyperlink"/>
          </w:rPr>
          <w:t>?utm_source=chatgpt.com</w:t>
        </w:r>
      </w:hyperlink>
      <w:r>
        <w:t>.</w:t>
      </w:r>
    </w:p>
  </w:footnote>
  <w:footnote w:id="8">
    <w:p>
      <w:pPr>
        <w:pStyle w:val="FootnoteText"/>
      </w:pPr>
      <w:r>
        <w:rPr>
          <w:vertAlign w:val="superscript"/>
        </w:rPr>
        <w:t>7</w:t>
      </w:r>
      <w:r>
        <w:t xml:space="preserve"> </w:t>
      </w:r>
      <w:r>
        <w:t xml:space="preserve">Brotto, L.A. u Galea, L.A.M., ‘Gender inclusivity in women’s health research’ (L-inklużività tal-ġeneru fir-riċerka dwar is-saħħa tan-nisa), </w:t>
      </w:r>
      <w:r>
        <w:rPr>
          <w:i/>
        </w:rPr>
        <w:t>BJOG</w:t>
      </w:r>
      <w:r>
        <w:t>, Vol. 129, Nru 12, 2022, https://doi.org/10.1111%2F1471-0528.17231.</w:t>
      </w:r>
    </w:p>
  </w:footnote>
  <w:footnote w:id="9">
    <w:p>
      <w:pPr>
        <w:pStyle w:val="FootnoteText"/>
      </w:pPr>
      <w:r>
        <w:rPr>
          <w:vertAlign w:val="superscript"/>
        </w:rPr>
        <w:t>8</w:t>
      </w:r>
      <w:r>
        <w:t xml:space="preserve"> </w:t>
      </w:r>
      <w:r>
        <w:t xml:space="preserve">Studju ta’ Care4EveryBody, “Mind the Gap: Costs, consequences and correction of sex and gender inequality in medicine’ (2023) (Attenti għad-distakk: Il-kostijiet, il-konsegwenzi u l-itranġar tal-inugwaljanza fis-sess u l-ġeneri fil-mediċina), </w:t>
      </w:r>
      <w:hyperlink r:id="rId5" w:tgtFrame="https://www.care4everybody.org/wp-content/uploads/2023/12/Mind-the-Gap-Costs-Consequences-and-Correction-of-Gender-Inequality-in-Medicine.pdf" w:history="1">
        <w:r>
          <w:rPr>
            <w:rStyle w:val="Hyperlink"/>
          </w:rPr>
          <w:t>https://www.care4everybody.org/wp-content/uploads/2023/12/Mind-the-Gap-Costs-Consequences-and-Correction-of-Gender-Inequality-in-Medicine.pdf</w:t>
        </w:r>
      </w:hyperlink>
      <w:r>
        <w:t>.</w:t>
      </w:r>
    </w:p>
  </w:footnote>
  <w:footnote w:id="10">
    <w:p>
      <w:pPr>
        <w:pStyle w:val="FootnoteText"/>
      </w:pPr>
      <w:r>
        <w:rPr>
          <w:vertAlign w:val="superscript"/>
        </w:rPr>
        <w:t>9</w:t>
      </w:r>
      <w:r>
        <w:t xml:space="preserve"> </w:t>
      </w:r>
      <w:r>
        <w:t>Din iċ-ċifra hija bbażata fuq l-għadd ta’ nisa li jgħixu fil-Polonja u f’Malta, li ma għandhomx aċċess għall-abort minħabba liġijiet restrittivi fil-pajjiżi ta’ residenza tagħhom u restrizzjonijiet u limitazzjonijiet fi Stati Membri oħra tal-UE.</w:t>
      </w:r>
    </w:p>
  </w:footnote>
  <w:footnote w:id="11">
    <w:p>
      <w:pPr>
        <w:pStyle w:val="FootnoteText"/>
      </w:pPr>
      <w:r>
        <w:rPr>
          <w:vertAlign w:val="superscript"/>
        </w:rPr>
        <w:t>10</w:t>
      </w:r>
      <w:r>
        <w:t xml:space="preserve"> </w:t>
      </w:r>
      <w:r>
        <w:t>Becker, K., Heinemann, K., Imthurn, B. Marions, L. Moehner, S. et al</w:t>
      </w:r>
      <w:r>
        <w:rPr>
          <w:i/>
        </w:rPr>
        <w:t xml:space="preserve">. </w:t>
      </w:r>
      <w:r>
        <w:t xml:space="preserve">“Real world data on symptomology and diagnostic approaches of 27,840 women living with endometriosis” (Data mid-dinja reali dwar is-sintomoloġija u l-approċċi dijanjostiċi ta’ 27,840 mara li jgħixu bl-endometrijożi), </w:t>
      </w:r>
      <w:r>
        <w:rPr>
          <w:i/>
        </w:rPr>
        <w:t xml:space="preserve">Rapporti Xjentifiċi </w:t>
      </w:r>
      <w:r>
        <w:t xml:space="preserve">Vol. 11, Nru 20404, 2021, </w:t>
      </w:r>
      <w:hyperlink r:id="rId6" w:tgtFrame="https://doi.org/10.1038/s41598-021-99681-3" w:history="1">
        <w:r>
          <w:rPr>
            <w:rStyle w:val="Hyperlink"/>
          </w:rPr>
          <w:t>https://doi.org/10.1038/s41598-021-99681-3</w:t>
        </w:r>
      </w:hyperlink>
      <w:r>
        <w:t xml:space="preserve"> Eder, C. u Roomaney R., “Transgender and non-binary people’s perception of their healthcare in relation to their endometriosis” (Il-perċezzjoni tal-persuni transġeneru u mhux binarji tal-kura tas-saħħa tagħhom fir-rigward tal-endometrijożi tagħhom), </w:t>
      </w:r>
      <w:r>
        <w:rPr>
          <w:i/>
        </w:rPr>
        <w:t>Ġurnal Internazzjonali dwar is-Saħħa tat-Transġeneru</w:t>
      </w:r>
      <w:r>
        <w:t xml:space="preserve">, Vol. 25, Nru 4, 2025, 911-925, </w:t>
      </w:r>
      <w:hyperlink r:id="rId7" w:tgtFrame="https://journals.sagepub.com/doi/10.1177/13591053241266249" w:history="1">
        <w:r>
          <w:rPr>
            <w:rStyle w:val="Hyperlink"/>
          </w:rPr>
          <w:t>https://journals.sagepub.com/doi/10.1177/13591053241266249</w:t>
        </w:r>
      </w:hyperlink>
      <w:r>
        <w:t>.</w:t>
      </w:r>
    </w:p>
  </w:footnote>
  <w:footnote w:id="12">
    <w:p>
      <w:pPr>
        <w:pStyle w:val="FootnoteText"/>
      </w:pPr>
      <w:r>
        <w:rPr>
          <w:vertAlign w:val="superscript"/>
        </w:rPr>
        <w:t>11</w:t>
      </w:r>
      <w:r>
        <w:t xml:space="preserve"> </w:t>
      </w:r>
      <w:r>
        <w:t xml:space="preserve">Davaki, K., studju mitlub mill-Kumitat għad-Drittijiet tan-Nisa u l-Ugwaljanza bejn il-Ġeneri tal-Parlament Ewropew, “Gender Inequalities in Medical Research, Drug Development and Access to Care” (L-inugwaljanzi bejn il-ġeneri fir-riċerka medika, fl-iżvilupp tal-prodotti mediċinali u fl-aċċess għall-kura), Dipartiment Tematiku għaċ-Ċittadini, l-Ugwaljanza u l-Kultura, Direttorat Ġenerali għad-Drittijiet taċ-Ċittadini, il-Ġustizzja u l-Affarijiet Istituzzjonali, Parlament Ewropew, 2025, p. 86, </w:t>
      </w:r>
      <w:hyperlink r:id="rId8" w:tgtFrame="https://www.europarl.europa.eu/RegData/etudes/STUD/2025/778519/IUST_STU(2025)778519_EN.pdf" w:history="1">
        <w:r>
          <w:rPr>
            <w:rStyle w:val="Hyperlink"/>
          </w:rPr>
          <w:t>https://www.europarl.europa.eu/RegData/etudes/STUD/2025/778519/IUST_STU (2025) 778519_EN.pdf</w:t>
        </w:r>
      </w:hyperlink>
      <w:r>
        <w:t>.</w:t>
      </w:r>
    </w:p>
  </w:footnote>
  <w:footnote w:id="13">
    <w:p>
      <w:pPr>
        <w:pStyle w:val="FootnoteText"/>
      </w:pPr>
      <w:r>
        <w:rPr>
          <w:vertAlign w:val="superscript"/>
        </w:rPr>
        <w:t>12</w:t>
      </w:r>
      <w:r>
        <w:t xml:space="preserve"> </w:t>
      </w:r>
      <w:r>
        <w:t xml:space="preserve">Eurostat, Statistics Explained (Nispjegaw l-Istatistika), “Cancer statistics” (Statistika dwar il-kanċer), data estratta f’Marzu 2024, </w:t>
      </w:r>
      <w:hyperlink r:id="rId9" w:tgtFrame="https://ec.europa.eu/eurostat/statistics-explained/index.php?title=Cancer_statistics" w:history="1">
        <w:r>
          <w:rPr>
            <w:rStyle w:val="Hyperlink"/>
          </w:rPr>
          <w:t>https://ec.europa.eu/eurostat/statistics-explained/index.php?title=Cancer_statistics</w:t>
        </w:r>
      </w:hyperlink>
      <w:r>
        <w:t>.</w:t>
      </w:r>
    </w:p>
  </w:footnote>
  <w:footnote w:id="14">
    <w:p>
      <w:pPr>
        <w:pStyle w:val="FootnoteText"/>
      </w:pPr>
      <w:r>
        <w:rPr>
          <w:vertAlign w:val="superscript"/>
        </w:rPr>
        <w:t>13</w:t>
      </w:r>
      <w:r>
        <w:t xml:space="preserve"> </w:t>
      </w:r>
      <w:r>
        <w:t xml:space="preserve">Eurostat, Statistics Explained (Nispjegaw l-Istatistika), “Cardiovascular diseases statistics” (Statistika dwar il-mard kardjovaskulari), data estratta f’Lulju 2025, </w:t>
      </w:r>
      <w:hyperlink r:id="rId10" w:tgtFrame="https://ec.europa.eu/eurostat/statistics-explained/index.php?title=Cardiovascular_diseases_statistics" w:history="1">
        <w:r>
          <w:rPr>
            <w:rStyle w:val="Hyperlink"/>
          </w:rPr>
          <w:t>https://ec.europa.eu/eurostat/statistics-explained/index.php?title=Cardiovascular_diseases_statistics</w:t>
        </w:r>
      </w:hyperlink>
      <w:r>
        <w:t>.</w:t>
      </w:r>
    </w:p>
  </w:footnote>
  <w:footnote w:id="15">
    <w:p>
      <w:pPr>
        <w:pStyle w:val="FootnoteText"/>
      </w:pPr>
      <w:r>
        <w:rPr>
          <w:vertAlign w:val="superscript"/>
        </w:rPr>
        <w:t>14</w:t>
      </w:r>
      <w:r>
        <w:t xml:space="preserve"> </w:t>
      </w:r>
      <w:r>
        <w:t xml:space="preserve">Nature Reviews Bioengineering (Analiżi tan-Natura tal-Bijoinġinerija), “Funding research on women’s health” (Il-finanzjament tar-riċerka dwar is-saħħa tan-nisa), Vol. 2, 2024, paġni 797-798, </w:t>
      </w:r>
      <w:hyperlink r:id="rId11" w:tgtFrame="https://doi.org/10.1038/s44222-024-00253-7" w:history="1">
        <w:r>
          <w:rPr>
            <w:rStyle w:val="Hyperlink"/>
          </w:rPr>
          <w:t>https://doi.org/10.1038/s44222-024-00253-7</w:t>
        </w:r>
      </w:hyperlink>
      <w:r>
        <w:t>.</w:t>
      </w:r>
    </w:p>
  </w:footnote>
  <w:footnote w:id="16">
    <w:p>
      <w:pPr>
        <w:pStyle w:val="FootnoteText"/>
      </w:pPr>
      <w:r>
        <w:rPr>
          <w:vertAlign w:val="superscript"/>
        </w:rPr>
        <w:t>15</w:t>
      </w:r>
      <w:r>
        <w:t xml:space="preserve"> </w:t>
      </w:r>
      <w:r>
        <w:t xml:space="preserve">Galea, L.A.M. u Parekh, R.S., “Ending the neglect of women’s health in research” (Intemmu n-negliġenza tas-saħħa tan-nisa fir-riċerka), </w:t>
      </w:r>
      <w:r>
        <w:rPr>
          <w:i/>
        </w:rPr>
        <w:t xml:space="preserve">BMJ, </w:t>
      </w:r>
      <w:r>
        <w:t xml:space="preserve"> Vol. 381, </w:t>
      </w:r>
      <w:hyperlink r:id="rId12" w:tgtFrame="https://pubmed.ncbi.nlm.nih.gov/37308180/" w:history="1">
        <w:r>
          <w:rPr>
            <w:rStyle w:val="Hyperlink"/>
          </w:rPr>
          <w:t>https://pubmed.ncbi.nlm.nih.gov/37308180/</w:t>
        </w:r>
      </w:hyperlink>
      <w:r>
        <w:t>.</w:t>
      </w:r>
    </w:p>
  </w:footnote>
  <w:footnote w:id="17">
    <w:p>
      <w:pPr>
        <w:pStyle w:val="FootnoteText"/>
      </w:pPr>
      <w:r>
        <w:rPr>
          <w:vertAlign w:val="superscript"/>
        </w:rPr>
        <w:t>16</w:t>
      </w:r>
      <w:r>
        <w:t xml:space="preserve"> </w:t>
      </w:r>
      <w:r>
        <w:t>Vigano, P., Casalechi, M. u Dolmans, M., “European Union underinvestment in endometriosis research” (Is-sottoinvestiment tal-Unjoni Ewropea fir-riċerka dwar l-endometrijożi)</w:t>
      </w:r>
      <w:r>
        <w:rPr>
          <w:i/>
        </w:rPr>
        <w:t>, Ġurnal tal-Endometrijożi u Mard tal-Utru</w:t>
      </w:r>
      <w:r>
        <w:t xml:space="preserve">, Vol. 5, 2024, 100058, </w:t>
      </w:r>
      <w:hyperlink r:id="rId13" w:tgtFrame="https://www.sciencedirect.com/science/article/pii/S2949838423000464" w:history="1">
        <w:r>
          <w:rPr>
            <w:rStyle w:val="Hyperlink"/>
          </w:rPr>
          <w:t>https://www.sciencedirect.com/science/article/pii/S2949838423000464</w:t>
        </w:r>
      </w:hyperlink>
      <w:r>
        <w:t>.</w:t>
      </w:r>
    </w:p>
  </w:footnote>
  <w:footnote w:id="18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Nature Reviews Bioengineering (Rieżamijiet tan-Natura tal-Bijoinġinerija), “Funding research on women’ s health” (Finanzjament tar-riċerka dwar is-saħħa tan-nisa), Vol.2, 2024, paġni 7971–798, </w:t>
      </w:r>
      <w:hyperlink r:id="rId11" w:tgtFrame="https://doi.org/10.1038/s44222-024-00253-7" w:history="1">
        <w:r>
          <w:rPr>
            <w:rStyle w:val="Hyperlink"/>
          </w:rPr>
          <w:t>https://doi.org/10.1038/s44222-024-00253-7</w:t>
        </w:r>
      </w:hyperlink>
      <w:r>
        <w:t>.</w:t>
      </w:r>
    </w:p>
  </w:footnote>
  <w:footnote w:id="19">
    <w:p>
      <w:pPr>
        <w:pStyle w:val="FootnoteText"/>
      </w:pPr>
      <w:r>
        <w:rPr>
          <w:vertAlign w:val="superscript"/>
        </w:rPr>
        <w:t>2</w:t>
      </w:r>
      <w:r>
        <w:t xml:space="preserve"> </w:t>
      </w:r>
      <w:r>
        <w:t xml:space="preserve">Anqas minn 0,4 % tal-provi fl-UE jinkludu nisa tqal jew li qed ireddgħu skont id-data mis-Sistema ta’ Informazzjoni dwar il-Provi Kliniċi (CTIS) kkwotata mill-Aġenzija Ewropea għall-Mediċini fl-4 ta’ Ġunju 2025. L-Aġenzija Ewropea għall-Mediċini, ‘New guideline on inclusion of pregnant and breastfeeding individuals in clinical trials’ (Linji gwida ġodda dwar l-inklużjoni ta’ individwi tqal u li qed ireddgħu fi provi kliniċi), 2025, </w:t>
      </w:r>
      <w:hyperlink r:id="rId4" w:tgtFrame="https://www.ema.europa.eu/en/news/new-guideline-inclusion-pregnant-breastfeeding-individuals-clinical-trials" w:history="1">
        <w:r>
          <w:rPr>
            <w:rStyle w:val="Hyperlink"/>
          </w:rPr>
          <w:t>https://www.ema.europa.eu/en/news/new-guideline-inclusion-pregnant-breastfeeding-individuals-clinical-trials</w:t>
        </w:r>
      </w:hyperlink>
      <w:r>
        <w:t>.</w:t>
      </w:r>
    </w:p>
  </w:footnote>
  <w:footnote w:id="20">
    <w:p>
      <w:pPr>
        <w:pStyle w:val="FootnoteText"/>
      </w:pPr>
      <w:r>
        <w:rPr>
          <w:vertAlign w:val="superscript"/>
        </w:rPr>
        <w:t>3</w:t>
      </w:r>
      <w:r>
        <w:t xml:space="preserve"> </w:t>
      </w:r>
      <w:r>
        <w:t xml:space="preserve">Galea, L.A.M. u Parekh, R.S., “Ending the neglect of women’ s health in research” (Intemmu n-negliġenza tas-saħħa tan-nisa fir-riċerka), </w:t>
      </w:r>
      <w:r>
        <w:rPr>
          <w:i/>
        </w:rPr>
        <w:t xml:space="preserve">BMJ, </w:t>
      </w:r>
      <w:r>
        <w:t>Vol.381, doi: 10.1136/bmj.p1303.</w:t>
      </w:r>
    </w:p>
  </w:footnote>
  <w:footnote w:id="21">
    <w:p>
      <w:pPr>
        <w:pStyle w:val="FootnoteText"/>
      </w:pPr>
      <w:r>
        <w:rPr>
          <w:vertAlign w:val="superscript"/>
        </w:rPr>
        <w:t>4</w:t>
      </w:r>
      <w:r>
        <w:t xml:space="preserve"> </w:t>
      </w:r>
      <w:r>
        <w:t xml:space="preserve">Roche Diagnostics Limited, “Heart failure: The hidden costs of late diagnosis” (L-insuffiċjenza kardijaka: L-ispejjeż moħbija ta’ dijanjożi tardiva), Awwissu 2020, </w:t>
      </w:r>
      <w:hyperlink r:id="rId14" w:tgtFrame="https://hfreport.roche.com/image/6721401/Roche%20HF%20report%20portrait%20final.pdf" w:history="1">
        <w:r>
          <w:rPr>
            <w:rStyle w:val="Hyperlink"/>
          </w:rPr>
          <w:t>https://hfreport.roche.com/image/6721401/Roche%20HF%20report%20portrait%20final.pdf</w:t>
        </w:r>
      </w:hyperlink>
      <w:r>
        <w:t>.</w:t>
      </w:r>
    </w:p>
  </w:footnote>
  <w:footnote w:id="22">
    <w:p>
      <w:pPr>
        <w:pStyle w:val="FootnoteText"/>
      </w:pPr>
      <w:r>
        <w:rPr>
          <w:vertAlign w:val="superscript"/>
        </w:rPr>
        <w:t>5</w:t>
      </w:r>
      <w:r>
        <w:t xml:space="preserve"> </w:t>
      </w:r>
      <w:r>
        <w:t xml:space="preserve">Becker, K., Heinemann, K., Imthurn, B. Marions, L. Moehner, S. </w:t>
      </w:r>
      <w:r>
        <w:rPr>
          <w:i/>
        </w:rPr>
        <w:t xml:space="preserve">et al. </w:t>
      </w:r>
      <w:r>
        <w:t xml:space="preserve">‘Real world data on symptomology and diagnostic approaches of 27,840 women living with endometriosis’ (Data mid-dinja reali dwar is-sintomoloġija u l-approċċi dijanjostiċi ta’ 27,840 mara li jgħixu bl-endometrijożi), </w:t>
      </w:r>
      <w:r>
        <w:rPr>
          <w:i/>
        </w:rPr>
        <w:t xml:space="preserve">Rapporti Xjentifiċi </w:t>
      </w:r>
      <w:r>
        <w:t xml:space="preserve">vol.11, nru 20404, 2021, </w:t>
      </w:r>
      <w:hyperlink r:id="rId15" w:tgtFrame="https://doi.org/10.1038/s41598-021-99681-3;" w:history="1">
        <w:r>
          <w:rPr>
            <w:rStyle w:val="Hyperlink"/>
          </w:rPr>
          <w:t>https://doi.org/10.1038/s41598-021-99681-3;</w:t>
        </w:r>
      </w:hyperlink>
      <w:r>
        <w:t xml:space="preserve"> Eder, C. u Roomaney R., “Transgender and non-binary people perception of their care in relation to their endometriosis” (Il-perċezzjoni tal-persuni transġeneru u mhux binarji tal-kura tas-saħħa tagħhom fir-rigward tal-endometrijożi tagħhom), </w:t>
      </w:r>
      <w:r>
        <w:rPr>
          <w:i/>
        </w:rPr>
        <w:t>Ġurnal Internazzjonali tas-Saħħa Transġenera</w:t>
      </w:r>
      <w:r>
        <w:t xml:space="preserve">, Vol. 25, Nru 4, 2025, 911–925, doi: 10.1177/13591053241266249 </w:t>
      </w:r>
      <w:hyperlink r:id="rId7" w:tgtFrame="https://journals.sagepub.com/doi/10.1177/13591053241266249" w:history="1">
        <w:r>
          <w:rPr>
            <w:rStyle w:val="Hyperlink"/>
          </w:rPr>
          <w:t>https://journals.sagepub.com/doi/10.1177/13591053241266249</w:t>
        </w:r>
      </w:hyperlink>
      <w:r>
        <w:t>.</w:t>
      </w:r>
    </w:p>
  </w:footnote>
  <w:footnote w:id="23">
    <w:p>
      <w:pPr>
        <w:pStyle w:val="FootnoteText"/>
      </w:pPr>
      <w:r>
        <w:rPr>
          <w:vertAlign w:val="superscript"/>
        </w:rPr>
        <w:t>6</w:t>
      </w:r>
      <w:r>
        <w:t xml:space="preserve"> </w:t>
      </w:r>
      <w:r>
        <w:t xml:space="preserve">Davaki, K., Studju mitlub mill-Kumitat FEMM “Gender Inequalities in Medical Research, Drug Development and Access to Care” (L-inugwaljanzi bejn il-ġeneri fir-Riċerka Medika, fl-Iżvilupp ta’ prodotti mediċinali u fl-Aċċess għall-Kura), Dipartiment Tematiku għaċ-Ċittadini, l-Ugwaljanza u l-Kultura, Direttorat Ġenerali għad-Drittijiet taċ-Ċittadini, il-Ġustizzja u l-Affarijiet Istituzzjonali, Parlament Ewropew, 2025, pp. 86, </w:t>
      </w:r>
      <w:hyperlink r:id="rId8" w:tgtFrame="https://www.europarl.europa.eu/RegData/etudes/STUD/2025/778519/IUST_STU(2025)778519_EN.pdf" w:history="1">
        <w:r>
          <w:rPr>
            <w:rStyle w:val="Hyperlink"/>
          </w:rPr>
          <w:t>https://www.europarl.europa.eu/RegData/etudes/STUD/2025/778519/IUST_STU (2025) 778519_EN.pdf</w:t>
        </w:r>
      </w:hyperlink>
      <w:r>
        <w:t>.</w:t>
      </w:r>
    </w:p>
  </w:footnote>
  <w:footnote w:id="24">
    <w:p>
      <w:pPr>
        <w:pStyle w:val="FootnoteText"/>
      </w:pPr>
      <w:r>
        <w:rPr>
          <w:vertAlign w:val="superscript"/>
        </w:rPr>
        <w:t>7</w:t>
      </w:r>
      <w:r>
        <w:t xml:space="preserve"> </w:t>
      </w:r>
      <w:r>
        <w:t xml:space="preserve">Il-Forum Ekonomiku Dinji jistma li l-eliminazzjoni tad-distakk fl-investiment fil-kura tas-saħħa tan-nisa tista’ tagħti spinta lill-ekonomija globali bi triljun dollaru fis-sena sal-2040. Il-Forum Ekonomiku Dinji, “Closing the Women’ s Health Gap: A $1 Trillion Opportunity to Improving Lives and Economies” (Ngħalqu d-distakk fil-kura tas-saħħa tan-nisa: Opportunità ta’ Triljun dollaru għat-Titjib tal-Ħajjiet u l-Ekonomiji), </w:t>
      </w:r>
      <w:hyperlink r:id="rId16" w:tgtFrame="https://www3.weforum.org/docs/WEF_Closing_the_Women_Health_Gap_2024.pdf" w:history="1">
        <w:r>
          <w:rPr>
            <w:rStyle w:val="Hyperlink"/>
          </w:rPr>
          <w:t>https://www3.weforum.org/docs/WEF_Closing_the_Women_Health_Gap_2024.pdf</w:t>
        </w:r>
      </w:hyperlink>
      <w:r>
        <w:t>.</w:t>
      </w:r>
    </w:p>
  </w:footnote>
  <w:footnote w:id="25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>Il-Ftehim Interistituzzjonali tal-20 ta’ Mejju 2021 bejn il-Parlament Ewropew, il-Kunsill tal-Unjoni Ewropea u l-Kummissjoni Ewropea dwar Reġistru Obbligatorju ta’ Trasparenza (ĠU L 207, 11.6.2021, p. 1, ELI:</w:t>
      </w:r>
      <w:hyperlink r:id="rId17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yperlink" Target="https://www.europarl.europa.eu/data-protect/index.do" TargetMode="Externa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EN/TXT/?uri=celex:52025PC0555" TargetMode="External" /><Relationship Id="rId7" Type="http://schemas.openxmlformats.org/officeDocument/2006/relationships/hyperlink" Target="https://eur-lex.europa.eu/legal-content/EN/TXT/?uri=COM%3A2025%3A1024%3AFIN&amp;qid=1518252661475" TargetMode="External" /><Relationship Id="rId8" Type="http://schemas.openxmlformats.org/officeDocument/2006/relationships/hyperlink" Target="https://eur-lex.europa.eu/legal-content/EN/ALL/?uri=CELEX:52025DC0097" TargetMode="External" /><Relationship Id="rId9" Type="http://schemas.openxmlformats.org/officeDocument/2006/relationships/hyperlink" Target="https://eur-lex.europa.eu/legal-content/EN/ALL/?uri=CELEX:52021DC0044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4/536/2022-12-05" TargetMode="External" /><Relationship Id="rId10" Type="http://schemas.openxmlformats.org/officeDocument/2006/relationships/hyperlink" Target="https://ec.europa.eu/eurostat/statistics-explained/index.php?title=Cardiovascular_diseases_statistics" TargetMode="External" /><Relationship Id="rId11" Type="http://schemas.openxmlformats.org/officeDocument/2006/relationships/hyperlink" Target="https://doi.org/10.1038/s44222-024-00253-7" TargetMode="External" /><Relationship Id="rId12" Type="http://schemas.openxmlformats.org/officeDocument/2006/relationships/hyperlink" Target="https://pubmed.ncbi.nlm.nih.gov/37308180/" TargetMode="External" /><Relationship Id="rId13" Type="http://schemas.openxmlformats.org/officeDocument/2006/relationships/hyperlink" Target="https://www.sciencedirect.com/science/article/pii/S2949838423000464" TargetMode="External" /><Relationship Id="rId14" Type="http://schemas.openxmlformats.org/officeDocument/2006/relationships/hyperlink" Target="https://hfreport.roche.com/image/6721401/Roche%20HF%20report%20portrait%20final.pdf" TargetMode="External" /><Relationship Id="rId15" Type="http://schemas.openxmlformats.org/officeDocument/2006/relationships/hyperlink" Target="https://doi.org/10.1038/s41598-021-99681-3;" TargetMode="External" /><Relationship Id="rId16" Type="http://schemas.openxmlformats.org/officeDocument/2006/relationships/hyperlink" Target="https://www3.weforum.org/docs/WEF_Closing_the_Women_Health_Gap_2024.pdf" TargetMode="External" /><Relationship Id="rId17" Type="http://schemas.openxmlformats.org/officeDocument/2006/relationships/hyperlink" Target="http://data.europa.eu/eli/agree_interinstit/2021/611/oj" TargetMode="External" /><Relationship Id="rId2" Type="http://schemas.openxmlformats.org/officeDocument/2006/relationships/hyperlink" Target="https://www.europarl.europa.eu/doceo/document/TA-10-2025-0338_EN.html" TargetMode="External" /><Relationship Id="rId3" Type="http://schemas.openxmlformats.org/officeDocument/2006/relationships/hyperlink" Target="http://data.europa.eu/eli/C/2024/4259/oj" TargetMode="External" /><Relationship Id="rId4" Type="http://schemas.openxmlformats.org/officeDocument/2006/relationships/hyperlink" Target="https://www.ema.europa.eu/en/news/new-guideline-inclusion-pregnant-breastfeeding-individuals-clinical-trials" TargetMode="External" /><Relationship Id="rId5" Type="http://schemas.openxmlformats.org/officeDocument/2006/relationships/hyperlink" Target="https://www.care4everybody.org/wp-content/uploads/2023/12/Mind-the-Gap-Costs-Consequences-and-Correction-of-Gender-Inequality-in-Medicine.pdf" TargetMode="External" /><Relationship Id="rId6" Type="http://schemas.openxmlformats.org/officeDocument/2006/relationships/hyperlink" Target="https://doi.org/10.1038/s41598-021-99681-3" TargetMode="External" /><Relationship Id="rId7" Type="http://schemas.openxmlformats.org/officeDocument/2006/relationships/hyperlink" Target="https://journals.sagepub.com/doi/10.1177/13591053241266249" TargetMode="External" /><Relationship Id="rId8" Type="http://schemas.openxmlformats.org/officeDocument/2006/relationships/hyperlink" Target="https://www.europarl.europa.eu/RegData/etudes/STUD/2025/778519/IUST_STU(2025)778519_EN.pdf" TargetMode="External" /><Relationship Id="rId9" Type="http://schemas.openxmlformats.org/officeDocument/2006/relationships/hyperlink" Target="https://ec.europa.eu/eurostat/statistics-explained/index.php?title=Cancer_statistic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</Pages>
  <Words>2695</Words>
  <Characters>19836</Characters>
  <Application>Microsoft Office Word</Application>
  <DocSecurity>0</DocSecurity>
  <Lines>1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1334794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339217</vt:lpwstr>
  </property>
  <property fmtid="{D5CDD505-2E9C-101B-9397-08002B2CF9AE}" pid="7" name="dmxml.render.traceId">
    <vt:lpwstr>696f36b9405360b2af5be770af89181d</vt:lpwstr>
  </property>
  <property fmtid="{D5CDD505-2E9C-101B-9397-08002B2CF9AE}" pid="8" name="FooterPath">
    <vt:lpwstr>PR\1334794MT.doc</vt:lpwstr>
  </property>
  <property fmtid="{D5CDD505-2E9C-101B-9397-08002B2CF9AE}" pid="9" name="PE Number">
    <vt:lpwstr>782.188</vt:lpwstr>
  </property>
  <property fmtid="{D5CDD505-2E9C-101B-9397-08002B2CF9AE}" pid="10" name="UID">
    <vt:lpwstr>eu.europa.europarl-DIN1-2026-0000002260_01.04-mt-01.00_text-xml</vt:lpwstr>
  </property>
</Properties>
</file>