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72C59" w:rsidRPr="007A63A3" w14:paraId="350C5850" w14:textId="77777777" w:rsidTr="00C85D0F">
        <w:trPr>
          <w:trHeight w:hRule="exact" w:val="1418"/>
        </w:trPr>
        <w:tc>
          <w:tcPr>
            <w:tcW w:w="6804" w:type="dxa"/>
            <w:shd w:val="clear" w:color="auto" w:fill="auto"/>
            <w:vAlign w:val="center"/>
          </w:tcPr>
          <w:p w14:paraId="30EE28CD" w14:textId="77777777" w:rsidR="00172C59" w:rsidRPr="007A63A3" w:rsidRDefault="001F1BDF" w:rsidP="00C85D0F">
            <w:pPr>
              <w:pStyle w:val="EPName"/>
            </w:pPr>
            <w:bookmarkStart w:id="0" w:name="iStart"/>
            <w:bookmarkEnd w:id="0"/>
            <w:r w:rsidRPr="007A63A3">
              <w:t>European Parliament</w:t>
            </w:r>
          </w:p>
          <w:p w14:paraId="3BA01884" w14:textId="4D089E25" w:rsidR="00172C59" w:rsidRPr="007A63A3" w:rsidRDefault="009E4BAB" w:rsidP="00C85D0F">
            <w:pPr>
              <w:pStyle w:val="EPTerm"/>
            </w:pPr>
            <w:r w:rsidRPr="007A63A3">
              <w:t>2024-2029</w:t>
            </w:r>
          </w:p>
        </w:tc>
        <w:tc>
          <w:tcPr>
            <w:tcW w:w="2268" w:type="dxa"/>
            <w:shd w:val="clear" w:color="auto" w:fill="auto"/>
          </w:tcPr>
          <w:p w14:paraId="07D943D8" w14:textId="77777777" w:rsidR="00172C59" w:rsidRPr="007A63A3" w:rsidRDefault="00172C59" w:rsidP="00C85D0F">
            <w:pPr>
              <w:pStyle w:val="EPLogo"/>
            </w:pPr>
            <w:r w:rsidRPr="007A63A3">
              <w:rPr>
                <w:noProof/>
              </w:rPr>
              <w:drawing>
                <wp:inline distT="0" distB="0" distL="0" distR="0" wp14:anchorId="11DFE114" wp14:editId="54CA683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A4BA4C" w14:textId="77777777" w:rsidR="00A26973" w:rsidRPr="007A63A3" w:rsidRDefault="00A26973" w:rsidP="00A26973">
      <w:pPr>
        <w:pStyle w:val="LineTop"/>
      </w:pPr>
    </w:p>
    <w:p w14:paraId="0B8BC928" w14:textId="653FC58F" w:rsidR="00A26973" w:rsidRPr="007A63A3" w:rsidRDefault="00A26973" w:rsidP="00A26973">
      <w:pPr>
        <w:pStyle w:val="EPBody"/>
      </w:pPr>
      <w:r w:rsidRPr="007A63A3">
        <w:rPr>
          <w:rStyle w:val="HideTWBExt"/>
        </w:rPr>
        <w:t>&lt;</w:t>
      </w:r>
      <w:r w:rsidRPr="007A63A3">
        <w:rPr>
          <w:rStyle w:val="HideTWBExt"/>
          <w:i w:val="0"/>
        </w:rPr>
        <w:t>Commission</w:t>
      </w:r>
      <w:r w:rsidRPr="007A63A3">
        <w:rPr>
          <w:rStyle w:val="HideTWBExt"/>
        </w:rPr>
        <w:t>&gt;</w:t>
      </w:r>
      <w:r w:rsidR="009E4BAB" w:rsidRPr="007A63A3">
        <w:rPr>
          <w:rStyle w:val="HideTWBInt"/>
        </w:rPr>
        <w:t>{INTA}</w:t>
      </w:r>
      <w:r w:rsidR="009E4BAB" w:rsidRPr="007A63A3">
        <w:t>Committee on International Trade</w:t>
      </w:r>
      <w:r w:rsidRPr="007A63A3">
        <w:rPr>
          <w:rStyle w:val="HideTWBExt"/>
        </w:rPr>
        <w:t>&lt;/</w:t>
      </w:r>
      <w:r w:rsidRPr="007A63A3">
        <w:rPr>
          <w:rStyle w:val="HideTWBExt"/>
          <w:i w:val="0"/>
        </w:rPr>
        <w:t>Commission</w:t>
      </w:r>
      <w:r w:rsidRPr="007A63A3">
        <w:rPr>
          <w:rStyle w:val="HideTWBExt"/>
        </w:rPr>
        <w:t>&gt;</w:t>
      </w:r>
    </w:p>
    <w:p w14:paraId="0CB0CB51" w14:textId="77777777" w:rsidR="00A26973" w:rsidRPr="007A63A3" w:rsidRDefault="00A26973" w:rsidP="00A26973">
      <w:pPr>
        <w:pStyle w:val="LineBottom"/>
      </w:pPr>
    </w:p>
    <w:p w14:paraId="75749659" w14:textId="0C969410" w:rsidR="00A26973" w:rsidRPr="007A63A3" w:rsidRDefault="00A26973" w:rsidP="00A26973">
      <w:pPr>
        <w:pStyle w:val="CoverReference"/>
      </w:pPr>
      <w:r w:rsidRPr="007A63A3">
        <w:rPr>
          <w:rStyle w:val="HideTWBExt"/>
          <w:b w:val="0"/>
        </w:rPr>
        <w:t>&lt;RefProc&gt;</w:t>
      </w:r>
      <w:r w:rsidR="009E4BAB" w:rsidRPr="007A63A3">
        <w:t>2025/0009M</w:t>
      </w:r>
      <w:r w:rsidRPr="007A63A3">
        <w:rPr>
          <w:rStyle w:val="HideTWBExt"/>
          <w:b w:val="0"/>
        </w:rPr>
        <w:t>&lt;/RefProc&gt;&lt;RefTypeProc&gt;</w:t>
      </w:r>
      <w:r w:rsidR="001F1BDF" w:rsidRPr="007A63A3">
        <w:t>(</w:t>
      </w:r>
      <w:r w:rsidR="009E4BAB" w:rsidRPr="007A63A3">
        <w:t>NLE</w:t>
      </w:r>
      <w:r w:rsidR="001F1BDF" w:rsidRPr="007A63A3">
        <w:t>)</w:t>
      </w:r>
      <w:r w:rsidRPr="007A63A3">
        <w:rPr>
          <w:rStyle w:val="HideTWBExt"/>
          <w:b w:val="0"/>
        </w:rPr>
        <w:t>&lt;/RefTypeProc&gt;</w:t>
      </w:r>
    </w:p>
    <w:p w14:paraId="14B8CFD1" w14:textId="769EC22E" w:rsidR="00A26973" w:rsidRPr="007A63A3" w:rsidRDefault="00A26973" w:rsidP="00A26973">
      <w:pPr>
        <w:pStyle w:val="CoverDate"/>
      </w:pPr>
      <w:r w:rsidRPr="007A63A3">
        <w:rPr>
          <w:rStyle w:val="HideTWBExt"/>
        </w:rPr>
        <w:t>&lt;Date&gt;</w:t>
      </w:r>
      <w:r w:rsidR="009E4BAB" w:rsidRPr="007A63A3">
        <w:rPr>
          <w:rStyle w:val="HideTWBInt"/>
        </w:rPr>
        <w:t>{10/06/2025}</w:t>
      </w:r>
      <w:r w:rsidR="009E4BAB" w:rsidRPr="007A63A3">
        <w:t>10.6.2025</w:t>
      </w:r>
      <w:r w:rsidRPr="007A63A3">
        <w:rPr>
          <w:rStyle w:val="HideTWBExt"/>
        </w:rPr>
        <w:t>&lt;/Date&gt;</w:t>
      </w:r>
    </w:p>
    <w:p w14:paraId="11094598" w14:textId="77777777" w:rsidR="00A26973" w:rsidRPr="007A63A3" w:rsidRDefault="00A26973" w:rsidP="00A26973">
      <w:pPr>
        <w:pStyle w:val="CoverDocType24a"/>
      </w:pPr>
      <w:r w:rsidRPr="007A63A3">
        <w:rPr>
          <w:rStyle w:val="HideTWBExt"/>
          <w:b w:val="0"/>
        </w:rPr>
        <w:t>&lt;TitreType&gt;</w:t>
      </w:r>
      <w:r w:rsidR="001F1BDF" w:rsidRPr="007A63A3">
        <w:t>DRAFT REPORT</w:t>
      </w:r>
      <w:r w:rsidRPr="007A63A3">
        <w:rPr>
          <w:rStyle w:val="HideTWBExt"/>
          <w:b w:val="0"/>
        </w:rPr>
        <w:t>&lt;/TitreType&gt;</w:t>
      </w:r>
    </w:p>
    <w:p w14:paraId="2BBF8254" w14:textId="0433C2E7" w:rsidR="00A26973" w:rsidRPr="007A63A3" w:rsidRDefault="00A26973" w:rsidP="00A26973">
      <w:pPr>
        <w:pStyle w:val="CoverNormal"/>
      </w:pPr>
      <w:r w:rsidRPr="007A63A3">
        <w:rPr>
          <w:rStyle w:val="HideTWBExt"/>
        </w:rPr>
        <w:t>&lt;Titre&gt;</w:t>
      </w:r>
      <w:r w:rsidR="001F1BDF" w:rsidRPr="007A63A3">
        <w:t xml:space="preserve">containing a motion for a non-legislative resolution </w:t>
      </w:r>
      <w:r w:rsidR="009E4BAB" w:rsidRPr="007A63A3">
        <w:t>on the proposal for a</w:t>
      </w:r>
      <w:r w:rsidR="00FD1BB5" w:rsidRPr="007A63A3">
        <w:t xml:space="preserve"> </w:t>
      </w:r>
      <w:r w:rsidR="009E4BAB" w:rsidRPr="007A63A3">
        <w:t xml:space="preserve">Council decision </w:t>
      </w:r>
      <w:r w:rsidR="00C2271E" w:rsidRPr="007A63A3">
        <w:t>on the conclusion of the Agreement on Digital Trade between the European Union and the Republic of Singapore</w:t>
      </w:r>
      <w:r w:rsidRPr="007A63A3">
        <w:rPr>
          <w:rStyle w:val="HideTWBExt"/>
        </w:rPr>
        <w:t>&lt;/Titre&gt;</w:t>
      </w:r>
    </w:p>
    <w:p w14:paraId="6CF7AD80" w14:textId="58DE4569" w:rsidR="00A26973" w:rsidRPr="007A63A3" w:rsidRDefault="00A26973" w:rsidP="00A26973">
      <w:pPr>
        <w:pStyle w:val="CoverNormal24a"/>
      </w:pPr>
      <w:r w:rsidRPr="007A63A3">
        <w:rPr>
          <w:rStyle w:val="HideTWBExt"/>
        </w:rPr>
        <w:t>&lt;DocRef&gt;</w:t>
      </w:r>
      <w:r w:rsidR="001F1BDF" w:rsidRPr="007A63A3">
        <w:t>(</w:t>
      </w:r>
      <w:r w:rsidR="009E4BAB" w:rsidRPr="007A63A3">
        <w:t>05853/2025</w:t>
      </w:r>
      <w:r w:rsidR="001F1BDF" w:rsidRPr="007A63A3">
        <w:t xml:space="preserve"> </w:t>
      </w:r>
      <w:r w:rsidR="009E4BAB" w:rsidRPr="007A63A3">
        <w:t>–</w:t>
      </w:r>
      <w:r w:rsidR="001F1BDF" w:rsidRPr="007A63A3">
        <w:t xml:space="preserve"> </w:t>
      </w:r>
      <w:r w:rsidR="009E4BAB" w:rsidRPr="007A63A3">
        <w:t>C10</w:t>
      </w:r>
      <w:r w:rsidR="009E4BAB" w:rsidRPr="007A63A3">
        <w:noBreakHyphen/>
        <w:t>0094/2025</w:t>
      </w:r>
      <w:r w:rsidR="001F1BDF" w:rsidRPr="007A63A3">
        <w:t xml:space="preserve"> </w:t>
      </w:r>
      <w:r w:rsidR="009E4BAB" w:rsidRPr="007A63A3">
        <w:t>–</w:t>
      </w:r>
      <w:r w:rsidR="001F1BDF" w:rsidRPr="007A63A3">
        <w:t xml:space="preserve"> </w:t>
      </w:r>
      <w:r w:rsidR="009E4BAB" w:rsidRPr="007A63A3">
        <w:t>2025/0009M</w:t>
      </w:r>
      <w:r w:rsidR="001F1BDF" w:rsidRPr="007A63A3">
        <w:t>(</w:t>
      </w:r>
      <w:r w:rsidR="009E4BAB" w:rsidRPr="007A63A3">
        <w:t>NLE</w:t>
      </w:r>
      <w:r w:rsidR="001F1BDF" w:rsidRPr="007A63A3">
        <w:t>))</w:t>
      </w:r>
      <w:r w:rsidRPr="007A63A3">
        <w:rPr>
          <w:rStyle w:val="HideTWBExt"/>
        </w:rPr>
        <w:t>&lt;/DocRef&gt;</w:t>
      </w:r>
    </w:p>
    <w:p w14:paraId="74C7F14C" w14:textId="4804AF8B" w:rsidR="00A26973" w:rsidRPr="007A63A3" w:rsidRDefault="00A26973" w:rsidP="00A26973">
      <w:pPr>
        <w:pStyle w:val="CoverNormal24a"/>
      </w:pPr>
      <w:r w:rsidRPr="007A63A3">
        <w:rPr>
          <w:rStyle w:val="HideTWBExt"/>
        </w:rPr>
        <w:t>&lt;Commission&gt;</w:t>
      </w:r>
      <w:r w:rsidR="009E4BAB" w:rsidRPr="007A63A3">
        <w:rPr>
          <w:rStyle w:val="HideTWBInt"/>
        </w:rPr>
        <w:t>{INTA}</w:t>
      </w:r>
      <w:r w:rsidR="009E4BAB" w:rsidRPr="007A63A3">
        <w:t>Committee on International Trade</w:t>
      </w:r>
      <w:r w:rsidRPr="007A63A3">
        <w:rPr>
          <w:rStyle w:val="HideTWBExt"/>
        </w:rPr>
        <w:t>&lt;/Commission&gt;</w:t>
      </w:r>
    </w:p>
    <w:p w14:paraId="3580DCBB" w14:textId="357F9CD3" w:rsidR="00A26973" w:rsidRPr="007A63A3" w:rsidRDefault="001F1BDF" w:rsidP="00A26973">
      <w:pPr>
        <w:pStyle w:val="CoverNormal24a"/>
        <w:rPr>
          <w:lang w:val="fr-FR"/>
        </w:rPr>
      </w:pPr>
      <w:r w:rsidRPr="007A63A3">
        <w:rPr>
          <w:lang w:val="fr-FR"/>
        </w:rPr>
        <w:t>Rapporteur:</w:t>
      </w:r>
      <w:r w:rsidR="00A26973" w:rsidRPr="007A63A3">
        <w:rPr>
          <w:lang w:val="fr-FR"/>
        </w:rPr>
        <w:t xml:space="preserve"> </w:t>
      </w:r>
      <w:r w:rsidR="00A26973" w:rsidRPr="007A63A3">
        <w:rPr>
          <w:rStyle w:val="HideTWBExt"/>
          <w:lang w:val="fr-FR"/>
        </w:rPr>
        <w:t>&lt;Depute&gt;</w:t>
      </w:r>
      <w:r w:rsidR="009E4BAB" w:rsidRPr="007A63A3">
        <w:rPr>
          <w:lang w:val="fr-FR"/>
        </w:rPr>
        <w:t>Svenja Hahn</w:t>
      </w:r>
      <w:r w:rsidR="00A26973" w:rsidRPr="007A63A3">
        <w:rPr>
          <w:rStyle w:val="HideTWBExt"/>
          <w:lang w:val="fr-FR"/>
        </w:rPr>
        <w:t>&lt;/Depute&gt;</w:t>
      </w:r>
    </w:p>
    <w:p w14:paraId="2BA0CFF8" w14:textId="77777777" w:rsidR="00B42885" w:rsidRPr="007A63A3" w:rsidRDefault="00B42885" w:rsidP="00B42885">
      <w:pPr>
        <w:pStyle w:val="CoverNormal"/>
        <w:rPr>
          <w:lang w:val="fr-FR"/>
        </w:rPr>
      </w:pPr>
    </w:p>
    <w:p w14:paraId="5357355C" w14:textId="77777777" w:rsidR="00197326" w:rsidRPr="007A63A3" w:rsidRDefault="00363B94" w:rsidP="00925477">
      <w:pPr>
        <w:widowControl/>
        <w:tabs>
          <w:tab w:val="center" w:pos="4677"/>
        </w:tabs>
        <w:rPr>
          <w:lang w:val="fr-FR"/>
        </w:rPr>
      </w:pPr>
      <w:r w:rsidRPr="007A63A3">
        <w:rPr>
          <w:lang w:val="fr-FR"/>
        </w:rPr>
        <w:br w:type="page"/>
      </w:r>
      <w:r w:rsidR="001F1BDF" w:rsidRPr="007A63A3">
        <w:rPr>
          <w:lang w:val="fr-FR"/>
        </w:rPr>
        <w:lastRenderedPageBreak/>
        <w:t>PR_Consent_Motion</w:t>
      </w:r>
    </w:p>
    <w:p w14:paraId="53A6E336" w14:textId="77777777" w:rsidR="00197326" w:rsidRPr="007A63A3" w:rsidRDefault="001F1BDF" w:rsidP="00197326">
      <w:pPr>
        <w:pStyle w:val="TOCHeading"/>
      </w:pPr>
      <w:r w:rsidRPr="007A63A3">
        <w:t>CONTENTS</w:t>
      </w:r>
    </w:p>
    <w:p w14:paraId="446771D3" w14:textId="77777777" w:rsidR="00197326" w:rsidRPr="007A63A3" w:rsidRDefault="001F1BDF" w:rsidP="00925477">
      <w:pPr>
        <w:pStyle w:val="TOCPage"/>
      </w:pPr>
      <w:r w:rsidRPr="007A63A3">
        <w:t>Page</w:t>
      </w:r>
    </w:p>
    <w:p w14:paraId="1BA43A26" w14:textId="53248082" w:rsidR="003337D5" w:rsidRDefault="00925477">
      <w:pPr>
        <w:pStyle w:val="TOC1"/>
        <w:tabs>
          <w:tab w:val="right" w:leader="dot" w:pos="9060"/>
        </w:tabs>
        <w:rPr>
          <w:rFonts w:asciiTheme="minorHAnsi" w:eastAsiaTheme="minorEastAsia" w:hAnsiTheme="minorHAnsi" w:cstheme="minorBidi"/>
          <w:noProof/>
          <w:sz w:val="22"/>
          <w:szCs w:val="22"/>
        </w:rPr>
      </w:pPr>
      <w:r w:rsidRPr="007A63A3">
        <w:rPr>
          <w:b/>
        </w:rPr>
        <w:fldChar w:fldCharType="begin"/>
      </w:r>
      <w:r w:rsidRPr="007A63A3">
        <w:rPr>
          <w:b/>
        </w:rPr>
        <w:instrText xml:space="preserve"> TOC \t "PageHeading</w:instrText>
      </w:r>
      <w:r w:rsidR="0069190B" w:rsidRPr="007A63A3">
        <w:rPr>
          <w:b/>
        </w:rPr>
        <w:instrText>;</w:instrText>
      </w:r>
      <w:r w:rsidRPr="007A63A3">
        <w:rPr>
          <w:b/>
        </w:rPr>
        <w:instrText xml:space="preserve">1" </w:instrText>
      </w:r>
      <w:r w:rsidRPr="007A63A3">
        <w:rPr>
          <w:b/>
        </w:rPr>
        <w:fldChar w:fldCharType="separate"/>
      </w:r>
      <w:r w:rsidR="003337D5">
        <w:rPr>
          <w:noProof/>
        </w:rPr>
        <w:t>MOTION FOR A EUROPEAN PARLIAMENT NON-LEGISLATIVE RESOLUTION</w:t>
      </w:r>
      <w:r w:rsidR="003337D5">
        <w:rPr>
          <w:noProof/>
        </w:rPr>
        <w:tab/>
      </w:r>
      <w:r w:rsidR="003337D5">
        <w:rPr>
          <w:noProof/>
        </w:rPr>
        <w:fldChar w:fldCharType="begin"/>
      </w:r>
      <w:r w:rsidR="003337D5">
        <w:rPr>
          <w:noProof/>
        </w:rPr>
        <w:instrText xml:space="preserve"> PAGEREF _Toc202790782 \h </w:instrText>
      </w:r>
      <w:r w:rsidR="003337D5">
        <w:rPr>
          <w:noProof/>
        </w:rPr>
      </w:r>
      <w:r w:rsidR="003337D5">
        <w:rPr>
          <w:noProof/>
        </w:rPr>
        <w:fldChar w:fldCharType="separate"/>
      </w:r>
      <w:r w:rsidR="003337D5">
        <w:rPr>
          <w:noProof/>
        </w:rPr>
        <w:t>3</w:t>
      </w:r>
      <w:r w:rsidR="003337D5">
        <w:rPr>
          <w:noProof/>
        </w:rPr>
        <w:fldChar w:fldCharType="end"/>
      </w:r>
    </w:p>
    <w:p w14:paraId="065792DC" w14:textId="7E244CDE" w:rsidR="003337D5" w:rsidRDefault="003337D5">
      <w:pPr>
        <w:pStyle w:val="TOC1"/>
        <w:tabs>
          <w:tab w:val="right" w:leader="dot" w:pos="9060"/>
        </w:tabs>
        <w:rPr>
          <w:rFonts w:asciiTheme="minorHAnsi" w:eastAsiaTheme="minorEastAsia" w:hAnsiTheme="minorHAnsi" w:cstheme="minorBidi"/>
          <w:noProof/>
          <w:sz w:val="22"/>
          <w:szCs w:val="22"/>
        </w:rPr>
      </w:pPr>
      <w:r>
        <w:rPr>
          <w:noProof/>
        </w:rPr>
        <w:t>EXPLANATORY STATEMENT</w:t>
      </w:r>
      <w:r>
        <w:rPr>
          <w:noProof/>
        </w:rPr>
        <w:tab/>
      </w:r>
      <w:r>
        <w:rPr>
          <w:noProof/>
        </w:rPr>
        <w:fldChar w:fldCharType="begin"/>
      </w:r>
      <w:r>
        <w:rPr>
          <w:noProof/>
        </w:rPr>
        <w:instrText xml:space="preserve"> PAGEREF _Toc202790783 \h </w:instrText>
      </w:r>
      <w:r>
        <w:rPr>
          <w:noProof/>
        </w:rPr>
      </w:r>
      <w:r>
        <w:rPr>
          <w:noProof/>
        </w:rPr>
        <w:fldChar w:fldCharType="separate"/>
      </w:r>
      <w:r>
        <w:rPr>
          <w:noProof/>
        </w:rPr>
        <w:t>8</w:t>
      </w:r>
      <w:r>
        <w:rPr>
          <w:noProof/>
        </w:rPr>
        <w:fldChar w:fldCharType="end"/>
      </w:r>
    </w:p>
    <w:p w14:paraId="68A9A73C" w14:textId="6403391D" w:rsidR="003337D5" w:rsidRDefault="003337D5">
      <w:pPr>
        <w:pStyle w:val="TOC1"/>
        <w:tabs>
          <w:tab w:val="right" w:leader="dot" w:pos="9060"/>
        </w:tabs>
        <w:rPr>
          <w:rFonts w:asciiTheme="minorHAnsi" w:eastAsiaTheme="minorEastAsia" w:hAnsiTheme="minorHAnsi" w:cstheme="minorBidi"/>
          <w:noProof/>
          <w:sz w:val="22"/>
          <w:szCs w:val="22"/>
        </w:rPr>
      </w:pPr>
      <w:r>
        <w:rPr>
          <w:noProof/>
        </w:rPr>
        <w:t>ANNEX: ENTITIES OR PERSONS FROM WHOM THE RAPPORTEUR HAS RECEIVED INPUT</w:t>
      </w:r>
      <w:r>
        <w:rPr>
          <w:noProof/>
        </w:rPr>
        <w:tab/>
      </w:r>
      <w:r>
        <w:rPr>
          <w:noProof/>
        </w:rPr>
        <w:fldChar w:fldCharType="begin"/>
      </w:r>
      <w:r>
        <w:rPr>
          <w:noProof/>
        </w:rPr>
        <w:instrText xml:space="preserve"> PAGEREF _Toc202790784 \h </w:instrText>
      </w:r>
      <w:r>
        <w:rPr>
          <w:noProof/>
        </w:rPr>
      </w:r>
      <w:r>
        <w:rPr>
          <w:noProof/>
        </w:rPr>
        <w:fldChar w:fldCharType="separate"/>
      </w:r>
      <w:r>
        <w:rPr>
          <w:noProof/>
        </w:rPr>
        <w:t>10</w:t>
      </w:r>
      <w:r>
        <w:rPr>
          <w:noProof/>
        </w:rPr>
        <w:fldChar w:fldCharType="end"/>
      </w:r>
    </w:p>
    <w:p w14:paraId="267FD73C" w14:textId="6C628C10" w:rsidR="00197326" w:rsidRPr="007A63A3" w:rsidRDefault="00925477" w:rsidP="00197326">
      <w:r w:rsidRPr="007A63A3">
        <w:rPr>
          <w:b/>
        </w:rPr>
        <w:fldChar w:fldCharType="end"/>
      </w:r>
    </w:p>
    <w:p w14:paraId="1170D26B" w14:textId="77777777" w:rsidR="00363B94" w:rsidRPr="007A63A3" w:rsidRDefault="00363B94">
      <w:pPr>
        <w:pStyle w:val="PageHeading"/>
      </w:pPr>
      <w:r w:rsidRPr="007A63A3">
        <w:br w:type="page"/>
      </w:r>
      <w:bookmarkStart w:id="1" w:name="_Toc202790782"/>
      <w:r w:rsidR="001F1BDF" w:rsidRPr="007A63A3">
        <w:lastRenderedPageBreak/>
        <w:t>MOTION FOR A EUROPEAN PARLIAMENT NON-LEGISLATIVE RESOLUTION</w:t>
      </w:r>
      <w:bookmarkEnd w:id="1"/>
    </w:p>
    <w:p w14:paraId="30452080" w14:textId="0454AA42" w:rsidR="00363B94" w:rsidRPr="007A63A3" w:rsidRDefault="001F1BDF">
      <w:pPr>
        <w:pStyle w:val="NormalBold"/>
      </w:pPr>
      <w:r w:rsidRPr="007A63A3">
        <w:t xml:space="preserve">on </w:t>
      </w:r>
      <w:r w:rsidR="00C2271E" w:rsidRPr="007A63A3">
        <w:t>the proposal for a Council decision on the conclusion of the Agreement on Digital Trade between the European Union and the Republic of Singapore</w:t>
      </w:r>
    </w:p>
    <w:p w14:paraId="66FC88DE" w14:textId="3F1455EE" w:rsidR="00363B94" w:rsidRPr="007A63A3" w:rsidRDefault="001F1BDF" w:rsidP="00A07A05">
      <w:pPr>
        <w:pStyle w:val="NormalBold"/>
      </w:pPr>
      <w:r w:rsidRPr="007A63A3">
        <w:t>(</w:t>
      </w:r>
      <w:r w:rsidR="009E4BAB" w:rsidRPr="007A63A3">
        <w:t>05853/2025</w:t>
      </w:r>
      <w:r w:rsidRPr="007A63A3">
        <w:t xml:space="preserve"> </w:t>
      </w:r>
      <w:r w:rsidR="009E4BAB" w:rsidRPr="007A63A3">
        <w:t>–</w:t>
      </w:r>
      <w:r w:rsidRPr="007A63A3">
        <w:t xml:space="preserve"> </w:t>
      </w:r>
      <w:r w:rsidR="009E4BAB" w:rsidRPr="007A63A3">
        <w:t>C10</w:t>
      </w:r>
      <w:r w:rsidR="009E4BAB" w:rsidRPr="007A63A3">
        <w:noBreakHyphen/>
        <w:t>0094/2025</w:t>
      </w:r>
      <w:r w:rsidRPr="007A63A3">
        <w:t xml:space="preserve"> </w:t>
      </w:r>
      <w:r w:rsidR="009E4BAB" w:rsidRPr="007A63A3">
        <w:t>–</w:t>
      </w:r>
      <w:r w:rsidRPr="007A63A3">
        <w:t xml:space="preserve"> </w:t>
      </w:r>
      <w:r w:rsidR="009E4BAB" w:rsidRPr="007A63A3">
        <w:t>2025/0009</w:t>
      </w:r>
      <w:r w:rsidR="00C2271E" w:rsidRPr="007A63A3">
        <w:t>M</w:t>
      </w:r>
      <w:r w:rsidRPr="007A63A3">
        <w:t>(</w:t>
      </w:r>
      <w:r w:rsidR="009E4BAB" w:rsidRPr="007A63A3">
        <w:t>NLE</w:t>
      </w:r>
      <w:r w:rsidRPr="007A63A3">
        <w:t>))</w:t>
      </w:r>
    </w:p>
    <w:p w14:paraId="011B9999" w14:textId="25C61F0B" w:rsidR="00363B94" w:rsidRPr="007A63A3" w:rsidRDefault="001F1BDF">
      <w:pPr>
        <w:pStyle w:val="EPComma"/>
      </w:pPr>
      <w:r w:rsidRPr="007A63A3">
        <w:rPr>
          <w:i/>
        </w:rPr>
        <w:t>The European Parliament</w:t>
      </w:r>
      <w:r w:rsidRPr="007A63A3">
        <w:t>,</w:t>
      </w:r>
    </w:p>
    <w:p w14:paraId="1EE8B4A0" w14:textId="1BE413E7" w:rsidR="0069190B" w:rsidRPr="007A63A3" w:rsidRDefault="0069190B" w:rsidP="0069190B">
      <w:pPr>
        <w:pStyle w:val="NormalHanging12a"/>
      </w:pPr>
      <w:r w:rsidRPr="007A63A3">
        <w:t>–</w:t>
      </w:r>
      <w:r w:rsidRPr="007A63A3">
        <w:tab/>
        <w:t>having regard to the Treaty on European Union, in particular Title V thereof on the Union</w:t>
      </w:r>
      <w:r w:rsidR="007A63A3">
        <w:t>’</w:t>
      </w:r>
      <w:r w:rsidRPr="007A63A3">
        <w:t>s external action,</w:t>
      </w:r>
    </w:p>
    <w:p w14:paraId="3CA19F18" w14:textId="775A378C" w:rsidR="0069190B" w:rsidRPr="007A63A3" w:rsidRDefault="0069190B" w:rsidP="0069190B">
      <w:pPr>
        <w:pStyle w:val="NormalHanging12a"/>
      </w:pPr>
      <w:r w:rsidRPr="007A63A3">
        <w:t>–</w:t>
      </w:r>
      <w:r w:rsidRPr="007A63A3">
        <w:tab/>
        <w:t>having regard to the Treaty on the Functioning of the European Union (TFEU), in particular Article 207 in conjunction with Article 218(6)(a)(v) thereof,</w:t>
      </w:r>
    </w:p>
    <w:p w14:paraId="742B9859" w14:textId="23C7E710" w:rsidR="005873B5" w:rsidRPr="007A63A3" w:rsidRDefault="009C36E5" w:rsidP="005873B5">
      <w:pPr>
        <w:pStyle w:val="NormalHanging12a"/>
      </w:pPr>
      <w:r w:rsidRPr="007A63A3">
        <w:t>–</w:t>
      </w:r>
      <w:r w:rsidRPr="007A63A3">
        <w:tab/>
        <w:t>having regard to the draft Council decision on the conclusion of the Agreement on Digital Trade between the European Union and the Republi</w:t>
      </w:r>
      <w:r w:rsidR="005873B5" w:rsidRPr="007A63A3">
        <w:t>c of Singapore (C10</w:t>
      </w:r>
      <w:r w:rsidR="005873B5" w:rsidRPr="007A63A3">
        <w:noBreakHyphen/>
        <w:t>0094/2025),</w:t>
      </w:r>
    </w:p>
    <w:p w14:paraId="2A33AC28" w14:textId="448E3813" w:rsidR="005873B5" w:rsidRPr="007A63A3" w:rsidRDefault="009C36E5" w:rsidP="005873B5">
      <w:pPr>
        <w:pStyle w:val="NormalHanging12a"/>
      </w:pPr>
      <w:r w:rsidRPr="007A63A3">
        <w:t>–</w:t>
      </w:r>
      <w:r w:rsidR="005873B5" w:rsidRPr="007A63A3">
        <w:tab/>
      </w:r>
      <w:r w:rsidRPr="007A63A3">
        <w:t>having regard to the Agreement on Digital Trade between the European Union and the Republic of Singapore, signed on 7</w:t>
      </w:r>
      <w:r w:rsidR="005D5317" w:rsidRPr="007A63A3">
        <w:t> </w:t>
      </w:r>
      <w:r w:rsidRPr="007A63A3">
        <w:t>May</w:t>
      </w:r>
      <w:r w:rsidR="005D5317" w:rsidRPr="007A63A3">
        <w:t> </w:t>
      </w:r>
      <w:r w:rsidRPr="007A63A3">
        <w:t>2025,</w:t>
      </w:r>
    </w:p>
    <w:p w14:paraId="55FC9B70" w14:textId="47FD7915" w:rsidR="005873B5" w:rsidRPr="007A63A3" w:rsidRDefault="009C36E5" w:rsidP="005873B5">
      <w:pPr>
        <w:pStyle w:val="NormalHanging12a"/>
      </w:pPr>
      <w:r w:rsidRPr="007A63A3">
        <w:t>–</w:t>
      </w:r>
      <w:r w:rsidR="005873B5" w:rsidRPr="007A63A3">
        <w:tab/>
      </w:r>
      <w:r w:rsidRPr="007A63A3">
        <w:t>having regard to the Commission proposal of 31 January 2025 for a Council decision on the conclusion, on behalf of the Union, of the Digital Trade Agreement between the European Union and the Republic of Singapore (COM(2025)0023),</w:t>
      </w:r>
    </w:p>
    <w:p w14:paraId="032E28C7" w14:textId="6BC98203" w:rsidR="005873B5" w:rsidRPr="007A63A3" w:rsidRDefault="009C36E5" w:rsidP="005873B5">
      <w:pPr>
        <w:pStyle w:val="NormalHanging12a"/>
      </w:pPr>
      <w:r w:rsidRPr="007A63A3">
        <w:t>–</w:t>
      </w:r>
      <w:r w:rsidR="005873B5" w:rsidRPr="007A63A3">
        <w:tab/>
      </w:r>
      <w:r w:rsidRPr="007A63A3">
        <w:t>having regard to the request for consent submitted by the Council in accordance with Article</w:t>
      </w:r>
      <w:r w:rsidR="00FB3319" w:rsidRPr="007A63A3">
        <w:t> </w:t>
      </w:r>
      <w:r w:rsidRPr="007A63A3">
        <w:t>207(4), first subparagraph, and Article</w:t>
      </w:r>
      <w:r w:rsidR="00FB3319" w:rsidRPr="007A63A3">
        <w:t> </w:t>
      </w:r>
      <w:r w:rsidRPr="007A63A3">
        <w:t xml:space="preserve">218(6), second subparagraph, point (a) </w:t>
      </w:r>
      <w:r w:rsidR="005D5317" w:rsidRPr="007A63A3">
        <w:t>TFEU</w:t>
      </w:r>
      <w:r w:rsidRPr="007A63A3">
        <w:t xml:space="preserve"> (C10-0094/2025),</w:t>
      </w:r>
    </w:p>
    <w:p w14:paraId="33A475CD" w14:textId="4E4455C6" w:rsidR="005873B5" w:rsidRPr="007A63A3" w:rsidRDefault="009C36E5" w:rsidP="005873B5">
      <w:pPr>
        <w:pStyle w:val="NormalHanging12a"/>
      </w:pPr>
      <w:r w:rsidRPr="007A63A3">
        <w:t>–</w:t>
      </w:r>
      <w:r w:rsidR="005873B5" w:rsidRPr="007A63A3">
        <w:tab/>
      </w:r>
      <w:r w:rsidRPr="007A63A3">
        <w:t xml:space="preserve">having regard to European Data Protection Supervisor </w:t>
      </w:r>
      <w:r w:rsidR="004051CE" w:rsidRPr="007A63A3">
        <w:t>O</w:t>
      </w:r>
      <w:r w:rsidRPr="007A63A3">
        <w:t>pinion 4/2025 on the Proposals for Council Decisions on the signing and conclusion, on behalf of the Union, of the Digital Trade Agreement between the European Union and the Republic of Singapore,</w:t>
      </w:r>
    </w:p>
    <w:p w14:paraId="344A6807" w14:textId="1BE4B82E" w:rsidR="005873B5" w:rsidRPr="007A63A3" w:rsidRDefault="009C36E5" w:rsidP="005873B5">
      <w:pPr>
        <w:pStyle w:val="NormalHanging12a"/>
      </w:pPr>
      <w:r w:rsidRPr="007A63A3">
        <w:t>–</w:t>
      </w:r>
      <w:r w:rsidR="005873B5" w:rsidRPr="007A63A3">
        <w:tab/>
      </w:r>
      <w:r w:rsidRPr="007A63A3">
        <w:t>having regard to the Free Trade Agreement (FTA) between the European Union and the Republic of Singapore (Singapore), which entered into force on 21</w:t>
      </w:r>
      <w:r w:rsidR="005D5317" w:rsidRPr="007A63A3">
        <w:t> </w:t>
      </w:r>
      <w:r w:rsidRPr="007A63A3">
        <w:t>November</w:t>
      </w:r>
      <w:r w:rsidR="005D5317" w:rsidRPr="007A63A3">
        <w:t> </w:t>
      </w:r>
      <w:r w:rsidRPr="007A63A3">
        <w:t>2019,</w:t>
      </w:r>
    </w:p>
    <w:p w14:paraId="123551A9" w14:textId="042170CD" w:rsidR="005873B5" w:rsidRPr="007A63A3" w:rsidRDefault="009C36E5" w:rsidP="005873B5">
      <w:pPr>
        <w:pStyle w:val="NormalHanging12a"/>
      </w:pPr>
      <w:r w:rsidRPr="007A63A3">
        <w:t>–</w:t>
      </w:r>
      <w:r w:rsidR="005873B5" w:rsidRPr="007A63A3">
        <w:tab/>
      </w:r>
      <w:r w:rsidRPr="007A63A3">
        <w:t xml:space="preserve">having regard to the Investment Protection Agreement between the European Union and its Member States, of the one part, and the Republic of Singapore, of the other part, </w:t>
      </w:r>
      <w:r w:rsidR="004051CE" w:rsidRPr="007A63A3">
        <w:t>to</w:t>
      </w:r>
      <w:r w:rsidRPr="007A63A3">
        <w:t xml:space="preserve"> the conclusion of which the European Parliament gave its consent on 13</w:t>
      </w:r>
      <w:r w:rsidR="00FB3319" w:rsidRPr="007A63A3">
        <w:t> </w:t>
      </w:r>
      <w:r w:rsidRPr="007A63A3">
        <w:t>February</w:t>
      </w:r>
      <w:r w:rsidR="00FB3319" w:rsidRPr="007A63A3">
        <w:t> </w:t>
      </w:r>
      <w:r w:rsidRPr="007A63A3">
        <w:t>2019,</w:t>
      </w:r>
    </w:p>
    <w:p w14:paraId="33FC4A27" w14:textId="11F12AF0" w:rsidR="005873B5" w:rsidRPr="007A63A3" w:rsidRDefault="009C36E5" w:rsidP="005873B5">
      <w:pPr>
        <w:pStyle w:val="NormalHanging12a"/>
      </w:pPr>
      <w:r w:rsidRPr="007A63A3">
        <w:t>–</w:t>
      </w:r>
      <w:r w:rsidR="005873B5" w:rsidRPr="007A63A3">
        <w:tab/>
      </w:r>
      <w:r w:rsidRPr="007A63A3">
        <w:t>having regard to the EU-Singapore Partnership and Cooperation Agreement, signed on 19 October</w:t>
      </w:r>
      <w:r w:rsidR="00FB3319" w:rsidRPr="007A63A3">
        <w:t> </w:t>
      </w:r>
      <w:r w:rsidRPr="007A63A3">
        <w:t>2018,</w:t>
      </w:r>
    </w:p>
    <w:p w14:paraId="7D4D0CD0" w14:textId="27D5A212" w:rsidR="005873B5" w:rsidRPr="007A63A3" w:rsidRDefault="009C36E5" w:rsidP="005873B5">
      <w:pPr>
        <w:pStyle w:val="NormalHanging12a"/>
      </w:pPr>
      <w:r w:rsidRPr="007A63A3">
        <w:t>–</w:t>
      </w:r>
      <w:r w:rsidR="005873B5" w:rsidRPr="007A63A3">
        <w:tab/>
      </w:r>
      <w:r w:rsidRPr="007A63A3">
        <w:t xml:space="preserve">having regard to Opinion 2/15 of the Court of Justice </w:t>
      </w:r>
      <w:r w:rsidR="00FB3319" w:rsidRPr="007A63A3">
        <w:t xml:space="preserve">of the European Union </w:t>
      </w:r>
      <w:r w:rsidRPr="007A63A3">
        <w:t>of 16</w:t>
      </w:r>
      <w:r w:rsidR="005D5317" w:rsidRPr="007A63A3">
        <w:t> </w:t>
      </w:r>
      <w:r w:rsidRPr="007A63A3">
        <w:t>May</w:t>
      </w:r>
      <w:r w:rsidR="005D5317" w:rsidRPr="007A63A3">
        <w:t> </w:t>
      </w:r>
      <w:r w:rsidRPr="007A63A3">
        <w:t>2017</w:t>
      </w:r>
      <w:r w:rsidR="00FB3319" w:rsidRPr="007A63A3">
        <w:rPr>
          <w:rStyle w:val="FootnoteReference"/>
        </w:rPr>
        <w:footnoteReference w:id="1"/>
      </w:r>
      <w:r w:rsidRPr="007A63A3">
        <w:t xml:space="preserve"> pursuant to Article</w:t>
      </w:r>
      <w:r w:rsidR="005D5317" w:rsidRPr="007A63A3">
        <w:t> </w:t>
      </w:r>
      <w:r w:rsidRPr="007A63A3">
        <w:t>218(11) TFEU, requested by the Commission on 10</w:t>
      </w:r>
      <w:r w:rsidR="005D5317" w:rsidRPr="007A63A3">
        <w:t> </w:t>
      </w:r>
      <w:r w:rsidRPr="007A63A3">
        <w:t>July</w:t>
      </w:r>
      <w:r w:rsidR="005D5317" w:rsidRPr="007A63A3">
        <w:t> </w:t>
      </w:r>
      <w:r w:rsidRPr="007A63A3">
        <w:t>2015,</w:t>
      </w:r>
    </w:p>
    <w:p w14:paraId="413FACF3" w14:textId="46E66A2B" w:rsidR="005873B5" w:rsidRPr="007A63A3" w:rsidRDefault="009C36E5" w:rsidP="005873B5">
      <w:pPr>
        <w:pStyle w:val="NormalHanging12a"/>
      </w:pPr>
      <w:r w:rsidRPr="007A63A3">
        <w:t>–</w:t>
      </w:r>
      <w:r w:rsidR="005873B5" w:rsidRPr="007A63A3">
        <w:tab/>
      </w:r>
      <w:r w:rsidRPr="007A63A3">
        <w:t>having regard to the EU-Singapore Digital Trade Principles, a key deliverable of the EU-Singapore Digital Partnership</w:t>
      </w:r>
      <w:r w:rsidRPr="007A63A3">
        <w:rPr>
          <w:vertAlign w:val="superscript"/>
        </w:rPr>
        <w:footnoteReference w:id="2"/>
      </w:r>
      <w:r w:rsidRPr="007A63A3">
        <w:t>,</w:t>
      </w:r>
    </w:p>
    <w:p w14:paraId="5B5CC3D7" w14:textId="10C83DA7" w:rsidR="005873B5" w:rsidRPr="007A63A3" w:rsidRDefault="009C36E5" w:rsidP="005873B5">
      <w:pPr>
        <w:pStyle w:val="NormalHanging12a"/>
      </w:pPr>
      <w:r w:rsidRPr="007A63A3">
        <w:t>–</w:t>
      </w:r>
      <w:r w:rsidR="005873B5" w:rsidRPr="007A63A3">
        <w:tab/>
      </w:r>
      <w:r w:rsidRPr="007A63A3">
        <w:t>having regard to the Commission</w:t>
      </w:r>
      <w:r w:rsidR="005D5317" w:rsidRPr="007A63A3">
        <w:t xml:space="preserve"> communication of 9 March 2021 entitled</w:t>
      </w:r>
      <w:r w:rsidRPr="007A63A3">
        <w:t xml:space="preserve"> </w:t>
      </w:r>
      <w:r w:rsidR="007A63A3">
        <w:t>‘</w:t>
      </w:r>
      <w:r w:rsidRPr="007A63A3">
        <w:t>2030 Digital Compass</w:t>
      </w:r>
      <w:r w:rsidR="005D5317" w:rsidRPr="007A63A3">
        <w:t>: the European Way for the Digital Decade</w:t>
      </w:r>
      <w:r w:rsidR="007A63A3">
        <w:t>’</w:t>
      </w:r>
      <w:r w:rsidRPr="007A63A3">
        <w:t xml:space="preserve"> (COM</w:t>
      </w:r>
      <w:r w:rsidR="00843D3B" w:rsidRPr="007A63A3">
        <w:t>(</w:t>
      </w:r>
      <w:r w:rsidRPr="007A63A3">
        <w:t>2021</w:t>
      </w:r>
      <w:r w:rsidR="00843D3B" w:rsidRPr="007A63A3">
        <w:t>)</w:t>
      </w:r>
      <w:r w:rsidRPr="007A63A3">
        <w:t>0118),</w:t>
      </w:r>
    </w:p>
    <w:p w14:paraId="5FD9BDF9" w14:textId="2A8BAFEF" w:rsidR="005873B5" w:rsidRPr="007A63A3" w:rsidRDefault="009C36E5" w:rsidP="005873B5">
      <w:pPr>
        <w:pStyle w:val="NormalHanging12a"/>
      </w:pPr>
      <w:r w:rsidRPr="007A63A3">
        <w:t>–</w:t>
      </w:r>
      <w:r w:rsidR="005873B5" w:rsidRPr="007A63A3">
        <w:tab/>
      </w:r>
      <w:r w:rsidRPr="007A63A3">
        <w:t xml:space="preserve">having regard to the </w:t>
      </w:r>
      <w:r w:rsidR="00772570" w:rsidRPr="007A63A3">
        <w:t xml:space="preserve">joint communication from the Commission of 16 September 2021 entitled </w:t>
      </w:r>
      <w:r w:rsidR="007A63A3">
        <w:t>‘</w:t>
      </w:r>
      <w:r w:rsidR="00843D3B" w:rsidRPr="007A63A3">
        <w:t>T</w:t>
      </w:r>
      <w:r w:rsidR="00772570" w:rsidRPr="007A63A3">
        <w:t xml:space="preserve">he </w:t>
      </w:r>
      <w:r w:rsidRPr="007A63A3">
        <w:t xml:space="preserve">EU </w:t>
      </w:r>
      <w:r w:rsidR="00772570" w:rsidRPr="007A63A3">
        <w:t>s</w:t>
      </w:r>
      <w:r w:rsidRPr="007A63A3">
        <w:t xml:space="preserve">trategy for </w:t>
      </w:r>
      <w:r w:rsidR="00772570" w:rsidRPr="007A63A3">
        <w:t>c</w:t>
      </w:r>
      <w:r w:rsidRPr="007A63A3">
        <w:t>ooperation in the Indo-Pacific</w:t>
      </w:r>
      <w:r w:rsidR="007A63A3">
        <w:t>’</w:t>
      </w:r>
      <w:r w:rsidRPr="007A63A3">
        <w:t xml:space="preserve"> (JOIN(2021)0024),</w:t>
      </w:r>
    </w:p>
    <w:p w14:paraId="75D4E7B7" w14:textId="5BF551A7" w:rsidR="005873B5" w:rsidRPr="007A63A3" w:rsidRDefault="009C36E5" w:rsidP="005873B5">
      <w:pPr>
        <w:pStyle w:val="NormalHanging12a"/>
      </w:pPr>
      <w:r w:rsidRPr="007A63A3">
        <w:t>–</w:t>
      </w:r>
      <w:r w:rsidR="005873B5" w:rsidRPr="007A63A3">
        <w:tab/>
      </w:r>
      <w:r w:rsidRPr="007A63A3">
        <w:t xml:space="preserve">having regard to the </w:t>
      </w:r>
      <w:r w:rsidR="00772570" w:rsidRPr="007A63A3">
        <w:t>Commission c</w:t>
      </w:r>
      <w:r w:rsidRPr="007A63A3">
        <w:t xml:space="preserve">ommunication </w:t>
      </w:r>
      <w:r w:rsidR="00772570" w:rsidRPr="007A63A3">
        <w:t xml:space="preserve">of 18 February 2021 </w:t>
      </w:r>
      <w:r w:rsidRPr="007A63A3">
        <w:t xml:space="preserve">entitled </w:t>
      </w:r>
      <w:r w:rsidR="007A63A3">
        <w:t>‘</w:t>
      </w:r>
      <w:r w:rsidRPr="007A63A3">
        <w:t>Trade Policy Review - An Open, Sustainable and Assertive Trade Policy</w:t>
      </w:r>
      <w:r w:rsidR="007A63A3">
        <w:t>’</w:t>
      </w:r>
      <w:r w:rsidRPr="007A63A3">
        <w:t xml:space="preserve"> (COM(2021)0066),</w:t>
      </w:r>
    </w:p>
    <w:p w14:paraId="040B8C54" w14:textId="6F76F608" w:rsidR="005873B5" w:rsidRPr="007A63A3" w:rsidRDefault="009C36E5" w:rsidP="005873B5">
      <w:pPr>
        <w:pStyle w:val="NormalHanging12a"/>
      </w:pPr>
      <w:r w:rsidRPr="007A63A3">
        <w:t>–</w:t>
      </w:r>
      <w:r w:rsidR="005873B5" w:rsidRPr="007A63A3">
        <w:tab/>
      </w:r>
      <w:r w:rsidRPr="007A63A3">
        <w:t xml:space="preserve">having regard to the </w:t>
      </w:r>
      <w:r w:rsidR="00772570" w:rsidRPr="007A63A3">
        <w:t>j</w:t>
      </w:r>
      <w:r w:rsidRPr="007A63A3">
        <w:t xml:space="preserve">oint </w:t>
      </w:r>
      <w:r w:rsidR="00772570" w:rsidRPr="007A63A3">
        <w:t>c</w:t>
      </w:r>
      <w:r w:rsidRPr="007A63A3">
        <w:t xml:space="preserve">ommunication </w:t>
      </w:r>
      <w:r w:rsidR="00772570" w:rsidRPr="007A63A3">
        <w:t xml:space="preserve">from </w:t>
      </w:r>
      <w:r w:rsidRPr="007A63A3">
        <w:t xml:space="preserve">the Commission and the High Representative of the Union for Foreign Affairs and Security Policy </w:t>
      </w:r>
      <w:r w:rsidR="00772570" w:rsidRPr="007A63A3">
        <w:t>of</w:t>
      </w:r>
      <w:r w:rsidRPr="007A63A3">
        <w:t xml:space="preserve"> </w:t>
      </w:r>
      <w:r w:rsidR="00772570" w:rsidRPr="007A63A3">
        <w:t>20 June 2023 entitled</w:t>
      </w:r>
      <w:r w:rsidRPr="007A63A3">
        <w:t xml:space="preserve"> </w:t>
      </w:r>
      <w:r w:rsidR="007A63A3">
        <w:t>‘</w:t>
      </w:r>
      <w:r w:rsidRPr="007A63A3">
        <w:t xml:space="preserve">European </w:t>
      </w:r>
      <w:r w:rsidR="00772570" w:rsidRPr="007A63A3">
        <w:t>e</w:t>
      </w:r>
      <w:r w:rsidRPr="007A63A3">
        <w:t xml:space="preserve">conomic </w:t>
      </w:r>
      <w:r w:rsidR="00772570" w:rsidRPr="007A63A3">
        <w:t>s</w:t>
      </w:r>
      <w:r w:rsidRPr="007A63A3">
        <w:t xml:space="preserve">ecurity </w:t>
      </w:r>
      <w:r w:rsidR="00772570" w:rsidRPr="007A63A3">
        <w:t>s</w:t>
      </w:r>
      <w:r w:rsidRPr="007A63A3">
        <w:t>trategy</w:t>
      </w:r>
      <w:r w:rsidR="007A63A3">
        <w:t>’</w:t>
      </w:r>
      <w:r w:rsidRPr="007A63A3">
        <w:t xml:space="preserve"> </w:t>
      </w:r>
      <w:bookmarkStart w:id="2" w:name="_GoBack"/>
      <w:bookmarkEnd w:id="2"/>
      <w:r w:rsidRPr="007A63A3">
        <w:t>(JOIN(2023)0020),</w:t>
      </w:r>
    </w:p>
    <w:p w14:paraId="5BDBF07D" w14:textId="3A99575E" w:rsidR="005873B5" w:rsidRPr="007A63A3" w:rsidRDefault="009C36E5" w:rsidP="005873B5">
      <w:pPr>
        <w:pStyle w:val="NormalHanging12a"/>
      </w:pPr>
      <w:r w:rsidRPr="007A63A3">
        <w:t>–</w:t>
      </w:r>
      <w:r w:rsidR="005873B5" w:rsidRPr="007A63A3">
        <w:tab/>
      </w:r>
      <w:r w:rsidRPr="007A63A3">
        <w:t>having regard to its resolution of 13</w:t>
      </w:r>
      <w:r w:rsidR="001472CC" w:rsidRPr="007A63A3">
        <w:t> </w:t>
      </w:r>
      <w:r w:rsidRPr="007A63A3">
        <w:t>February</w:t>
      </w:r>
      <w:r w:rsidR="001472CC" w:rsidRPr="007A63A3">
        <w:t> </w:t>
      </w:r>
      <w:r w:rsidRPr="007A63A3">
        <w:t xml:space="preserve">2019 on the </w:t>
      </w:r>
      <w:r w:rsidR="00215C00" w:rsidRPr="007A63A3">
        <w:t xml:space="preserve">draft Council decision on the </w:t>
      </w:r>
      <w:r w:rsidRPr="007A63A3">
        <w:t>conclusion of the Free Trade Agreement between the European Union and the Republic of Singapore</w:t>
      </w:r>
      <w:r w:rsidRPr="007A63A3">
        <w:rPr>
          <w:vertAlign w:val="superscript"/>
        </w:rPr>
        <w:footnoteReference w:id="3"/>
      </w:r>
      <w:r w:rsidRPr="007A63A3">
        <w:t>,</w:t>
      </w:r>
    </w:p>
    <w:p w14:paraId="353F5D6A" w14:textId="13E4FFC9" w:rsidR="005873B5" w:rsidRPr="007A63A3" w:rsidRDefault="009C36E5" w:rsidP="005873B5">
      <w:pPr>
        <w:pStyle w:val="NormalHanging12a"/>
      </w:pPr>
      <w:r w:rsidRPr="007A63A3">
        <w:t>–</w:t>
      </w:r>
      <w:r w:rsidR="005873B5" w:rsidRPr="007A63A3">
        <w:tab/>
      </w:r>
      <w:r w:rsidRPr="007A63A3">
        <w:t>having regard to its resolution of 5</w:t>
      </w:r>
      <w:r w:rsidR="001472CC" w:rsidRPr="007A63A3">
        <w:t> </w:t>
      </w:r>
      <w:r w:rsidRPr="007A63A3">
        <w:t>July</w:t>
      </w:r>
      <w:r w:rsidR="001472CC" w:rsidRPr="007A63A3">
        <w:t> </w:t>
      </w:r>
      <w:r w:rsidRPr="007A63A3">
        <w:t>2016 on a new forward-looking and innovative future strategy for trade and investment</w:t>
      </w:r>
      <w:r w:rsidRPr="007A63A3">
        <w:rPr>
          <w:vertAlign w:val="superscript"/>
        </w:rPr>
        <w:footnoteReference w:id="4"/>
      </w:r>
      <w:r w:rsidRPr="007A63A3">
        <w:t>,</w:t>
      </w:r>
    </w:p>
    <w:p w14:paraId="3137A060" w14:textId="604215EC" w:rsidR="005873B5" w:rsidRPr="007A63A3" w:rsidRDefault="009C36E5" w:rsidP="005873B5">
      <w:pPr>
        <w:pStyle w:val="NormalHanging12a"/>
      </w:pPr>
      <w:r w:rsidRPr="007A63A3">
        <w:t>–</w:t>
      </w:r>
      <w:r w:rsidR="005873B5" w:rsidRPr="007A63A3">
        <w:tab/>
      </w:r>
      <w:r w:rsidRPr="007A63A3">
        <w:t>having regard to the W</w:t>
      </w:r>
      <w:r w:rsidR="00215C00" w:rsidRPr="007A63A3">
        <w:t xml:space="preserve">orld </w:t>
      </w:r>
      <w:r w:rsidRPr="007A63A3">
        <w:t>T</w:t>
      </w:r>
      <w:r w:rsidR="00215C00" w:rsidRPr="007A63A3">
        <w:t xml:space="preserve">rade </w:t>
      </w:r>
      <w:r w:rsidRPr="007A63A3">
        <w:t>O</w:t>
      </w:r>
      <w:r w:rsidR="00215C00" w:rsidRPr="007A63A3">
        <w:t>rganization</w:t>
      </w:r>
      <w:r w:rsidRPr="007A63A3">
        <w:t xml:space="preserve"> Joint Statement Initiative on Electronic Commerce,</w:t>
      </w:r>
    </w:p>
    <w:p w14:paraId="70C1F3F5" w14:textId="6F5841C9" w:rsidR="005873B5" w:rsidRPr="007A63A3" w:rsidRDefault="009C36E5" w:rsidP="005873B5">
      <w:pPr>
        <w:pStyle w:val="NormalHanging12a"/>
      </w:pPr>
      <w:r w:rsidRPr="007A63A3">
        <w:t>–</w:t>
      </w:r>
      <w:r w:rsidR="005873B5" w:rsidRPr="007A63A3">
        <w:tab/>
      </w:r>
      <w:r w:rsidRPr="007A63A3">
        <w:t xml:space="preserve">having regard to </w:t>
      </w:r>
      <w:r w:rsidR="0069190B" w:rsidRPr="007A63A3">
        <w:t xml:space="preserve">the </w:t>
      </w:r>
      <w:r w:rsidRPr="007A63A3">
        <w:t>Comprehensive Air Transport Agreement with the Member States of ASEAN (COM(2022)0194),</w:t>
      </w:r>
    </w:p>
    <w:p w14:paraId="622E124F" w14:textId="613A77B8" w:rsidR="005873B5" w:rsidRPr="007A63A3" w:rsidRDefault="009C36E5" w:rsidP="005873B5">
      <w:pPr>
        <w:pStyle w:val="NormalHanging12a"/>
      </w:pPr>
      <w:r w:rsidRPr="007A63A3">
        <w:t>–</w:t>
      </w:r>
      <w:r w:rsidR="005873B5" w:rsidRPr="007A63A3">
        <w:tab/>
      </w:r>
      <w:r w:rsidRPr="007A63A3">
        <w:t>having regard to the Council decision of 22</w:t>
      </w:r>
      <w:r w:rsidR="001472CC" w:rsidRPr="007A63A3">
        <w:t> </w:t>
      </w:r>
      <w:r w:rsidRPr="007A63A3">
        <w:t>December</w:t>
      </w:r>
      <w:r w:rsidR="001472CC" w:rsidRPr="007A63A3">
        <w:t> </w:t>
      </w:r>
      <w:r w:rsidRPr="007A63A3">
        <w:t xml:space="preserve">2009 to pursue bilateral FTA negotiations with individual </w:t>
      </w:r>
      <w:r w:rsidR="00215C00" w:rsidRPr="007A63A3">
        <w:t xml:space="preserve">ASEAN </w:t>
      </w:r>
      <w:r w:rsidRPr="007A63A3">
        <w:t>member states, starting with Singapore,</w:t>
      </w:r>
    </w:p>
    <w:p w14:paraId="29E275EE" w14:textId="4D5402F6" w:rsidR="005873B5" w:rsidRPr="007A63A3" w:rsidRDefault="009C36E5" w:rsidP="005873B5">
      <w:pPr>
        <w:pStyle w:val="NormalHanging12a"/>
      </w:pPr>
      <w:r w:rsidRPr="007A63A3">
        <w:t>–</w:t>
      </w:r>
      <w:r w:rsidR="005873B5" w:rsidRPr="007A63A3">
        <w:tab/>
      </w:r>
      <w:r w:rsidRPr="007A63A3">
        <w:t xml:space="preserve">having regard to the negotiating </w:t>
      </w:r>
      <w:r w:rsidR="00215C00" w:rsidRPr="007A63A3">
        <w:t xml:space="preserve">mandates </w:t>
      </w:r>
      <w:r w:rsidRPr="007A63A3">
        <w:t>of 23</w:t>
      </w:r>
      <w:r w:rsidR="001472CC" w:rsidRPr="007A63A3">
        <w:t> </w:t>
      </w:r>
      <w:r w:rsidRPr="007A63A3">
        <w:t>April</w:t>
      </w:r>
      <w:r w:rsidR="001472CC" w:rsidRPr="007A63A3">
        <w:t> </w:t>
      </w:r>
      <w:r w:rsidRPr="007A63A3">
        <w:t>2007 for a region-to-region FTA with ASEAN member states,</w:t>
      </w:r>
    </w:p>
    <w:p w14:paraId="09323E2E" w14:textId="5920AD67" w:rsidR="005873B5" w:rsidRPr="007A63A3" w:rsidRDefault="009C36E5" w:rsidP="005873B5">
      <w:pPr>
        <w:pStyle w:val="NormalHanging12a"/>
      </w:pPr>
      <w:r w:rsidRPr="007A63A3">
        <w:t>–</w:t>
      </w:r>
      <w:r w:rsidR="005873B5" w:rsidRPr="007A63A3">
        <w:tab/>
      </w:r>
      <w:r w:rsidRPr="007A63A3">
        <w:t>having regard to its legislative resolution of …</w:t>
      </w:r>
      <w:r w:rsidRPr="007A63A3">
        <w:rPr>
          <w:vertAlign w:val="superscript"/>
        </w:rPr>
        <w:footnoteReference w:id="5"/>
      </w:r>
      <w:r w:rsidRPr="007A63A3">
        <w:t xml:space="preserve"> on the draft Council decision,</w:t>
      </w:r>
    </w:p>
    <w:p w14:paraId="6CBE6050" w14:textId="54F00B82" w:rsidR="005873B5" w:rsidRPr="007A63A3" w:rsidRDefault="009C36E5" w:rsidP="005873B5">
      <w:pPr>
        <w:pStyle w:val="NormalHanging12a"/>
      </w:pPr>
      <w:r w:rsidRPr="007A63A3">
        <w:t>–</w:t>
      </w:r>
      <w:r w:rsidR="005873B5" w:rsidRPr="007A63A3">
        <w:tab/>
      </w:r>
      <w:r w:rsidRPr="007A63A3">
        <w:t>having regard to Rule 107(2) of its Rules of Procedure,</w:t>
      </w:r>
    </w:p>
    <w:p w14:paraId="3540A067" w14:textId="632E7D60" w:rsidR="005873B5" w:rsidRPr="007A63A3" w:rsidRDefault="009C36E5" w:rsidP="005873B5">
      <w:pPr>
        <w:pStyle w:val="NormalHanging12a"/>
      </w:pPr>
      <w:r w:rsidRPr="007A63A3">
        <w:t>–</w:t>
      </w:r>
      <w:r w:rsidR="005873B5" w:rsidRPr="007A63A3">
        <w:tab/>
      </w:r>
      <w:r w:rsidRPr="007A63A3">
        <w:t>having regard to the report of the Committee on International Trade (A10-0000/2025),</w:t>
      </w:r>
    </w:p>
    <w:p w14:paraId="0A9B56F9" w14:textId="2B026B83" w:rsidR="005873B5" w:rsidRPr="007A63A3" w:rsidRDefault="009C36E5" w:rsidP="005873B5">
      <w:pPr>
        <w:pStyle w:val="NormalHanging12a"/>
      </w:pPr>
      <w:r w:rsidRPr="007A63A3">
        <w:t>A.</w:t>
      </w:r>
      <w:r w:rsidR="005873B5" w:rsidRPr="007A63A3">
        <w:tab/>
      </w:r>
      <w:r w:rsidRPr="007A63A3">
        <w:t xml:space="preserve">whereas the EU and Singapore share important values, including democracy, </w:t>
      </w:r>
      <w:r w:rsidR="004D1686" w:rsidRPr="007A63A3">
        <w:t xml:space="preserve">the </w:t>
      </w:r>
      <w:r w:rsidRPr="007A63A3">
        <w:t>rule of law, respect for human rights</w:t>
      </w:r>
      <w:r w:rsidR="004D1686" w:rsidRPr="007A63A3">
        <w:t xml:space="preserve"> and</w:t>
      </w:r>
      <w:r w:rsidRPr="007A63A3">
        <w:t xml:space="preserve"> cultural and linguistic diversity and a strong commitment to open and rule</w:t>
      </w:r>
      <w:r w:rsidR="004D1686" w:rsidRPr="007A63A3">
        <w:t>s</w:t>
      </w:r>
      <w:r w:rsidRPr="007A63A3">
        <w:t>-based trade and the multilateral trading system;</w:t>
      </w:r>
    </w:p>
    <w:p w14:paraId="18363D7C" w14:textId="65B20A39" w:rsidR="005873B5" w:rsidRPr="007A63A3" w:rsidRDefault="009C36E5" w:rsidP="005873B5">
      <w:pPr>
        <w:pStyle w:val="NormalHanging12a"/>
      </w:pPr>
      <w:r w:rsidRPr="007A63A3">
        <w:t>B.</w:t>
      </w:r>
      <w:r w:rsidR="005873B5" w:rsidRPr="007A63A3">
        <w:tab/>
      </w:r>
      <w:r w:rsidRPr="007A63A3">
        <w:t>whereas this is the first stand-alone digital trade agreement that the EU has concluded with a partner country, and also the first bilateral digital trade agreement concluded between the EU and an ASEAN member state</w:t>
      </w:r>
      <w:r w:rsidR="004D1686" w:rsidRPr="007A63A3">
        <w:t>; whereas it</w:t>
      </w:r>
      <w:r w:rsidRPr="007A63A3">
        <w:t xml:space="preserve"> thus represents an important stepping stone towards raising the ambition of digital trade rules globally, in particular throughout the Indo-Pacific region, by setting standards for digital trade, data flows, data protection and consumer rights online; whereas the agreement will also serve as a benchmark for the agreements the EU is currently negotiating with other South</w:t>
      </w:r>
      <w:r w:rsidR="008E322F" w:rsidRPr="007A63A3">
        <w:t>e</w:t>
      </w:r>
      <w:r w:rsidRPr="007A63A3">
        <w:t>ast Asia</w:t>
      </w:r>
      <w:r w:rsidR="004D1686" w:rsidRPr="007A63A3">
        <w:t>n</w:t>
      </w:r>
      <w:r w:rsidRPr="007A63A3">
        <w:t xml:space="preserve"> economies;</w:t>
      </w:r>
    </w:p>
    <w:p w14:paraId="2F08A299" w14:textId="2E52EA49" w:rsidR="005873B5" w:rsidRPr="007A63A3" w:rsidRDefault="009C36E5" w:rsidP="005873B5">
      <w:pPr>
        <w:pStyle w:val="NormalHanging12a"/>
      </w:pPr>
      <w:r w:rsidRPr="007A63A3">
        <w:t>C.</w:t>
      </w:r>
      <w:r w:rsidR="005873B5" w:rsidRPr="007A63A3">
        <w:tab/>
      </w:r>
      <w:r w:rsidRPr="007A63A3">
        <w:t>whereas in 2024, Singapore was the EU</w:t>
      </w:r>
      <w:r w:rsidR="007A63A3">
        <w:t>’</w:t>
      </w:r>
      <w:r w:rsidRPr="007A63A3">
        <w:t xml:space="preserve">s 21st largest trading partner worldwide for trade in goods and its second-largest trading partner in </w:t>
      </w:r>
      <w:r w:rsidR="001472CC" w:rsidRPr="007A63A3">
        <w:t xml:space="preserve">the </w:t>
      </w:r>
      <w:r w:rsidRPr="007A63A3">
        <w:t>ASEAN</w:t>
      </w:r>
      <w:r w:rsidR="001472CC" w:rsidRPr="007A63A3">
        <w:t xml:space="preserve"> countries</w:t>
      </w:r>
      <w:r w:rsidR="004D1686" w:rsidRPr="007A63A3">
        <w:t xml:space="preserve">, </w:t>
      </w:r>
      <w:r w:rsidRPr="007A63A3">
        <w:t>accounting for 1</w:t>
      </w:r>
      <w:r w:rsidR="005873B5" w:rsidRPr="007A63A3">
        <w:t> %</w:t>
      </w:r>
      <w:r w:rsidRPr="007A63A3">
        <w:t xml:space="preserve"> of the EU</w:t>
      </w:r>
      <w:r w:rsidR="007A63A3">
        <w:t>’</w:t>
      </w:r>
      <w:r w:rsidRPr="007A63A3">
        <w:t>s total trade in goods, while the EU was Singapore</w:t>
      </w:r>
      <w:r w:rsidR="007A63A3">
        <w:t>’</w:t>
      </w:r>
      <w:r w:rsidRPr="007A63A3">
        <w:t>s fifth-largest trading partner, accounting for 7.9</w:t>
      </w:r>
      <w:r w:rsidR="005873B5" w:rsidRPr="007A63A3">
        <w:t> %</w:t>
      </w:r>
      <w:r w:rsidRPr="007A63A3">
        <w:t xml:space="preserve"> of the country</w:t>
      </w:r>
      <w:r w:rsidR="007A63A3">
        <w:t>’</w:t>
      </w:r>
      <w:r w:rsidRPr="007A63A3">
        <w:t xml:space="preserve">s trade in goods, </w:t>
      </w:r>
      <w:r w:rsidR="004D1686" w:rsidRPr="007A63A3">
        <w:t>which is</w:t>
      </w:r>
      <w:r w:rsidRPr="007A63A3">
        <w:t xml:space="preserve"> slightly </w:t>
      </w:r>
      <w:r w:rsidR="004D1686" w:rsidRPr="007A63A3">
        <w:t xml:space="preserve">less than </w:t>
      </w:r>
      <w:r w:rsidRPr="007A63A3">
        <w:t xml:space="preserve">one third of EU-ASEAN trade in goods and services and roughly two thirds of </w:t>
      </w:r>
      <w:r w:rsidR="004D1686" w:rsidRPr="007A63A3">
        <w:t xml:space="preserve">the </w:t>
      </w:r>
      <w:r w:rsidR="001472CC" w:rsidRPr="007A63A3">
        <w:t xml:space="preserve">total </w:t>
      </w:r>
      <w:r w:rsidR="004D1686" w:rsidRPr="007A63A3">
        <w:t xml:space="preserve">amount of </w:t>
      </w:r>
      <w:r w:rsidRPr="007A63A3">
        <w:t>investment between the two regions;</w:t>
      </w:r>
    </w:p>
    <w:p w14:paraId="0B6F2A94" w14:textId="25044934" w:rsidR="005873B5" w:rsidRPr="007A63A3" w:rsidRDefault="009C36E5" w:rsidP="005873B5">
      <w:pPr>
        <w:pStyle w:val="NormalHanging12a"/>
      </w:pPr>
      <w:r w:rsidRPr="007A63A3">
        <w:t>D.</w:t>
      </w:r>
      <w:r w:rsidR="005873B5" w:rsidRPr="007A63A3">
        <w:tab/>
      </w:r>
      <w:r w:rsidRPr="007A63A3">
        <w:t xml:space="preserve">whereas Singapore is a major destination for European investment in Asia and the largest Asian investor in the EU; whereas in 2023, the stock of EU foreign direct investment (FDI) in Singapore amounted to </w:t>
      </w:r>
      <w:r w:rsidR="005873B5" w:rsidRPr="007A63A3">
        <w:t>EUR </w:t>
      </w:r>
      <w:r w:rsidRPr="007A63A3">
        <w:t>262.9 billion and the stock of Singapore</w:t>
      </w:r>
      <w:r w:rsidR="007A63A3">
        <w:t>’</w:t>
      </w:r>
      <w:r w:rsidRPr="007A63A3">
        <w:t xml:space="preserve">s FDI in the EU was </w:t>
      </w:r>
      <w:r w:rsidR="005873B5" w:rsidRPr="007A63A3">
        <w:t>EUR </w:t>
      </w:r>
      <w:r w:rsidRPr="007A63A3">
        <w:t>313.5 billion, continuing the expansionary trend observed in previous year</w:t>
      </w:r>
      <w:r w:rsidR="005873B5" w:rsidRPr="007A63A3">
        <w:t>s;</w:t>
      </w:r>
    </w:p>
    <w:p w14:paraId="056F0DCF" w14:textId="11294C6F" w:rsidR="005873B5" w:rsidRPr="007A63A3" w:rsidRDefault="005873B5" w:rsidP="005873B5">
      <w:pPr>
        <w:pStyle w:val="NormalHanging12a"/>
      </w:pPr>
      <w:r w:rsidRPr="007A63A3">
        <w:t>E</w:t>
      </w:r>
      <w:r w:rsidR="009C36E5" w:rsidRPr="007A63A3">
        <w:t>.</w:t>
      </w:r>
      <w:r w:rsidRPr="007A63A3">
        <w:tab/>
      </w:r>
      <w:r w:rsidR="009C36E5" w:rsidRPr="007A63A3">
        <w:t xml:space="preserve">whereas in 2023, EU-Singapore trade in services amounted to </w:t>
      </w:r>
      <w:r w:rsidRPr="007A63A3">
        <w:t>EUR </w:t>
      </w:r>
      <w:r w:rsidR="009C36E5" w:rsidRPr="007A63A3">
        <w:t>80.6</w:t>
      </w:r>
      <w:r w:rsidR="00412312" w:rsidRPr="007A63A3">
        <w:t> </w:t>
      </w:r>
      <w:r w:rsidR="009C36E5" w:rsidRPr="007A63A3">
        <w:t>billion;</w:t>
      </w:r>
    </w:p>
    <w:p w14:paraId="6DD1CC9C" w14:textId="7D47311F" w:rsidR="005873B5" w:rsidRPr="007A63A3" w:rsidRDefault="009C36E5" w:rsidP="005873B5">
      <w:pPr>
        <w:pStyle w:val="NormalHanging12a"/>
      </w:pPr>
      <w:r w:rsidRPr="007A63A3">
        <w:t>F.</w:t>
      </w:r>
      <w:r w:rsidR="005873B5" w:rsidRPr="007A63A3">
        <w:tab/>
      </w:r>
      <w:r w:rsidRPr="007A63A3">
        <w:t>whereas Singapore is a party to the Comprehensive and Progressive Trans-Pacific Partnership and to the Regional Comprehensive Economic Partnership;</w:t>
      </w:r>
    </w:p>
    <w:p w14:paraId="2B097C71" w14:textId="2DAB3D03" w:rsidR="005873B5" w:rsidRPr="007A63A3" w:rsidRDefault="009C36E5" w:rsidP="005873B5">
      <w:pPr>
        <w:pStyle w:val="NormalHanging12a"/>
      </w:pPr>
      <w:r w:rsidRPr="007A63A3">
        <w:t>G.</w:t>
      </w:r>
      <w:r w:rsidR="005873B5" w:rsidRPr="007A63A3">
        <w:tab/>
      </w:r>
      <w:r w:rsidRPr="007A63A3">
        <w:t>whereas Singapore ranks among the easiest countries in the world to do business with,</w:t>
      </w:r>
      <w:r w:rsidRPr="007A63A3">
        <w:rPr>
          <w:i/>
        </w:rPr>
        <w:t xml:space="preserve"> </w:t>
      </w:r>
      <w:r w:rsidR="004D1686" w:rsidRPr="007A63A3">
        <w:t>and</w:t>
      </w:r>
      <w:r w:rsidR="004D1686" w:rsidRPr="007A63A3">
        <w:rPr>
          <w:i/>
        </w:rPr>
        <w:t xml:space="preserve"> </w:t>
      </w:r>
      <w:r w:rsidRPr="007A63A3">
        <w:t>is one of the world</w:t>
      </w:r>
      <w:r w:rsidR="007A63A3">
        <w:t>’</w:t>
      </w:r>
      <w:r w:rsidRPr="007A63A3">
        <w:t>s</w:t>
      </w:r>
      <w:r w:rsidR="00412312" w:rsidRPr="007A63A3">
        <w:t xml:space="preserve"> </w:t>
      </w:r>
      <w:r w:rsidRPr="007A63A3">
        <w:t xml:space="preserve">most competitive </w:t>
      </w:r>
      <w:r w:rsidR="004D1686" w:rsidRPr="007A63A3">
        <w:t xml:space="preserve">and least corrupt </w:t>
      </w:r>
      <w:r w:rsidRPr="007A63A3">
        <w:t>economies;</w:t>
      </w:r>
    </w:p>
    <w:p w14:paraId="2DEBB4CE" w14:textId="2FD21F47" w:rsidR="005873B5" w:rsidRPr="007A63A3" w:rsidRDefault="009C36E5" w:rsidP="005873B5">
      <w:pPr>
        <w:pStyle w:val="NormalHanging12a"/>
      </w:pPr>
      <w:r w:rsidRPr="007A63A3">
        <w:t>H.</w:t>
      </w:r>
      <w:r w:rsidR="005873B5" w:rsidRPr="007A63A3">
        <w:tab/>
      </w:r>
      <w:r w:rsidRPr="007A63A3">
        <w:t>whereas digital trade accounts for around 25</w:t>
      </w:r>
      <w:r w:rsidR="005873B5" w:rsidRPr="007A63A3">
        <w:t> %</w:t>
      </w:r>
      <w:r w:rsidRPr="007A63A3">
        <w:t xml:space="preserve"> of all international trade and has been growing at a faster pace than traditional trade; whereas the EU is the world</w:t>
      </w:r>
      <w:r w:rsidR="007A63A3">
        <w:t>’</w:t>
      </w:r>
      <w:r w:rsidRPr="007A63A3">
        <w:t>s leader in both exports and imports of digitally deliverable services;</w:t>
      </w:r>
    </w:p>
    <w:p w14:paraId="54755438" w14:textId="1AE032E1" w:rsidR="005873B5" w:rsidRPr="007A63A3" w:rsidRDefault="009C36E5" w:rsidP="005873B5">
      <w:pPr>
        <w:pStyle w:val="NormalHanging12a"/>
      </w:pPr>
      <w:r w:rsidRPr="007A63A3">
        <w:t>I.</w:t>
      </w:r>
      <w:r w:rsidR="005873B5" w:rsidRPr="007A63A3">
        <w:tab/>
      </w:r>
      <w:r w:rsidRPr="007A63A3">
        <w:t xml:space="preserve">whereas the </w:t>
      </w:r>
      <w:r w:rsidR="004D1686" w:rsidRPr="007A63A3">
        <w:t xml:space="preserve">current </w:t>
      </w:r>
      <w:r w:rsidRPr="007A63A3">
        <w:t>bilateral trade relationship between the EU and Singapore</w:t>
      </w:r>
      <w:r w:rsidR="004D1686" w:rsidRPr="007A63A3">
        <w:t>,</w:t>
      </w:r>
      <w:r w:rsidRPr="007A63A3">
        <w:t xml:space="preserve"> underpinned by the EU-Singapore FTA</w:t>
      </w:r>
      <w:r w:rsidR="004D1686" w:rsidRPr="007A63A3">
        <w:t>,</w:t>
      </w:r>
      <w:r w:rsidRPr="007A63A3">
        <w:t xml:space="preserve"> need</w:t>
      </w:r>
      <w:r w:rsidR="004D1686" w:rsidRPr="007A63A3">
        <w:t>s</w:t>
      </w:r>
      <w:r w:rsidRPr="007A63A3">
        <w:t xml:space="preserve"> to be deepened with and supported by updated digital rules;</w:t>
      </w:r>
    </w:p>
    <w:p w14:paraId="346473C6" w14:textId="42C3F83B" w:rsidR="005873B5" w:rsidRPr="007A63A3" w:rsidRDefault="009C36E5" w:rsidP="005873B5">
      <w:pPr>
        <w:pStyle w:val="NormalHanging12a"/>
      </w:pPr>
      <w:r w:rsidRPr="007A63A3">
        <w:t>J.</w:t>
      </w:r>
      <w:r w:rsidR="005873B5" w:rsidRPr="007A63A3">
        <w:tab/>
      </w:r>
      <w:r w:rsidRPr="007A63A3">
        <w:t>whereas the EU trade policy review of 2021 recognised the contribution of the EU</w:t>
      </w:r>
      <w:r w:rsidR="007A63A3">
        <w:t>’</w:t>
      </w:r>
      <w:r w:rsidRPr="007A63A3">
        <w:t>s digital trade policy to the EU</w:t>
      </w:r>
      <w:r w:rsidR="007A63A3">
        <w:t>’</w:t>
      </w:r>
      <w:r w:rsidRPr="007A63A3">
        <w:t xml:space="preserve">s digital transformation and </w:t>
      </w:r>
      <w:r w:rsidR="004D1686" w:rsidRPr="007A63A3">
        <w:t xml:space="preserve">led to the </w:t>
      </w:r>
      <w:r w:rsidRPr="007A63A3">
        <w:t>announce</w:t>
      </w:r>
      <w:r w:rsidR="004D1686" w:rsidRPr="007A63A3">
        <w:t>ment of</w:t>
      </w:r>
      <w:r w:rsidRPr="007A63A3">
        <w:t xml:space="preserve"> the EU</w:t>
      </w:r>
      <w:r w:rsidR="007A63A3">
        <w:t>’</w:t>
      </w:r>
      <w:r w:rsidRPr="007A63A3">
        <w:t xml:space="preserve">s intention to step up bilateral engagement and explore stronger frameworks for cooperation on trade-related digital issues with like-minded partners; whereas </w:t>
      </w:r>
      <w:r w:rsidR="001472CC" w:rsidRPr="007A63A3">
        <w:t>pursuing partnerships with like-minded countries</w:t>
      </w:r>
      <w:r w:rsidRPr="007A63A3">
        <w:t xml:space="preserve"> is also consistent with the objective of the 2023 EU economic security strategy;</w:t>
      </w:r>
    </w:p>
    <w:p w14:paraId="5F59F32E" w14:textId="2567F60E" w:rsidR="005873B5" w:rsidRPr="007A63A3" w:rsidRDefault="009C36E5" w:rsidP="005873B5">
      <w:pPr>
        <w:pStyle w:val="NormalHanging12a"/>
      </w:pPr>
      <w:r w:rsidRPr="007A63A3">
        <w:t>K.</w:t>
      </w:r>
      <w:r w:rsidR="005873B5" w:rsidRPr="007A63A3">
        <w:tab/>
      </w:r>
      <w:r w:rsidRPr="007A63A3">
        <w:t xml:space="preserve">whereas the EU strategy for cooperation in the Indo-Pacific recognised that the region is at the forefront of the digital economy and proposed establishing </w:t>
      </w:r>
      <w:r w:rsidR="00DA5688" w:rsidRPr="007A63A3">
        <w:t>d</w:t>
      </w:r>
      <w:r w:rsidRPr="007A63A3">
        <w:t xml:space="preserve">igital </w:t>
      </w:r>
      <w:r w:rsidR="00DA5688" w:rsidRPr="007A63A3">
        <w:t>p</w:t>
      </w:r>
      <w:r w:rsidRPr="007A63A3">
        <w:t>artnerships with key partners in the region, including with Singapore;</w:t>
      </w:r>
    </w:p>
    <w:p w14:paraId="7588415D" w14:textId="4B7C5C61" w:rsidR="005873B5" w:rsidRPr="007A63A3" w:rsidRDefault="009C36E5" w:rsidP="005873B5">
      <w:pPr>
        <w:pStyle w:val="NormalHanging12a"/>
      </w:pPr>
      <w:r w:rsidRPr="007A63A3">
        <w:t>L.</w:t>
      </w:r>
      <w:r w:rsidR="005873B5" w:rsidRPr="007A63A3">
        <w:tab/>
      </w:r>
      <w:r w:rsidRPr="007A63A3">
        <w:t>whereas this agreement aligns with the EU</w:t>
      </w:r>
      <w:r w:rsidR="007A63A3">
        <w:t>’</w:t>
      </w:r>
      <w:r w:rsidRPr="007A63A3">
        <w:t xml:space="preserve">s goal to establish modern digital trade rules with our global partners, as demonstrated in the digital trade chapters of recent </w:t>
      </w:r>
      <w:r w:rsidR="00DA5688" w:rsidRPr="007A63A3">
        <w:t>FTAs</w:t>
      </w:r>
      <w:r w:rsidRPr="007A63A3">
        <w:t xml:space="preserve"> with the UK, Chile and New Zealand, as well as the cross-border data flows agreement with Japan;</w:t>
      </w:r>
    </w:p>
    <w:p w14:paraId="4E71257E" w14:textId="3724597A" w:rsidR="005873B5" w:rsidRPr="007A63A3" w:rsidRDefault="009C36E5" w:rsidP="005873B5">
      <w:pPr>
        <w:pStyle w:val="NormalHanging12a"/>
      </w:pPr>
      <w:r w:rsidRPr="007A63A3">
        <w:t>1.</w:t>
      </w:r>
      <w:r w:rsidR="005873B5" w:rsidRPr="007A63A3">
        <w:tab/>
      </w:r>
      <w:r w:rsidRPr="007A63A3">
        <w:t>Welcomes the signing, in Singapore on 7</w:t>
      </w:r>
      <w:r w:rsidR="00DA5688" w:rsidRPr="007A63A3">
        <w:t> </w:t>
      </w:r>
      <w:r w:rsidRPr="007A63A3">
        <w:t>May</w:t>
      </w:r>
      <w:r w:rsidR="00DA5688" w:rsidRPr="007A63A3">
        <w:t> </w:t>
      </w:r>
      <w:r w:rsidRPr="007A63A3">
        <w:t>2025, of the Digital Trade Agreement;</w:t>
      </w:r>
    </w:p>
    <w:p w14:paraId="66496C8F" w14:textId="195777FB" w:rsidR="005873B5" w:rsidRPr="007A63A3" w:rsidRDefault="009C36E5" w:rsidP="005873B5">
      <w:pPr>
        <w:pStyle w:val="NormalHanging12a"/>
      </w:pPr>
      <w:r w:rsidRPr="007A63A3">
        <w:t>2.</w:t>
      </w:r>
      <w:r w:rsidR="005873B5" w:rsidRPr="007A63A3">
        <w:tab/>
      </w:r>
      <w:r w:rsidRPr="007A63A3">
        <w:t>Notes that the agreement lays down binding rules on trade in goods and services enabled by electronic means; acknowledges that these rules will further enhance bilateral trade relations between the E</w:t>
      </w:r>
      <w:r w:rsidR="00412312" w:rsidRPr="007A63A3">
        <w:t>U</w:t>
      </w:r>
      <w:r w:rsidRPr="007A63A3">
        <w:t>U and Singapore, fostering consumer confidence and providing predictability and legal certainty for businesses involved in digital trade;</w:t>
      </w:r>
    </w:p>
    <w:p w14:paraId="26CF7F71" w14:textId="3C818CBB" w:rsidR="005873B5" w:rsidRPr="007A63A3" w:rsidRDefault="009C36E5" w:rsidP="005873B5">
      <w:pPr>
        <w:pStyle w:val="NormalHanging12a"/>
      </w:pPr>
      <w:r w:rsidRPr="007A63A3">
        <w:t>3.</w:t>
      </w:r>
      <w:r w:rsidR="005873B5" w:rsidRPr="007A63A3">
        <w:tab/>
      </w:r>
      <w:r w:rsidRPr="007A63A3">
        <w:t>Recalls that the agreement applies to all types of trade enabled by electronic means and aims to guarantee predictability and legal certainty for online trade, while preserving policy space for the parties</w:t>
      </w:r>
      <w:r w:rsidR="00DA5688" w:rsidRPr="007A63A3">
        <w:t>,</w:t>
      </w:r>
      <w:r w:rsidRPr="007A63A3">
        <w:t xml:space="preserve"> as the agreement explicitly upholds the EU</w:t>
      </w:r>
      <w:r w:rsidR="007A63A3">
        <w:t>’</w:t>
      </w:r>
      <w:r w:rsidRPr="007A63A3">
        <w:t>s stringent standards for personal data and privacy protection and both parties retain the right to implement and maintain measures to safeguard personal data and privacy;</w:t>
      </w:r>
    </w:p>
    <w:p w14:paraId="4A810575" w14:textId="25E558F2" w:rsidR="005873B5" w:rsidRPr="007A63A3" w:rsidRDefault="009C36E5" w:rsidP="005873B5">
      <w:pPr>
        <w:pStyle w:val="NormalHanging12a"/>
      </w:pPr>
      <w:r w:rsidRPr="007A63A3">
        <w:t>4.</w:t>
      </w:r>
      <w:r w:rsidR="005873B5" w:rsidRPr="007A63A3">
        <w:tab/>
      </w:r>
      <w:r w:rsidRPr="007A63A3">
        <w:t>Stresses that this agreement will facilitate electronic transactions by introducing electronic signatures and electronic authentication, and promote a safe online environment by ensuring consumer protection and protecting consumers</w:t>
      </w:r>
      <w:r w:rsidR="007A63A3">
        <w:t>’</w:t>
      </w:r>
      <w:r w:rsidRPr="007A63A3">
        <w:t xml:space="preserve"> data; further considers that the agreement will create legal certainty for businesses through source code protection and by prohibiting forced technology transfer, while improving access to electronic commerce and simplifying digital trade by reducing the administrative burden for e-commerce by enabling e-invoicing and paperless trading;</w:t>
      </w:r>
    </w:p>
    <w:p w14:paraId="742BE2E7" w14:textId="205BC2C0" w:rsidR="005873B5" w:rsidRPr="007A63A3" w:rsidRDefault="009C36E5" w:rsidP="005873B5">
      <w:pPr>
        <w:pStyle w:val="NormalHanging12a"/>
      </w:pPr>
      <w:r w:rsidRPr="007A63A3">
        <w:t>5.</w:t>
      </w:r>
      <w:r w:rsidR="005873B5" w:rsidRPr="007A63A3">
        <w:tab/>
      </w:r>
      <w:r w:rsidRPr="007A63A3">
        <w:t>Welcomes</w:t>
      </w:r>
      <w:r w:rsidR="00DA5688" w:rsidRPr="007A63A3">
        <w:t xml:space="preserve"> the fact</w:t>
      </w:r>
      <w:r w:rsidRPr="007A63A3">
        <w:t xml:space="preserve"> that the cross-border data flow provisions in the agreement apply to all sectors in order to ensure that data flows freely; underlines that these provisions build on established practice and </w:t>
      </w:r>
      <w:r w:rsidR="00DA5688" w:rsidRPr="007A63A3">
        <w:t xml:space="preserve">are </w:t>
      </w:r>
      <w:r w:rsidRPr="007A63A3">
        <w:t>accompanied by regulatory policy space in order for regulators and supervisors to exercise their right to ensure the protection of data and privacy and to protect other public policy objectives;</w:t>
      </w:r>
    </w:p>
    <w:p w14:paraId="4434F0A2" w14:textId="483AED2A" w:rsidR="005873B5" w:rsidRPr="007A63A3" w:rsidRDefault="009C36E5" w:rsidP="005873B5">
      <w:pPr>
        <w:pStyle w:val="NormalHanging12a"/>
      </w:pPr>
      <w:r w:rsidRPr="007A63A3">
        <w:t>6.</w:t>
      </w:r>
      <w:r w:rsidR="005873B5" w:rsidRPr="007A63A3">
        <w:tab/>
      </w:r>
      <w:r w:rsidRPr="007A63A3">
        <w:t xml:space="preserve">Acknowledges that the provisions on source code in this agreement are slightly more advanced compared to previous agreements, further strengthening the role of source code protection; considers this vital in order to protect </w:t>
      </w:r>
      <w:r w:rsidR="00DA5688" w:rsidRPr="007A63A3">
        <w:t xml:space="preserve">small and medium-sized enterprises </w:t>
      </w:r>
      <w:r w:rsidRPr="007A63A3">
        <w:t>and start-ups against forced technology transfers; recalls</w:t>
      </w:r>
      <w:r w:rsidR="00DA5688" w:rsidRPr="007A63A3">
        <w:t>,</w:t>
      </w:r>
      <w:r w:rsidRPr="007A63A3">
        <w:t xml:space="preserve"> in this regard</w:t>
      </w:r>
      <w:r w:rsidR="00DA5688" w:rsidRPr="007A63A3">
        <w:t>,</w:t>
      </w:r>
      <w:r w:rsidRPr="007A63A3">
        <w:t xml:space="preserve"> the EU</w:t>
      </w:r>
      <w:r w:rsidR="007A63A3">
        <w:t>’</w:t>
      </w:r>
      <w:r w:rsidRPr="007A63A3">
        <w:t>s strategic objectives of further industrialisation and technological sovereignty; underlines, however, the simultaneous need for regulatory oversight and policy space; welcomes</w:t>
      </w:r>
      <w:r w:rsidR="00DA5688" w:rsidRPr="007A63A3">
        <w:t xml:space="preserve"> the fact</w:t>
      </w:r>
      <w:r w:rsidRPr="007A63A3">
        <w:t xml:space="preserve"> that the agreement does not jeopardise the enforcement of </w:t>
      </w:r>
      <w:r w:rsidR="00DA5688" w:rsidRPr="007A63A3">
        <w:t xml:space="preserve">the </w:t>
      </w:r>
      <w:r w:rsidRPr="007A63A3">
        <w:t>EU</w:t>
      </w:r>
      <w:r w:rsidR="007A63A3">
        <w:t>’</w:t>
      </w:r>
      <w:r w:rsidRPr="007A63A3">
        <w:t>s digital rules;</w:t>
      </w:r>
    </w:p>
    <w:p w14:paraId="2DB70161" w14:textId="781BD3FC" w:rsidR="005873B5" w:rsidRPr="007A63A3" w:rsidRDefault="009C36E5" w:rsidP="005873B5">
      <w:pPr>
        <w:pStyle w:val="NormalHanging12a"/>
      </w:pPr>
      <w:r w:rsidRPr="007A63A3">
        <w:t>7.</w:t>
      </w:r>
      <w:r w:rsidR="005873B5" w:rsidRPr="007A63A3">
        <w:tab/>
      </w:r>
      <w:r w:rsidRPr="007A63A3">
        <w:t>Stresses the strategic importance of this agreement, given Singapore</w:t>
      </w:r>
      <w:r w:rsidR="007A63A3">
        <w:t>’</w:t>
      </w:r>
      <w:r w:rsidRPr="007A63A3">
        <w:t>s position as a gateway to the wider ASEAN region; considers this agreement to be a milestone in the </w:t>
      </w:r>
      <w:r w:rsidR="00DA5688" w:rsidRPr="007A63A3">
        <w:t>EU</w:t>
      </w:r>
      <w:r w:rsidR="007A63A3">
        <w:t>’</w:t>
      </w:r>
      <w:r w:rsidR="00DA5688" w:rsidRPr="007A63A3">
        <w:t xml:space="preserve">s </w:t>
      </w:r>
      <w:r w:rsidRPr="007A63A3">
        <w:t xml:space="preserve">ambition to shape global rules for digital trade, </w:t>
      </w:r>
      <w:r w:rsidR="00DA5688" w:rsidRPr="007A63A3">
        <w:t xml:space="preserve">enabling </w:t>
      </w:r>
      <w:r w:rsidRPr="007A63A3">
        <w:t>the EU to advance its vision for the digital economy;</w:t>
      </w:r>
    </w:p>
    <w:p w14:paraId="41501166" w14:textId="5C2D3CB8" w:rsidR="005873B5" w:rsidRPr="007A63A3" w:rsidRDefault="009C36E5" w:rsidP="005873B5">
      <w:pPr>
        <w:pStyle w:val="NormalHanging12a"/>
      </w:pPr>
      <w:r w:rsidRPr="007A63A3">
        <w:t>8.</w:t>
      </w:r>
      <w:r w:rsidR="005873B5" w:rsidRPr="007A63A3">
        <w:tab/>
      </w:r>
      <w:r w:rsidRPr="007A63A3">
        <w:t>Underlines the significance of concluding bilateral agreements in the current geopolitical climate; calls, in this context, on the Commission and the Member States to explore possibilities for further digital trade agreements with other partners;</w:t>
      </w:r>
    </w:p>
    <w:p w14:paraId="3495F919" w14:textId="02D3960F" w:rsidR="005873B5" w:rsidRPr="007A63A3" w:rsidRDefault="009C36E5" w:rsidP="005873B5">
      <w:pPr>
        <w:pStyle w:val="NormalHanging12a"/>
      </w:pPr>
      <w:r w:rsidRPr="007A63A3">
        <w:t>9.</w:t>
      </w:r>
      <w:r w:rsidR="005873B5" w:rsidRPr="007A63A3">
        <w:tab/>
      </w:r>
      <w:r w:rsidRPr="007A63A3">
        <w:t xml:space="preserve">Recalls that the opinion </w:t>
      </w:r>
      <w:r w:rsidR="00DA5688" w:rsidRPr="007A63A3">
        <w:t xml:space="preserve">of </w:t>
      </w:r>
      <w:r w:rsidRPr="007A63A3">
        <w:t xml:space="preserve">the European Data Protection </w:t>
      </w:r>
      <w:r w:rsidR="00DA5688" w:rsidRPr="007A63A3">
        <w:t>S</w:t>
      </w:r>
      <w:r w:rsidRPr="007A63A3">
        <w:t>upervisor includes recommendations regarding specific wording on personal data and privacy in the agreement; calls on the Commission to derive insights from these recommendations when drafting future digital trade agreements;</w:t>
      </w:r>
    </w:p>
    <w:p w14:paraId="67848AB9" w14:textId="25F5D811" w:rsidR="00EF48F2" w:rsidRPr="007A63A3" w:rsidRDefault="009C36E5" w:rsidP="005873B5">
      <w:pPr>
        <w:pStyle w:val="NormalHanging12a"/>
      </w:pPr>
      <w:r w:rsidRPr="007A63A3">
        <w:t>10.</w:t>
      </w:r>
      <w:r w:rsidR="005873B5" w:rsidRPr="007A63A3">
        <w:tab/>
      </w:r>
      <w:r w:rsidRPr="007A63A3">
        <w:t>Instructs its President to forward this resolution to the Council, the Commission, the governments and parliaments of the Member States and the Government and Parliament of the Republic of Singapore.</w:t>
      </w:r>
    </w:p>
    <w:p w14:paraId="1B6B8A0B" w14:textId="77777777" w:rsidR="00037AA5" w:rsidRPr="007A63A3" w:rsidRDefault="00037AA5" w:rsidP="00EF48F2">
      <w:pPr>
        <w:pStyle w:val="NormalHanging12a"/>
        <w:sectPr w:rsidR="00037AA5" w:rsidRPr="007A63A3" w:rsidSect="004A65CA">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pPr>
    </w:p>
    <w:p w14:paraId="7C7D54A2" w14:textId="77777777" w:rsidR="00CC3A12" w:rsidRPr="007A63A3" w:rsidRDefault="00CC3A12" w:rsidP="00CC3A12">
      <w:pPr>
        <w:pStyle w:val="PageHeading"/>
      </w:pPr>
      <w:bookmarkStart w:id="3" w:name="_Toc200453787"/>
      <w:bookmarkStart w:id="4" w:name="_Toc202790783"/>
      <w:r w:rsidRPr="007A63A3">
        <w:t>EXPLANATORY STATEMENT</w:t>
      </w:r>
      <w:bookmarkEnd w:id="3"/>
      <w:bookmarkEnd w:id="4"/>
    </w:p>
    <w:p w14:paraId="75DDEACC" w14:textId="795C2F9E" w:rsidR="009C36E5" w:rsidRPr="007A63A3" w:rsidRDefault="009C36E5" w:rsidP="009C36E5">
      <w:pPr>
        <w:widowControl/>
        <w:spacing w:before="120" w:after="120"/>
      </w:pPr>
      <w:r w:rsidRPr="007A63A3">
        <w:t>The European Union and Singapore have a strong partnership built on shared values such as democracy, rule of law, respect for human rights and a joint commitment to open and rule-based trade and upholding the multilateral trading system. Since the entry into force of the EU-Singapore Free Trade Agreement in November 2019, bilateral trade relations have deepened, with significant developments in both traditional and digital trade domains. In 2024, Singapore was the EU</w:t>
      </w:r>
      <w:r w:rsidR="007A63A3">
        <w:t>’</w:t>
      </w:r>
      <w:r w:rsidRPr="007A63A3">
        <w:t>s second-largest trading partner in ASEAN and 21st largest trading partner worldwide for trade in goods, while the EU was Singapore</w:t>
      </w:r>
      <w:r w:rsidR="007A63A3">
        <w:t>’</w:t>
      </w:r>
      <w:r w:rsidRPr="007A63A3">
        <w:t>s fifth-largest trading partner, accounting for slightly under one third of EU-ASEAN trade in goods and services. Meanwhile the EU is the world leader in both exports and imports of digital services, and digital trade amounts to approximately 25% of all international trade and is growing at a faster pace than traditional trade. Today more than half of the trade in services between the EU and Singapore are digitally delivered. Against this backdrop it is important that the EUSFTA is complemented by an agreement on updated rules for digital trade, which is why negotiations for a modern, free-standing digital trade agreement were launched in July 2023 and concluded a year later.</w:t>
      </w:r>
    </w:p>
    <w:p w14:paraId="65B1F42C" w14:textId="501F1DCD" w:rsidR="009C36E5" w:rsidRPr="007A63A3" w:rsidRDefault="009C36E5" w:rsidP="009C36E5">
      <w:pPr>
        <w:widowControl/>
        <w:spacing w:before="120" w:after="120"/>
      </w:pPr>
      <w:r w:rsidRPr="007A63A3">
        <w:t>The EU-Singapore Digital Trade Agreement (EUSDTA) is the first stand-alone digital trade agreement that the EU has concluded with a partner country, and the first provisions on digital trade with an ASEAN country. The agreement reflects the EU</w:t>
      </w:r>
      <w:r w:rsidR="007A63A3">
        <w:t>’</w:t>
      </w:r>
      <w:r w:rsidRPr="007A63A3">
        <w:t xml:space="preserve">s ambition to establish modern digital trade rules with our global partners, as demonstrated in the digital trade chapters of recent free-trade agreements with the UK, Chile, and New Zealand, as well as the cross-border data flows agreement with Japan. </w:t>
      </w:r>
    </w:p>
    <w:p w14:paraId="1EF536BE" w14:textId="77777777" w:rsidR="009C36E5" w:rsidRPr="007A63A3" w:rsidRDefault="009C36E5" w:rsidP="009C36E5">
      <w:pPr>
        <w:widowControl/>
        <w:spacing w:before="120" w:after="120"/>
      </w:pPr>
      <w:r w:rsidRPr="007A63A3">
        <w:t>The EUSDTA aims to provide binding digital trade rules with the goal to enhance consumer trust, ensure legal certainty and predictability for businesses, and remove unjustified barriers to digital trade. The agreement ensures respect for fundamental rights, including the rights to privacy and personal data protection, while retaining the right for both parties to develop, implement and maintain policies to address emerging challenges in the digital economy. The agreement demonstrates the commitment of both parties to uphold open digital economies that are rules-based, competitive, transparent and fair, and it will further improve EU-Singapore relations, by strengthening bilateral economic links and support greater region-to-region digital connectivity between the EU and ASEAN.</w:t>
      </w:r>
    </w:p>
    <w:p w14:paraId="38E54C72" w14:textId="77777777" w:rsidR="009C36E5" w:rsidRPr="007A63A3" w:rsidRDefault="009C36E5" w:rsidP="009C36E5">
      <w:pPr>
        <w:widowControl/>
        <w:spacing w:before="120" w:after="120"/>
      </w:pPr>
      <w:r w:rsidRPr="007A63A3">
        <w:t>The agreement facilitates cross-border data flows, permanently bans customs duties on electronic transmissions between the EU and Singapore, prohibits authorisation requirements specifically targeting online services, and recognises the legal effect and validity of contracts concluded by electronic means. The agreement also ensures legal certainty for the use of electronic authentication services and protects natural and legal persons from mandatory source code disclosures, while retaining the right for authorities to require, when necessary, access to source code for legitimate reasons. It furthermore guarantees consumer protection online and protects users from spam, and includes a discipline on open government data. Additionally, the agreement encourages regulatory cooperation on issues related to digital trade, supports the cross-border interoperability of e-invoicing standards, promotes coordinated action in the area of cybersecurity and recognises the importance of cooperation regarding standards, technical regulations and conformity assessment procedures for digital goods and digital services.</w:t>
      </w:r>
    </w:p>
    <w:p w14:paraId="0F3ED22B" w14:textId="77777777" w:rsidR="009C36E5" w:rsidRPr="007A63A3" w:rsidRDefault="009C36E5" w:rsidP="009C36E5">
      <w:pPr>
        <w:widowControl/>
        <w:spacing w:before="120" w:after="120"/>
      </w:pPr>
      <w:r w:rsidRPr="007A63A3">
        <w:t xml:space="preserve">There have been some concerns that the provisions on access to source code, which are designed to avoid intellectual theft, might create an obstacle for authorities to ensure compliance with digital rules and other legislation. Another source for concern is the wording on data protection and cross-border data flows, which is feared to enable a weakening of fundamental rights such as privacy and data protection. </w:t>
      </w:r>
    </w:p>
    <w:p w14:paraId="511655C9" w14:textId="77777777" w:rsidR="009C36E5" w:rsidRPr="007A63A3" w:rsidRDefault="009C36E5" w:rsidP="009C36E5">
      <w:pPr>
        <w:widowControl/>
        <w:spacing w:before="120" w:after="120"/>
      </w:pPr>
      <w:r w:rsidRPr="007A63A3">
        <w:t>However, the European Commission has ensured that the agreement does not put the enforcement of EU legislation in jeopardy. The Commission has also underlined that similar provisions as those in the EUSDTA have been negotiated and included in agreements with the UK, Chile, New Zealand and, regarding data flows, with Japan. As these agreements have been applied in parallel to the EU negotiating and adopting new legislation in the digital sphere, there does not seem to be any substance to the concerns that the agreement would have a chilling effect on future EU legislation. On the contrary, this agreement is setting standards for digital trade, data flows, data protection and consumer rights online.</w:t>
      </w:r>
    </w:p>
    <w:p w14:paraId="6F2284BA" w14:textId="77777777" w:rsidR="009C36E5" w:rsidRPr="007A63A3" w:rsidRDefault="009C36E5" w:rsidP="009C36E5">
      <w:pPr>
        <w:widowControl/>
        <w:spacing w:before="120" w:after="120"/>
      </w:pPr>
      <w:r w:rsidRPr="007A63A3">
        <w:t>Finally, it is worth noting that the conclusion and signature of this agreement come at a time of great geopolitical shifts, when the multilateral rules-based order is being questioned and protectionism and isolationist ideas are overtaking the international trade landscape. This agreement does not only allow the EU to advance its vision for the digital economy and forming global rules for digital trade while strengthening our partnership with a strategic ally, but it also sends a signal that we are still interested in, and capable of, negotiating and concluding trade agreements.</w:t>
      </w:r>
    </w:p>
    <w:p w14:paraId="6F24CE6C" w14:textId="63E553EB" w:rsidR="00CC3A12" w:rsidRPr="007A63A3" w:rsidRDefault="00CC3A12">
      <w:pPr>
        <w:widowControl/>
        <w:rPr>
          <w:rFonts w:ascii="Arial" w:hAnsi="Arial" w:cs="Arial"/>
          <w:b/>
        </w:rPr>
      </w:pPr>
      <w:r w:rsidRPr="007A63A3">
        <w:br w:type="page"/>
      </w:r>
    </w:p>
    <w:p w14:paraId="76859F1B" w14:textId="6D4FFB89" w:rsidR="00D9416D" w:rsidRPr="007A63A3" w:rsidRDefault="00037AA5" w:rsidP="00037AA5">
      <w:pPr>
        <w:pStyle w:val="PageHeading"/>
      </w:pPr>
      <w:bookmarkStart w:id="5" w:name="_Toc202790784"/>
      <w:r w:rsidRPr="007A63A3">
        <w:t>ANNEX: ENTITIES OR PERSONS</w:t>
      </w:r>
      <w:r w:rsidRPr="007A63A3">
        <w:br/>
        <w:t>FROM WHOM THE RAPPORTEUR HAS RECEIVED INPUT</w:t>
      </w:r>
      <w:bookmarkStart w:id="6" w:name="iEnd"/>
      <w:bookmarkEnd w:id="6"/>
      <w:bookmarkEnd w:id="5"/>
    </w:p>
    <w:p w14:paraId="2A51800D" w14:textId="77777777" w:rsidR="00037AA5" w:rsidRPr="007A63A3" w:rsidRDefault="00037AA5" w:rsidP="00037AA5">
      <w:r w:rsidRPr="007A63A3">
        <w:t>Pursuant to Article 8 of Annex I to the Rules of Procedure, the rapporteur declares that she received input from the following entities or persons in the preparation of the draft report, prior to the adoption thereof in committee:</w:t>
      </w:r>
    </w:p>
    <w:p w14:paraId="13AA2D2B" w14:textId="77777777" w:rsidR="00037AA5" w:rsidRPr="007A63A3" w:rsidRDefault="00037AA5" w:rsidP="00037AA5"/>
    <w:tbl>
      <w:tblPr>
        <w:tblW w:w="9105" w:type="dxa"/>
        <w:tblInd w:w="98" w:type="dxa"/>
        <w:tblLayout w:type="fixed"/>
        <w:tblCellMar>
          <w:left w:w="0" w:type="dxa"/>
          <w:right w:w="0" w:type="dxa"/>
        </w:tblCellMar>
        <w:tblLook w:val="01E0" w:firstRow="1" w:lastRow="1" w:firstColumn="1" w:lastColumn="1" w:noHBand="0" w:noVBand="0"/>
      </w:tblPr>
      <w:tblGrid>
        <w:gridCol w:w="9105"/>
      </w:tblGrid>
      <w:tr w:rsidR="00037AA5" w:rsidRPr="007A63A3" w14:paraId="7341A9BF" w14:textId="77777777" w:rsidTr="00037AA5">
        <w:trPr>
          <w:trHeight w:val="355"/>
        </w:trPr>
        <w:tc>
          <w:tcPr>
            <w:tcW w:w="9111" w:type="dxa"/>
            <w:tcBorders>
              <w:top w:val="single" w:sz="4" w:space="0" w:color="000000"/>
              <w:left w:val="single" w:sz="4" w:space="0" w:color="000000"/>
              <w:bottom w:val="single" w:sz="4" w:space="0" w:color="000000"/>
              <w:right w:val="single" w:sz="4" w:space="0" w:color="000000"/>
            </w:tcBorders>
            <w:hideMark/>
          </w:tcPr>
          <w:p w14:paraId="0293982D" w14:textId="77777777" w:rsidR="00037AA5" w:rsidRPr="007A63A3" w:rsidRDefault="00037AA5" w:rsidP="00037AA5">
            <w:pPr>
              <w:rPr>
                <w:b/>
              </w:rPr>
            </w:pPr>
            <w:r w:rsidRPr="007A63A3">
              <w:rPr>
                <w:b/>
              </w:rPr>
              <w:t>Entity and/or person</w:t>
            </w:r>
          </w:p>
        </w:tc>
      </w:tr>
      <w:tr w:rsidR="00037AA5" w:rsidRPr="007A63A3" w14:paraId="33EA57A8" w14:textId="77777777" w:rsidTr="00037AA5">
        <w:trPr>
          <w:trHeight w:val="278"/>
        </w:trPr>
        <w:tc>
          <w:tcPr>
            <w:tcW w:w="9111" w:type="dxa"/>
            <w:tcBorders>
              <w:top w:val="single" w:sz="4" w:space="0" w:color="000000"/>
              <w:left w:val="single" w:sz="4" w:space="0" w:color="000000"/>
              <w:bottom w:val="single" w:sz="4" w:space="0" w:color="000000"/>
              <w:right w:val="single" w:sz="4" w:space="0" w:color="000000"/>
            </w:tcBorders>
            <w:hideMark/>
          </w:tcPr>
          <w:p w14:paraId="3919F575" w14:textId="33DC7F23" w:rsidR="00037AA5" w:rsidRPr="007A63A3" w:rsidRDefault="009C36E5" w:rsidP="00037AA5">
            <w:pPr>
              <w:rPr>
                <w:bCs/>
              </w:rPr>
            </w:pPr>
            <w:r w:rsidRPr="007A63A3">
              <w:rPr>
                <w:bCs/>
              </w:rPr>
              <w:t>European Digital Rights (EDRi)</w:t>
            </w:r>
          </w:p>
        </w:tc>
      </w:tr>
      <w:tr w:rsidR="009C36E5" w:rsidRPr="007A63A3" w14:paraId="7CBED464" w14:textId="77777777" w:rsidTr="00037AA5">
        <w:trPr>
          <w:trHeight w:val="278"/>
        </w:trPr>
        <w:tc>
          <w:tcPr>
            <w:tcW w:w="9111" w:type="dxa"/>
            <w:tcBorders>
              <w:top w:val="single" w:sz="4" w:space="0" w:color="000000"/>
              <w:left w:val="single" w:sz="4" w:space="0" w:color="000000"/>
              <w:bottom w:val="single" w:sz="4" w:space="0" w:color="000000"/>
              <w:right w:val="single" w:sz="4" w:space="0" w:color="000000"/>
            </w:tcBorders>
          </w:tcPr>
          <w:p w14:paraId="183D24F0" w14:textId="7DA1FA3B" w:rsidR="009C36E5" w:rsidRPr="007A63A3" w:rsidRDefault="009C36E5" w:rsidP="00037AA5">
            <w:pPr>
              <w:rPr>
                <w:bCs/>
              </w:rPr>
            </w:pPr>
            <w:r w:rsidRPr="007A63A3">
              <w:rPr>
                <w:bCs/>
              </w:rPr>
              <w:t>BEUC - The European Consumer Organisation</w:t>
            </w:r>
          </w:p>
        </w:tc>
      </w:tr>
      <w:tr w:rsidR="009C36E5" w:rsidRPr="007A63A3" w14:paraId="256C9FBA" w14:textId="77777777" w:rsidTr="00037AA5">
        <w:trPr>
          <w:trHeight w:val="278"/>
        </w:trPr>
        <w:tc>
          <w:tcPr>
            <w:tcW w:w="9111" w:type="dxa"/>
            <w:tcBorders>
              <w:top w:val="single" w:sz="4" w:space="0" w:color="000000"/>
              <w:left w:val="single" w:sz="4" w:space="0" w:color="000000"/>
              <w:bottom w:val="single" w:sz="4" w:space="0" w:color="000000"/>
              <w:right w:val="single" w:sz="4" w:space="0" w:color="000000"/>
            </w:tcBorders>
          </w:tcPr>
          <w:p w14:paraId="18F5B6A5" w14:textId="1AE3B063" w:rsidR="009C36E5" w:rsidRPr="007A63A3" w:rsidRDefault="009C36E5" w:rsidP="00037AA5">
            <w:pPr>
              <w:rPr>
                <w:bCs/>
              </w:rPr>
            </w:pPr>
            <w:r w:rsidRPr="007A63A3">
              <w:rPr>
                <w:bCs/>
              </w:rPr>
              <w:t>Mission of the Republic of Singapore to the European Union</w:t>
            </w:r>
          </w:p>
        </w:tc>
      </w:tr>
    </w:tbl>
    <w:p w14:paraId="40318CD1" w14:textId="77777777" w:rsidR="00037AA5" w:rsidRPr="007A63A3" w:rsidRDefault="00037AA5" w:rsidP="00037AA5"/>
    <w:p w14:paraId="47F3FE06" w14:textId="77777777" w:rsidR="00037AA5" w:rsidRPr="007A63A3" w:rsidRDefault="00037AA5" w:rsidP="00037AA5">
      <w:r w:rsidRPr="007A63A3">
        <w:t>The list above is drawn up under the exclusive responsibility of the rapporteur.</w:t>
      </w:r>
    </w:p>
    <w:p w14:paraId="76650CAF" w14:textId="77777777" w:rsidR="00037AA5" w:rsidRPr="007A63A3" w:rsidRDefault="00037AA5" w:rsidP="00037AA5"/>
    <w:p w14:paraId="1DA493FB" w14:textId="75DFB8B0" w:rsidR="00037AA5" w:rsidRPr="007A63A3" w:rsidRDefault="00037AA5" w:rsidP="00037AA5">
      <w:r w:rsidRPr="007A63A3">
        <w:t>Where natural persons are identified in the list by their name, by their function or by both, the rapporteur declares that she has submitted to the natural persons concerned the European Parliament</w:t>
      </w:r>
      <w:r w:rsidR="007A63A3">
        <w:t>’</w:t>
      </w:r>
      <w:r w:rsidRPr="007A63A3">
        <w:t>s Data Protection Notice No 484 (https://www.europarl.europa.eu/data-protect/index.do), which sets out the conditions applicable to the processing of their personal data and the rights linked to that processing.</w:t>
      </w:r>
    </w:p>
    <w:p w14:paraId="4DCDC825" w14:textId="77777777" w:rsidR="00037AA5" w:rsidRPr="007A63A3" w:rsidRDefault="00037AA5" w:rsidP="00037AA5"/>
    <w:p w14:paraId="040F35E4" w14:textId="77777777" w:rsidR="008544DE" w:rsidRPr="007A63A3" w:rsidRDefault="008544DE" w:rsidP="008544DE"/>
    <w:sectPr w:rsidR="008544DE" w:rsidRPr="007A63A3" w:rsidSect="00037AA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49928E" w14:textId="77777777" w:rsidR="001F1BDF" w:rsidRPr="007A63A3" w:rsidRDefault="001F1BDF">
      <w:r w:rsidRPr="007A63A3">
        <w:separator/>
      </w:r>
    </w:p>
  </w:endnote>
  <w:endnote w:type="continuationSeparator" w:id="0">
    <w:p w14:paraId="2ECDDA0B" w14:textId="77777777" w:rsidR="001F1BDF" w:rsidRPr="007A63A3" w:rsidRDefault="001F1BDF">
      <w:r w:rsidRPr="007A63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700D8" w14:textId="3E4EE11F" w:rsidR="004A65CA" w:rsidRPr="007A63A3" w:rsidRDefault="004A65CA" w:rsidP="004A65CA">
    <w:pPr>
      <w:pStyle w:val="EPFooter"/>
      <w:rPr>
        <w:lang w:val="fr-FR"/>
      </w:rPr>
    </w:pPr>
    <w:r w:rsidRPr="007A63A3">
      <w:rPr>
        <w:lang w:val="fr-FR"/>
      </w:rPr>
      <w:t>PE</w:t>
    </w:r>
    <w:r w:rsidRPr="007A63A3">
      <w:rPr>
        <w:rStyle w:val="HideTWBExt"/>
        <w:lang w:val="fr-FR"/>
      </w:rPr>
      <w:t>&lt;NoPE&gt;</w:t>
    </w:r>
    <w:r w:rsidRPr="007A63A3">
      <w:rPr>
        <w:lang w:val="fr-FR"/>
      </w:rPr>
      <w:t>774.429</w:t>
    </w:r>
    <w:r w:rsidRPr="007A63A3">
      <w:rPr>
        <w:rStyle w:val="HideTWBExt"/>
        <w:lang w:val="fr-FR"/>
      </w:rPr>
      <w:t>&lt;/NoPE&gt;&lt;Version&gt;</w:t>
    </w:r>
    <w:r w:rsidRPr="007A63A3">
      <w:rPr>
        <w:lang w:val="fr-FR"/>
      </w:rPr>
      <w:t>v01-00</w:t>
    </w:r>
    <w:r w:rsidRPr="007A63A3">
      <w:rPr>
        <w:rStyle w:val="HideTWBExt"/>
        <w:lang w:val="fr-FR"/>
      </w:rPr>
      <w:t>&lt;/Version&gt;</w:t>
    </w:r>
    <w:r w:rsidRPr="007A63A3">
      <w:rPr>
        <w:lang w:val="fr-FR"/>
      </w:rPr>
      <w:tab/>
    </w:r>
    <w:r w:rsidRPr="007A63A3">
      <w:fldChar w:fldCharType="begin"/>
    </w:r>
    <w:r w:rsidRPr="007A63A3">
      <w:rPr>
        <w:lang w:val="fr-FR"/>
      </w:rPr>
      <w:instrText xml:space="preserve"> PAGE  \* MERGEFORMAT </w:instrText>
    </w:r>
    <w:r w:rsidRPr="007A63A3">
      <w:fldChar w:fldCharType="separate"/>
    </w:r>
    <w:r w:rsidR="003337D5">
      <w:rPr>
        <w:noProof/>
        <w:lang w:val="fr-FR"/>
      </w:rPr>
      <w:t>4</w:t>
    </w:r>
    <w:r w:rsidRPr="007A63A3">
      <w:fldChar w:fldCharType="end"/>
    </w:r>
    <w:r w:rsidRPr="007A63A3">
      <w:rPr>
        <w:lang w:val="fr-FR"/>
      </w:rPr>
      <w:t>/</w:t>
    </w:r>
    <w:r w:rsidR="00DA5688" w:rsidRPr="007A63A3">
      <w:fldChar w:fldCharType="begin"/>
    </w:r>
    <w:r w:rsidR="00DA5688" w:rsidRPr="007A63A3">
      <w:rPr>
        <w:lang w:val="fr-FR"/>
      </w:rPr>
      <w:instrText xml:space="preserve"> NUMPAGES  \* MERGEFORMAT </w:instrText>
    </w:r>
    <w:r w:rsidR="00DA5688" w:rsidRPr="007A63A3">
      <w:fldChar w:fldCharType="separate"/>
    </w:r>
    <w:r w:rsidR="003337D5">
      <w:rPr>
        <w:noProof/>
        <w:lang w:val="fr-FR"/>
      </w:rPr>
      <w:t>6</w:t>
    </w:r>
    <w:r w:rsidR="00DA5688" w:rsidRPr="007A63A3">
      <w:rPr>
        <w:noProof/>
      </w:rPr>
      <w:fldChar w:fldCharType="end"/>
    </w:r>
    <w:r w:rsidRPr="007A63A3">
      <w:rPr>
        <w:lang w:val="fr-FR"/>
      </w:rPr>
      <w:tab/>
    </w:r>
    <w:r w:rsidRPr="007A63A3">
      <w:rPr>
        <w:rStyle w:val="HideTWBExt"/>
        <w:lang w:val="fr-FR"/>
      </w:rPr>
      <w:t>&lt;PathFdR&gt;</w:t>
    </w:r>
    <w:r w:rsidR="004F748B" w:rsidRPr="007A63A3">
      <w:rPr>
        <w:lang w:val="fr-FR"/>
      </w:rPr>
      <w:t>PR\1322796EN.docx</w:t>
    </w:r>
    <w:r w:rsidRPr="007A63A3">
      <w:rPr>
        <w:rStyle w:val="HideTWBExt"/>
        <w:lang w:val="fr-FR"/>
      </w:rPr>
      <w:t>&lt;/PathFdR&gt;</w:t>
    </w:r>
  </w:p>
  <w:p w14:paraId="18CB773F" w14:textId="671213FF" w:rsidR="0085501C" w:rsidRPr="007A63A3" w:rsidRDefault="004A65CA" w:rsidP="004A65CA">
    <w:pPr>
      <w:pStyle w:val="EPFooter2"/>
    </w:pPr>
    <w:r w:rsidRPr="007A63A3">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C13A0" w14:textId="648AF4B1" w:rsidR="004A65CA" w:rsidRPr="007A63A3" w:rsidRDefault="004A65CA" w:rsidP="004A65CA">
    <w:pPr>
      <w:pStyle w:val="EPFooter"/>
    </w:pPr>
    <w:r w:rsidRPr="007A63A3">
      <w:rPr>
        <w:rStyle w:val="HideTWBExt"/>
      </w:rPr>
      <w:t>&lt;PathFdR&gt;</w:t>
    </w:r>
    <w:r w:rsidR="004F748B" w:rsidRPr="007A63A3">
      <w:t>PR\1322796EN.docx</w:t>
    </w:r>
    <w:r w:rsidRPr="007A63A3">
      <w:rPr>
        <w:rStyle w:val="HideTWBExt"/>
      </w:rPr>
      <w:t>&lt;/PathFdR&gt;</w:t>
    </w:r>
    <w:r w:rsidRPr="007A63A3">
      <w:tab/>
    </w:r>
    <w:r w:rsidRPr="007A63A3">
      <w:fldChar w:fldCharType="begin"/>
    </w:r>
    <w:r w:rsidRPr="007A63A3">
      <w:instrText xml:space="preserve"> PAGE  \* MERGEFORMAT </w:instrText>
    </w:r>
    <w:r w:rsidRPr="007A63A3">
      <w:fldChar w:fldCharType="separate"/>
    </w:r>
    <w:r w:rsidR="003337D5">
      <w:rPr>
        <w:noProof/>
      </w:rPr>
      <w:t>5</w:t>
    </w:r>
    <w:r w:rsidRPr="007A63A3">
      <w:fldChar w:fldCharType="end"/>
    </w:r>
    <w:r w:rsidRPr="007A63A3">
      <w:t>/</w:t>
    </w:r>
    <w:r w:rsidR="003337D5" w:rsidRPr="007A63A3">
      <w:fldChar w:fldCharType="begin"/>
    </w:r>
    <w:r w:rsidR="003337D5" w:rsidRPr="007A63A3">
      <w:instrText xml:space="preserve"> NUMPAGES  \* MERGEFORMAT </w:instrText>
    </w:r>
    <w:r w:rsidR="003337D5" w:rsidRPr="007A63A3">
      <w:fldChar w:fldCharType="separate"/>
    </w:r>
    <w:r w:rsidR="003337D5">
      <w:rPr>
        <w:noProof/>
      </w:rPr>
      <w:t>6</w:t>
    </w:r>
    <w:r w:rsidR="003337D5" w:rsidRPr="007A63A3">
      <w:rPr>
        <w:noProof/>
      </w:rPr>
      <w:fldChar w:fldCharType="end"/>
    </w:r>
    <w:r w:rsidRPr="007A63A3">
      <w:tab/>
      <w:t>PE</w:t>
    </w:r>
    <w:r w:rsidRPr="007A63A3">
      <w:rPr>
        <w:rStyle w:val="HideTWBExt"/>
      </w:rPr>
      <w:t>&lt;NoPE&gt;</w:t>
    </w:r>
    <w:r w:rsidRPr="007A63A3">
      <w:t>774.429</w:t>
    </w:r>
    <w:r w:rsidRPr="007A63A3">
      <w:rPr>
        <w:rStyle w:val="HideTWBExt"/>
      </w:rPr>
      <w:t>&lt;/NoPE&gt;&lt;Version&gt;</w:t>
    </w:r>
    <w:r w:rsidRPr="007A63A3">
      <w:t>v01-00</w:t>
    </w:r>
    <w:r w:rsidRPr="007A63A3">
      <w:rPr>
        <w:rStyle w:val="HideTWBExt"/>
      </w:rPr>
      <w:t>&lt;/Version&gt;</w:t>
    </w:r>
  </w:p>
  <w:p w14:paraId="6513D82A" w14:textId="58F3002F" w:rsidR="0085501C" w:rsidRPr="007A63A3" w:rsidRDefault="004A65CA" w:rsidP="004A65CA">
    <w:pPr>
      <w:pStyle w:val="EPFooter2"/>
    </w:pPr>
    <w:r w:rsidRPr="007A63A3">
      <w:tab/>
    </w:r>
    <w:r w:rsidRPr="007A63A3">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585AF" w14:textId="7C83E585" w:rsidR="004A65CA" w:rsidRPr="007A63A3" w:rsidRDefault="004A65CA" w:rsidP="004A65CA">
    <w:pPr>
      <w:pStyle w:val="EPFooter"/>
    </w:pPr>
    <w:r w:rsidRPr="007A63A3">
      <w:rPr>
        <w:rStyle w:val="HideTWBExt"/>
      </w:rPr>
      <w:t>&lt;PathFdR&gt;</w:t>
    </w:r>
    <w:r w:rsidR="004F748B" w:rsidRPr="007A63A3">
      <w:t>PR\1322796EN.docx</w:t>
    </w:r>
    <w:r w:rsidRPr="007A63A3">
      <w:rPr>
        <w:rStyle w:val="HideTWBExt"/>
      </w:rPr>
      <w:t>&lt;/PathFdR&gt;</w:t>
    </w:r>
    <w:r w:rsidRPr="007A63A3">
      <w:tab/>
    </w:r>
    <w:r w:rsidRPr="007A63A3">
      <w:tab/>
      <w:t>PE</w:t>
    </w:r>
    <w:r w:rsidRPr="007A63A3">
      <w:rPr>
        <w:rStyle w:val="HideTWBExt"/>
      </w:rPr>
      <w:t>&lt;NoPE&gt;</w:t>
    </w:r>
    <w:r w:rsidRPr="007A63A3">
      <w:t>774.429</w:t>
    </w:r>
    <w:r w:rsidRPr="007A63A3">
      <w:rPr>
        <w:rStyle w:val="HideTWBExt"/>
      </w:rPr>
      <w:t>&lt;/NoPE&gt;&lt;Version&gt;</w:t>
    </w:r>
    <w:r w:rsidRPr="007A63A3">
      <w:t>v01-00</w:t>
    </w:r>
    <w:r w:rsidRPr="007A63A3">
      <w:rPr>
        <w:rStyle w:val="HideTWBExt"/>
      </w:rPr>
      <w:t>&lt;/Version&gt;</w:t>
    </w:r>
  </w:p>
  <w:p w14:paraId="3F24274B" w14:textId="4EF4EF9E" w:rsidR="0085501C" w:rsidRPr="007A63A3" w:rsidRDefault="004A65CA" w:rsidP="004A65CA">
    <w:pPr>
      <w:pStyle w:val="EPFooter2"/>
    </w:pPr>
    <w:r w:rsidRPr="007A63A3">
      <w:t>EN</w:t>
    </w:r>
    <w:r w:rsidRPr="007A63A3">
      <w:tab/>
    </w:r>
    <w:r w:rsidRPr="007A63A3">
      <w:rPr>
        <w:b w:val="0"/>
        <w:i/>
        <w:color w:val="C0C0C0"/>
        <w:sz w:val="22"/>
      </w:rPr>
      <w:t>United in diversity</w:t>
    </w:r>
    <w:r w:rsidRPr="007A63A3">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8631FC" w14:textId="77777777" w:rsidR="001F1BDF" w:rsidRPr="007A63A3" w:rsidRDefault="001F1BDF">
      <w:r w:rsidRPr="007A63A3">
        <w:separator/>
      </w:r>
    </w:p>
  </w:footnote>
  <w:footnote w:type="continuationSeparator" w:id="0">
    <w:p w14:paraId="5C7DB9C9" w14:textId="77777777" w:rsidR="001F1BDF" w:rsidRPr="007A63A3" w:rsidRDefault="001F1BDF">
      <w:r w:rsidRPr="007A63A3">
        <w:continuationSeparator/>
      </w:r>
    </w:p>
  </w:footnote>
  <w:footnote w:id="1">
    <w:p w14:paraId="4AF61DFE" w14:textId="0A307221" w:rsidR="00FB3319" w:rsidRPr="007A63A3" w:rsidRDefault="00FB3319">
      <w:pPr>
        <w:pStyle w:val="FootnoteText"/>
      </w:pPr>
      <w:r w:rsidRPr="007A63A3">
        <w:rPr>
          <w:rStyle w:val="FootnoteReference"/>
        </w:rPr>
        <w:footnoteRef/>
      </w:r>
      <w:r w:rsidRPr="007A63A3">
        <w:t xml:space="preserve"> </w:t>
      </w:r>
      <w:r w:rsidRPr="007A63A3">
        <w:tab/>
        <w:t xml:space="preserve">Opinion 2/15 of the Court </w:t>
      </w:r>
      <w:r w:rsidR="004051CE" w:rsidRPr="007A63A3">
        <w:t>of Justice</w:t>
      </w:r>
      <w:r w:rsidRPr="007A63A3">
        <w:t xml:space="preserve"> of 16 May 2017; ECLI:EU:C:2017:376.</w:t>
      </w:r>
    </w:p>
  </w:footnote>
  <w:footnote w:id="2">
    <w:p w14:paraId="521C6817" w14:textId="297F4761" w:rsidR="009C36E5" w:rsidRPr="007A63A3" w:rsidRDefault="009C36E5" w:rsidP="005873B5">
      <w:pPr>
        <w:pStyle w:val="FootnoteText"/>
      </w:pPr>
      <w:r w:rsidRPr="007A63A3">
        <w:rPr>
          <w:rStyle w:val="FootnoteReference"/>
        </w:rPr>
        <w:footnoteRef/>
      </w:r>
      <w:r w:rsidRPr="007A63A3">
        <w:tab/>
        <w:t>https://digital-strategy.ec.europa.eu/en/library/eu-singapore-digital-partnership</w:t>
      </w:r>
      <w:r w:rsidR="005D5317" w:rsidRPr="007A63A3">
        <w:t>.</w:t>
      </w:r>
    </w:p>
  </w:footnote>
  <w:footnote w:id="3">
    <w:p w14:paraId="26D20A9B" w14:textId="5F75E533" w:rsidR="009C36E5" w:rsidRPr="007A63A3" w:rsidRDefault="009C36E5" w:rsidP="005873B5">
      <w:pPr>
        <w:pStyle w:val="FootnoteText"/>
      </w:pPr>
      <w:r w:rsidRPr="007A63A3">
        <w:rPr>
          <w:rStyle w:val="FootnoteReference"/>
        </w:rPr>
        <w:footnoteRef/>
      </w:r>
      <w:r w:rsidRPr="007A63A3">
        <w:rPr>
          <w:rStyle w:val="FootnoteReference"/>
        </w:rPr>
        <w:t xml:space="preserve"> </w:t>
      </w:r>
      <w:r w:rsidRPr="007A63A3">
        <w:tab/>
        <w:t xml:space="preserve">OJ C 449, 23.12.2020, </w:t>
      </w:r>
      <w:r w:rsidR="00215C00" w:rsidRPr="007A63A3">
        <w:t>p. 341</w:t>
      </w:r>
      <w:r w:rsidRPr="007A63A3">
        <w:t xml:space="preserve">. </w:t>
      </w:r>
    </w:p>
  </w:footnote>
  <w:footnote w:id="4">
    <w:p w14:paraId="62EDA463" w14:textId="4DE596B4" w:rsidR="009C36E5" w:rsidRPr="007A63A3" w:rsidRDefault="009C36E5" w:rsidP="005873B5">
      <w:pPr>
        <w:pStyle w:val="FootnoteText"/>
        <w:rPr>
          <w:i/>
          <w:iCs/>
        </w:rPr>
      </w:pPr>
      <w:r w:rsidRPr="007A63A3">
        <w:rPr>
          <w:rStyle w:val="FootnoteReference"/>
        </w:rPr>
        <w:footnoteRef/>
      </w:r>
      <w:r w:rsidRPr="007A63A3">
        <w:rPr>
          <w:rStyle w:val="FootnoteReference"/>
        </w:rPr>
        <w:t xml:space="preserve"> </w:t>
      </w:r>
      <w:r w:rsidRPr="007A63A3">
        <w:rPr>
          <w:rStyle w:val="Emphasis"/>
        </w:rPr>
        <w:tab/>
      </w:r>
      <w:r w:rsidRPr="007A63A3">
        <w:rPr>
          <w:rStyle w:val="Emphasis"/>
          <w:i w:val="0"/>
          <w:iCs w:val="0"/>
        </w:rPr>
        <w:t>OJ C 101, 16.3.2018, p. 30</w:t>
      </w:r>
      <w:r w:rsidRPr="007A63A3">
        <w:rPr>
          <w:i/>
          <w:iCs/>
        </w:rPr>
        <w:t>.</w:t>
      </w:r>
    </w:p>
  </w:footnote>
  <w:footnote w:id="5">
    <w:p w14:paraId="51C86020" w14:textId="7BD34F6E" w:rsidR="009C36E5" w:rsidRPr="007A63A3" w:rsidRDefault="009C36E5" w:rsidP="005873B5">
      <w:pPr>
        <w:pStyle w:val="FootnoteText"/>
      </w:pPr>
      <w:r w:rsidRPr="007A63A3">
        <w:rPr>
          <w:rStyle w:val="FootnoteReference"/>
        </w:rPr>
        <w:footnoteRef/>
      </w:r>
      <w:r w:rsidRPr="007A63A3">
        <w:rPr>
          <w:rStyle w:val="FootnoteReference"/>
        </w:rPr>
        <w:t xml:space="preserve"> </w:t>
      </w:r>
      <w:r w:rsidRPr="007A63A3">
        <w:tab/>
        <w:t>Texts adopted, P10_TA(2025)0000.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PMNU" w:val=" 2"/>
    <w:docVar w:name="CIT1MNU" w:val=" 4"/>
    <w:docVar w:name="CIT2MNU" w:val=" 4"/>
    <w:docVar w:name="CIT3MNU" w:val=" 4"/>
    <w:docVar w:name="CODEMNU" w:val=" 3"/>
    <w:docVar w:name="COMKEY" w:val="INTA"/>
    <w:docVar w:name="CopyToNetwork" w:val="-1"/>
    <w:docVar w:name="LastEditedSection" w:val=" 1"/>
    <w:docVar w:name="strDocTypeID" w:val="PR_Consent_Motion"/>
    <w:docVar w:name="strSubDir" w:val="1322"/>
    <w:docVar w:name="TITLENLE2MNU" w:val=" 2"/>
    <w:docVar w:name="TXTLANGUE" w:val="EN"/>
    <w:docVar w:name="TXTLANGUEMIN" w:val="en"/>
    <w:docVar w:name="TXTNRC" w:val="0094/2025"/>
    <w:docVar w:name="TXTNRCOUNC" w:val="05853/2025"/>
    <w:docVar w:name="TXTNRPE" w:val="774.429"/>
    <w:docVar w:name="TXTNRPROC" w:val="2025/0009"/>
    <w:docVar w:name="TXTPEorAP" w:val="PE"/>
    <w:docVar w:name="TXTROUTE" w:val="PR\1322796EN.docx"/>
    <w:docVar w:name="TXTTITLE" w:val="XX"/>
    <w:docVar w:name="TXTVERSION" w:val="01-00"/>
  </w:docVars>
  <w:rsids>
    <w:rsidRoot w:val="001F1BDF"/>
    <w:rsid w:val="0000361A"/>
    <w:rsid w:val="0000443F"/>
    <w:rsid w:val="00006A25"/>
    <w:rsid w:val="000128A4"/>
    <w:rsid w:val="00037AA5"/>
    <w:rsid w:val="00044034"/>
    <w:rsid w:val="00061759"/>
    <w:rsid w:val="00064665"/>
    <w:rsid w:val="0006484E"/>
    <w:rsid w:val="000C123D"/>
    <w:rsid w:val="00146B4A"/>
    <w:rsid w:val="001472CC"/>
    <w:rsid w:val="00172C59"/>
    <w:rsid w:val="00180664"/>
    <w:rsid w:val="0019436E"/>
    <w:rsid w:val="00197326"/>
    <w:rsid w:val="001B1C23"/>
    <w:rsid w:val="001C5935"/>
    <w:rsid w:val="001D02E3"/>
    <w:rsid w:val="001E1AE2"/>
    <w:rsid w:val="001F1BDF"/>
    <w:rsid w:val="00215C00"/>
    <w:rsid w:val="002E2E20"/>
    <w:rsid w:val="003072BE"/>
    <w:rsid w:val="00310CF7"/>
    <w:rsid w:val="0032780D"/>
    <w:rsid w:val="0033134C"/>
    <w:rsid w:val="003337D5"/>
    <w:rsid w:val="00345230"/>
    <w:rsid w:val="00363B94"/>
    <w:rsid w:val="003765E5"/>
    <w:rsid w:val="0038004C"/>
    <w:rsid w:val="00384848"/>
    <w:rsid w:val="00390C55"/>
    <w:rsid w:val="003D540D"/>
    <w:rsid w:val="003F750F"/>
    <w:rsid w:val="004051CE"/>
    <w:rsid w:val="00412312"/>
    <w:rsid w:val="004174FC"/>
    <w:rsid w:val="004373F0"/>
    <w:rsid w:val="00460749"/>
    <w:rsid w:val="00460BD6"/>
    <w:rsid w:val="004859B3"/>
    <w:rsid w:val="004974AF"/>
    <w:rsid w:val="004A65CA"/>
    <w:rsid w:val="004D1686"/>
    <w:rsid w:val="004E1650"/>
    <w:rsid w:val="004F29E7"/>
    <w:rsid w:val="004F748B"/>
    <w:rsid w:val="005873B5"/>
    <w:rsid w:val="00592084"/>
    <w:rsid w:val="005D0B97"/>
    <w:rsid w:val="005D50F9"/>
    <w:rsid w:val="005D5317"/>
    <w:rsid w:val="005E5F40"/>
    <w:rsid w:val="005F5D6C"/>
    <w:rsid w:val="006132CE"/>
    <w:rsid w:val="0063027E"/>
    <w:rsid w:val="00652AD6"/>
    <w:rsid w:val="00666488"/>
    <w:rsid w:val="006775BC"/>
    <w:rsid w:val="0069190B"/>
    <w:rsid w:val="00694C12"/>
    <w:rsid w:val="006A2CF5"/>
    <w:rsid w:val="006D1130"/>
    <w:rsid w:val="006D3839"/>
    <w:rsid w:val="00715DF3"/>
    <w:rsid w:val="007370DF"/>
    <w:rsid w:val="0075702D"/>
    <w:rsid w:val="00772570"/>
    <w:rsid w:val="0078107C"/>
    <w:rsid w:val="00791FE8"/>
    <w:rsid w:val="007A63A3"/>
    <w:rsid w:val="007C6B2C"/>
    <w:rsid w:val="0080122F"/>
    <w:rsid w:val="00802F8B"/>
    <w:rsid w:val="008368CB"/>
    <w:rsid w:val="00843D3B"/>
    <w:rsid w:val="008544DE"/>
    <w:rsid w:val="0085501C"/>
    <w:rsid w:val="00871A15"/>
    <w:rsid w:val="0087745A"/>
    <w:rsid w:val="008865DD"/>
    <w:rsid w:val="00892627"/>
    <w:rsid w:val="008947E9"/>
    <w:rsid w:val="008A4452"/>
    <w:rsid w:val="008B00C4"/>
    <w:rsid w:val="008C2BFA"/>
    <w:rsid w:val="008C39BE"/>
    <w:rsid w:val="008D3030"/>
    <w:rsid w:val="008E322F"/>
    <w:rsid w:val="008E5314"/>
    <w:rsid w:val="008E596D"/>
    <w:rsid w:val="009040B7"/>
    <w:rsid w:val="00924EE0"/>
    <w:rsid w:val="00925477"/>
    <w:rsid w:val="00937BA9"/>
    <w:rsid w:val="009612AA"/>
    <w:rsid w:val="00973BE2"/>
    <w:rsid w:val="009B3B05"/>
    <w:rsid w:val="009B6F40"/>
    <w:rsid w:val="009C36E5"/>
    <w:rsid w:val="009D73CE"/>
    <w:rsid w:val="009E4BAB"/>
    <w:rsid w:val="00A07A05"/>
    <w:rsid w:val="00A14A15"/>
    <w:rsid w:val="00A26973"/>
    <w:rsid w:val="00A26BC7"/>
    <w:rsid w:val="00A916D9"/>
    <w:rsid w:val="00AB39B7"/>
    <w:rsid w:val="00AC41F1"/>
    <w:rsid w:val="00B22120"/>
    <w:rsid w:val="00B31D18"/>
    <w:rsid w:val="00B37BF5"/>
    <w:rsid w:val="00B42885"/>
    <w:rsid w:val="00B50C20"/>
    <w:rsid w:val="00B978B4"/>
    <w:rsid w:val="00BB41C8"/>
    <w:rsid w:val="00BE3BE6"/>
    <w:rsid w:val="00BE5E72"/>
    <w:rsid w:val="00BF0A0F"/>
    <w:rsid w:val="00BF2E15"/>
    <w:rsid w:val="00BF7F55"/>
    <w:rsid w:val="00C15447"/>
    <w:rsid w:val="00C21A10"/>
    <w:rsid w:val="00C2271E"/>
    <w:rsid w:val="00C4269E"/>
    <w:rsid w:val="00CC3A12"/>
    <w:rsid w:val="00CD6754"/>
    <w:rsid w:val="00CF44DF"/>
    <w:rsid w:val="00D04E0B"/>
    <w:rsid w:val="00D20771"/>
    <w:rsid w:val="00D32578"/>
    <w:rsid w:val="00D62DA0"/>
    <w:rsid w:val="00D9416D"/>
    <w:rsid w:val="00DA5688"/>
    <w:rsid w:val="00DC3166"/>
    <w:rsid w:val="00E15DB5"/>
    <w:rsid w:val="00E20F34"/>
    <w:rsid w:val="00E71368"/>
    <w:rsid w:val="00E9187B"/>
    <w:rsid w:val="00E93816"/>
    <w:rsid w:val="00EA57BF"/>
    <w:rsid w:val="00EF48F2"/>
    <w:rsid w:val="00F215DE"/>
    <w:rsid w:val="00F647F9"/>
    <w:rsid w:val="00F731BD"/>
    <w:rsid w:val="00F90C4A"/>
    <w:rsid w:val="00FB3319"/>
    <w:rsid w:val="00FD1BB5"/>
    <w:rsid w:val="00FE385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96A9F5"/>
  <w15:chartTrackingRefBased/>
  <w15:docId w15:val="{4FB18199-A968-47BC-BBF2-715C1D560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84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07A05"/>
    <w:pPr>
      <w:spacing w:before="480" w:after="240"/>
    </w:pPr>
  </w:style>
  <w:style w:type="paragraph" w:styleId="TOC1">
    <w:name w:val="toc 1"/>
    <w:basedOn w:val="Normal"/>
    <w:next w:val="Normal"/>
    <w:autoRedefine/>
    <w:uiPriority w:val="39"/>
    <w:rsid w:val="009B6F40"/>
    <w:pPr>
      <w:spacing w:after="240"/>
    </w:pPr>
  </w:style>
  <w:style w:type="paragraph" w:styleId="TOCHeading">
    <w:name w:val="TOC Heading"/>
    <w:basedOn w:val="Normal"/>
    <w:next w:val="TOCPage"/>
    <w:pPr>
      <w:keepNext/>
      <w:spacing w:before="240" w:after="240"/>
      <w:jc w:val="center"/>
    </w:pPr>
    <w:rPr>
      <w:rFonts w:ascii="Arial" w:hAnsi="Arial"/>
      <w:b/>
    </w:rPr>
  </w:style>
  <w:style w:type="paragraph" w:customStyle="1" w:styleId="TOCPage">
    <w:name w:val="TOC Page"/>
    <w:basedOn w:val="Normal"/>
    <w:next w:val="TOC1"/>
    <w:rsid w:val="008C39BE"/>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925477"/>
    <w:pPr>
      <w:spacing w:before="80" w:after="80"/>
    </w:pPr>
    <w:rPr>
      <w:rFonts w:ascii="Arial Narrow" w:hAnsi="Arial Narrow" w:cs="Arial"/>
      <w:b/>
      <w:sz w:val="32"/>
      <w:szCs w:val="22"/>
    </w:rPr>
  </w:style>
  <w:style w:type="paragraph" w:customStyle="1" w:styleId="CoverNormal24a">
    <w:name w:val="CoverNormal24a"/>
    <w:basedOn w:val="Normal"/>
    <w:rsid w:val="00A916D9"/>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044034"/>
    <w:pPr>
      <w:spacing w:before="1080"/>
      <w:jc w:val="right"/>
    </w:pPr>
    <w:rPr>
      <w:rFonts w:ascii="Arial" w:hAnsi="Arial" w:cs="Arial"/>
      <w:b/>
    </w:rPr>
  </w:style>
  <w:style w:type="paragraph" w:customStyle="1" w:styleId="CoverDocType24a">
    <w:name w:val="CoverDocType24a"/>
    <w:basedOn w:val="Normal"/>
    <w:rsid w:val="00A916D9"/>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3027E"/>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25477"/>
    <w:pPr>
      <w:spacing w:after="80"/>
    </w:pPr>
    <w:rPr>
      <w:rFonts w:ascii="Arial" w:hAnsi="Arial" w:cs="Arial"/>
      <w:sz w:val="20"/>
      <w:szCs w:val="22"/>
    </w:rPr>
  </w:style>
  <w:style w:type="paragraph" w:customStyle="1" w:styleId="EPLogo">
    <w:name w:val="EPLogo"/>
    <w:basedOn w:val="Normal"/>
    <w:qFormat/>
    <w:rsid w:val="00925477"/>
    <w:pPr>
      <w:jc w:val="right"/>
    </w:pPr>
  </w:style>
  <w:style w:type="paragraph" w:customStyle="1" w:styleId="EPFooter">
    <w:name w:val="EPFooter"/>
    <w:basedOn w:val="Normal"/>
    <w:rsid w:val="00A916D9"/>
    <w:pPr>
      <w:tabs>
        <w:tab w:val="center" w:pos="4535"/>
        <w:tab w:val="right" w:pos="9071"/>
      </w:tabs>
      <w:spacing w:before="240" w:after="240"/>
    </w:pPr>
    <w:rPr>
      <w:color w:val="010000"/>
      <w:sz w:val="22"/>
    </w:rPr>
  </w:style>
  <w:style w:type="character" w:styleId="PageNumber">
    <w:name w:val="page number"/>
    <w:basedOn w:val="DefaultParagraphFont"/>
    <w:semiHidden/>
    <w:rsid w:val="00892627"/>
  </w:style>
  <w:style w:type="character" w:customStyle="1" w:styleId="HeaderChar">
    <w:name w:val="Header Char"/>
    <w:basedOn w:val="DefaultParagraphFont"/>
    <w:link w:val="Header"/>
    <w:semiHidden/>
    <w:rsid w:val="0063027E"/>
    <w:rPr>
      <w:sz w:val="24"/>
    </w:rPr>
  </w:style>
  <w:style w:type="paragraph" w:customStyle="1" w:styleId="Normal12a">
    <w:name w:val="Normal12a"/>
    <w:basedOn w:val="Normal"/>
    <w:rsid w:val="00D32578"/>
    <w:pPr>
      <w:spacing w:after="240"/>
    </w:pPr>
  </w:style>
  <w:style w:type="paragraph" w:styleId="FootnoteText">
    <w:name w:val="footnote text"/>
    <w:basedOn w:val="Normal"/>
    <w:link w:val="FootnoteTextChar"/>
    <w:uiPriority w:val="99"/>
    <w:rsid w:val="009E4BAB"/>
    <w:rPr>
      <w:sz w:val="20"/>
    </w:rPr>
  </w:style>
  <w:style w:type="character" w:customStyle="1" w:styleId="FootnoteTextChar">
    <w:name w:val="Footnote Text Char"/>
    <w:basedOn w:val="DefaultParagraphFont"/>
    <w:link w:val="FootnoteText"/>
    <w:rsid w:val="009E4BAB"/>
  </w:style>
  <w:style w:type="character" w:styleId="FootnoteReference">
    <w:name w:val="footnote reference"/>
    <w:basedOn w:val="DefaultParagraphFont"/>
    <w:uiPriority w:val="99"/>
    <w:rsid w:val="009E4BAB"/>
    <w:rPr>
      <w:vertAlign w:val="superscript"/>
    </w:rPr>
  </w:style>
  <w:style w:type="character" w:styleId="Hyperlink">
    <w:name w:val="Hyperlink"/>
    <w:basedOn w:val="DefaultParagraphFont"/>
    <w:uiPriority w:val="99"/>
    <w:unhideWhenUsed/>
    <w:rsid w:val="00C2271E"/>
    <w:rPr>
      <w:color w:val="0000FF"/>
      <w:u w:val="single"/>
    </w:rPr>
  </w:style>
  <w:style w:type="character" w:styleId="Emphasis">
    <w:name w:val="Emphasis"/>
    <w:basedOn w:val="DefaultParagraphFont"/>
    <w:uiPriority w:val="20"/>
    <w:qFormat/>
    <w:rsid w:val="00C2271E"/>
    <w:rPr>
      <w:i/>
      <w:iCs/>
    </w:rPr>
  </w:style>
  <w:style w:type="character" w:customStyle="1" w:styleId="UnresolvedMention1">
    <w:name w:val="Unresolved Mention1"/>
    <w:basedOn w:val="DefaultParagraphFont"/>
    <w:uiPriority w:val="99"/>
    <w:semiHidden/>
    <w:unhideWhenUsed/>
    <w:rsid w:val="005E5F40"/>
    <w:rPr>
      <w:color w:val="605E5C"/>
      <w:shd w:val="clear" w:color="auto" w:fill="E1DFDD"/>
    </w:rPr>
  </w:style>
  <w:style w:type="paragraph" w:styleId="Footer">
    <w:name w:val="footer"/>
    <w:basedOn w:val="Normal"/>
    <w:link w:val="FooterChar"/>
    <w:semiHidden/>
    <w:rsid w:val="00CC3A12"/>
    <w:pPr>
      <w:tabs>
        <w:tab w:val="center" w:pos="4513"/>
        <w:tab w:val="right" w:pos="9026"/>
      </w:tabs>
    </w:pPr>
  </w:style>
  <w:style w:type="character" w:customStyle="1" w:styleId="FooterChar">
    <w:name w:val="Footer Char"/>
    <w:basedOn w:val="DefaultParagraphFont"/>
    <w:link w:val="Footer"/>
    <w:semiHidden/>
    <w:rsid w:val="00CC3A12"/>
    <w:rPr>
      <w:sz w:val="24"/>
    </w:rPr>
  </w:style>
  <w:style w:type="paragraph" w:styleId="Revision">
    <w:name w:val="Revision"/>
    <w:hidden/>
    <w:uiPriority w:val="99"/>
    <w:semiHidden/>
    <w:rsid w:val="00FD1BB5"/>
    <w:rPr>
      <w:sz w:val="24"/>
    </w:rPr>
  </w:style>
  <w:style w:type="paragraph" w:styleId="BalloonText">
    <w:name w:val="Balloon Text"/>
    <w:basedOn w:val="Normal"/>
    <w:link w:val="BalloonTextChar"/>
    <w:semiHidden/>
    <w:unhideWhenUsed/>
    <w:rsid w:val="004A65CA"/>
    <w:rPr>
      <w:rFonts w:ascii="Segoe UI" w:hAnsi="Segoe UI" w:cs="Segoe UI"/>
      <w:sz w:val="18"/>
      <w:szCs w:val="18"/>
    </w:rPr>
  </w:style>
  <w:style w:type="character" w:customStyle="1" w:styleId="BalloonTextChar">
    <w:name w:val="Balloon Text Char"/>
    <w:basedOn w:val="DefaultParagraphFont"/>
    <w:link w:val="BalloonText"/>
    <w:semiHidden/>
    <w:rsid w:val="004A65CA"/>
    <w:rPr>
      <w:rFonts w:ascii="Segoe UI" w:hAnsi="Segoe UI" w:cs="Segoe UI"/>
      <w:sz w:val="18"/>
      <w:szCs w:val="18"/>
    </w:rPr>
  </w:style>
  <w:style w:type="character" w:styleId="CommentReference">
    <w:name w:val="annotation reference"/>
    <w:basedOn w:val="DefaultParagraphFont"/>
    <w:rsid w:val="00215C00"/>
    <w:rPr>
      <w:sz w:val="16"/>
      <w:szCs w:val="16"/>
    </w:rPr>
  </w:style>
  <w:style w:type="paragraph" w:styleId="CommentText">
    <w:name w:val="annotation text"/>
    <w:basedOn w:val="Normal"/>
    <w:link w:val="CommentTextChar"/>
    <w:rsid w:val="00215C00"/>
    <w:rPr>
      <w:sz w:val="20"/>
    </w:rPr>
  </w:style>
  <w:style w:type="character" w:customStyle="1" w:styleId="CommentTextChar">
    <w:name w:val="Comment Text Char"/>
    <w:basedOn w:val="DefaultParagraphFont"/>
    <w:link w:val="CommentText"/>
    <w:rsid w:val="00215C00"/>
  </w:style>
  <w:style w:type="paragraph" w:styleId="CommentSubject">
    <w:name w:val="annotation subject"/>
    <w:basedOn w:val="CommentText"/>
    <w:next w:val="CommentText"/>
    <w:link w:val="CommentSubjectChar"/>
    <w:semiHidden/>
    <w:unhideWhenUsed/>
    <w:rsid w:val="00215C00"/>
    <w:rPr>
      <w:b/>
      <w:bCs/>
    </w:rPr>
  </w:style>
  <w:style w:type="character" w:customStyle="1" w:styleId="CommentSubjectChar">
    <w:name w:val="Comment Subject Char"/>
    <w:basedOn w:val="CommentTextChar"/>
    <w:link w:val="CommentSubject"/>
    <w:semiHidden/>
    <w:rsid w:val="00215C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045884">
      <w:bodyDiv w:val="1"/>
      <w:marLeft w:val="0"/>
      <w:marRight w:val="0"/>
      <w:marTop w:val="0"/>
      <w:marBottom w:val="0"/>
      <w:divBdr>
        <w:top w:val="none" w:sz="0" w:space="0" w:color="auto"/>
        <w:left w:val="none" w:sz="0" w:space="0" w:color="auto"/>
        <w:bottom w:val="none" w:sz="0" w:space="0" w:color="auto"/>
        <w:right w:val="none" w:sz="0" w:space="0" w:color="auto"/>
      </w:divBdr>
    </w:div>
    <w:div w:id="469710420">
      <w:bodyDiv w:val="1"/>
      <w:marLeft w:val="0"/>
      <w:marRight w:val="0"/>
      <w:marTop w:val="0"/>
      <w:marBottom w:val="0"/>
      <w:divBdr>
        <w:top w:val="none" w:sz="0" w:space="0" w:color="auto"/>
        <w:left w:val="none" w:sz="0" w:space="0" w:color="auto"/>
        <w:bottom w:val="none" w:sz="0" w:space="0" w:color="auto"/>
        <w:right w:val="none" w:sz="0" w:space="0" w:color="auto"/>
      </w:divBdr>
    </w:div>
    <w:div w:id="530194719">
      <w:bodyDiv w:val="1"/>
      <w:marLeft w:val="0"/>
      <w:marRight w:val="0"/>
      <w:marTop w:val="0"/>
      <w:marBottom w:val="0"/>
      <w:divBdr>
        <w:top w:val="none" w:sz="0" w:space="0" w:color="auto"/>
        <w:left w:val="none" w:sz="0" w:space="0" w:color="auto"/>
        <w:bottom w:val="none" w:sz="0" w:space="0" w:color="auto"/>
        <w:right w:val="none" w:sz="0" w:space="0" w:color="auto"/>
      </w:divBdr>
    </w:div>
    <w:div w:id="650255850">
      <w:bodyDiv w:val="1"/>
      <w:marLeft w:val="0"/>
      <w:marRight w:val="0"/>
      <w:marTop w:val="0"/>
      <w:marBottom w:val="0"/>
      <w:divBdr>
        <w:top w:val="none" w:sz="0" w:space="0" w:color="auto"/>
        <w:left w:val="none" w:sz="0" w:space="0" w:color="auto"/>
        <w:bottom w:val="none" w:sz="0" w:space="0" w:color="auto"/>
        <w:right w:val="none" w:sz="0" w:space="0" w:color="auto"/>
      </w:divBdr>
    </w:div>
    <w:div w:id="947128168">
      <w:bodyDiv w:val="1"/>
      <w:marLeft w:val="0"/>
      <w:marRight w:val="0"/>
      <w:marTop w:val="0"/>
      <w:marBottom w:val="0"/>
      <w:divBdr>
        <w:top w:val="none" w:sz="0" w:space="0" w:color="auto"/>
        <w:left w:val="none" w:sz="0" w:space="0" w:color="auto"/>
        <w:bottom w:val="none" w:sz="0" w:space="0" w:color="auto"/>
        <w:right w:val="none" w:sz="0" w:space="0" w:color="auto"/>
      </w:divBdr>
    </w:div>
    <w:div w:id="1408575759">
      <w:bodyDiv w:val="1"/>
      <w:marLeft w:val="0"/>
      <w:marRight w:val="0"/>
      <w:marTop w:val="0"/>
      <w:marBottom w:val="0"/>
      <w:divBdr>
        <w:top w:val="none" w:sz="0" w:space="0" w:color="auto"/>
        <w:left w:val="none" w:sz="0" w:space="0" w:color="auto"/>
        <w:bottom w:val="none" w:sz="0" w:space="0" w:color="auto"/>
        <w:right w:val="none" w:sz="0" w:space="0" w:color="auto"/>
      </w:divBdr>
    </w:div>
    <w:div w:id="1417902261">
      <w:bodyDiv w:val="1"/>
      <w:marLeft w:val="0"/>
      <w:marRight w:val="0"/>
      <w:marTop w:val="0"/>
      <w:marBottom w:val="0"/>
      <w:divBdr>
        <w:top w:val="none" w:sz="0" w:space="0" w:color="auto"/>
        <w:left w:val="none" w:sz="0" w:space="0" w:color="auto"/>
        <w:bottom w:val="none" w:sz="0" w:space="0" w:color="auto"/>
        <w:right w:val="none" w:sz="0" w:space="0" w:color="auto"/>
      </w:divBdr>
    </w:div>
    <w:div w:id="1428651008">
      <w:bodyDiv w:val="1"/>
      <w:marLeft w:val="0"/>
      <w:marRight w:val="0"/>
      <w:marTop w:val="0"/>
      <w:marBottom w:val="0"/>
      <w:divBdr>
        <w:top w:val="none" w:sz="0" w:space="0" w:color="auto"/>
        <w:left w:val="none" w:sz="0" w:space="0" w:color="auto"/>
        <w:bottom w:val="none" w:sz="0" w:space="0" w:color="auto"/>
        <w:right w:val="none" w:sz="0" w:space="0" w:color="auto"/>
      </w:divBdr>
    </w:div>
    <w:div w:id="1591430457">
      <w:bodyDiv w:val="1"/>
      <w:marLeft w:val="0"/>
      <w:marRight w:val="0"/>
      <w:marTop w:val="0"/>
      <w:marBottom w:val="0"/>
      <w:divBdr>
        <w:top w:val="none" w:sz="0" w:space="0" w:color="auto"/>
        <w:left w:val="none" w:sz="0" w:space="0" w:color="auto"/>
        <w:bottom w:val="none" w:sz="0" w:space="0" w:color="auto"/>
        <w:right w:val="none" w:sz="0" w:space="0" w:color="auto"/>
      </w:divBdr>
    </w:div>
    <w:div w:id="1760560249">
      <w:bodyDiv w:val="1"/>
      <w:marLeft w:val="0"/>
      <w:marRight w:val="0"/>
      <w:marTop w:val="0"/>
      <w:marBottom w:val="0"/>
      <w:divBdr>
        <w:top w:val="none" w:sz="0" w:space="0" w:color="auto"/>
        <w:left w:val="none" w:sz="0" w:space="0" w:color="auto"/>
        <w:bottom w:val="none" w:sz="0" w:space="0" w:color="auto"/>
        <w:right w:val="none" w:sz="0" w:space="0" w:color="auto"/>
      </w:divBdr>
    </w:div>
    <w:div w:id="1791631873">
      <w:bodyDiv w:val="1"/>
      <w:marLeft w:val="0"/>
      <w:marRight w:val="0"/>
      <w:marTop w:val="0"/>
      <w:marBottom w:val="0"/>
      <w:divBdr>
        <w:top w:val="none" w:sz="0" w:space="0" w:color="auto"/>
        <w:left w:val="none" w:sz="0" w:space="0" w:color="auto"/>
        <w:bottom w:val="none" w:sz="0" w:space="0" w:color="auto"/>
        <w:right w:val="none" w:sz="0" w:space="0" w:color="auto"/>
      </w:divBdr>
    </w:div>
    <w:div w:id="1796291880">
      <w:bodyDiv w:val="1"/>
      <w:marLeft w:val="0"/>
      <w:marRight w:val="0"/>
      <w:marTop w:val="0"/>
      <w:marBottom w:val="0"/>
      <w:divBdr>
        <w:top w:val="none" w:sz="0" w:space="0" w:color="auto"/>
        <w:left w:val="none" w:sz="0" w:space="0" w:color="auto"/>
        <w:bottom w:val="none" w:sz="0" w:space="0" w:color="auto"/>
        <w:right w:val="none" w:sz="0" w:space="0" w:color="auto"/>
      </w:divBdr>
    </w:div>
    <w:div w:id="1995909375">
      <w:bodyDiv w:val="1"/>
      <w:marLeft w:val="0"/>
      <w:marRight w:val="0"/>
      <w:marTop w:val="0"/>
      <w:marBottom w:val="0"/>
      <w:divBdr>
        <w:top w:val="none" w:sz="0" w:space="0" w:color="auto"/>
        <w:left w:val="none" w:sz="0" w:space="0" w:color="auto"/>
        <w:bottom w:val="none" w:sz="0" w:space="0" w:color="auto"/>
        <w:right w:val="none" w:sz="0" w:space="0" w:color="auto"/>
      </w:divBdr>
    </w:div>
    <w:div w:id="2079666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9E97FF-C57B-4AE8-8411-261C3F3E3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2768</Words>
  <Characters>15644</Characters>
  <Application>Microsoft Office Word</Application>
  <DocSecurity>0</DocSecurity>
  <Lines>269</Lines>
  <Paragraphs>99</Paragraphs>
  <ScaleCrop>false</ScaleCrop>
  <HeadingPairs>
    <vt:vector size="2" baseType="variant">
      <vt:variant>
        <vt:lpstr>Title</vt:lpstr>
      </vt:variant>
      <vt:variant>
        <vt:i4>1</vt:i4>
      </vt:variant>
    </vt:vector>
  </HeadingPairs>
  <TitlesOfParts>
    <vt:vector size="1" baseType="lpstr">
      <vt:lpstr>PR_Consent_Motion</vt:lpstr>
    </vt:vector>
  </TitlesOfParts>
  <Company/>
  <LinksUpToDate>false</LinksUpToDate>
  <CharactersWithSpaces>18313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PR_Consent_Motion</dc:title>
  <dc:subject/>
  <dc:creator>ELSTEIN Inga</dc:creator>
  <cp:keywords/>
  <cp:lastModifiedBy>ŠKRINÁR Hannah Jane</cp:lastModifiedBy>
  <cp:revision>2</cp:revision>
  <cp:lastPrinted>2025-07-07T09:40:00Z</cp:lastPrinted>
  <dcterms:created xsi:type="dcterms:W3CDTF">2025-07-07T12:26:00Z</dcterms:created>
  <dcterms:modified xsi:type="dcterms:W3CDTF">2025-07-07T12:26:00Z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10.1.1 Build [20250421]</vt:lpwstr>
  </property>
  <property fmtid="{D5CDD505-2E9C-101B-9397-08002B2CF9AE}" pid="4" name="LastEdited with">
    <vt:lpwstr>10.1.2 Build [20250615]</vt:lpwstr>
  </property>
  <property fmtid="{D5CDD505-2E9C-101B-9397-08002B2CF9AE}" pid="5" name="&lt;FdR&gt;">
    <vt:lpwstr>1322796</vt:lpwstr>
  </property>
  <property fmtid="{D5CDD505-2E9C-101B-9397-08002B2CF9AE}" pid="6" name="&lt;Type&gt;">
    <vt:lpwstr>PR</vt:lpwstr>
  </property>
  <property fmtid="{D5CDD505-2E9C-101B-9397-08002B2CF9AE}" pid="7" name="&lt;ModelCod&gt;">
    <vt:lpwstr>\\eiciBRUpr1\pdocep$\DocEP\DOCS\General\PR\PR_NonLeg\Other\PR_Consent_Motion.dotx(12/08/2024 17:16:00)</vt:lpwstr>
  </property>
  <property fmtid="{D5CDD505-2E9C-101B-9397-08002B2CF9AE}" pid="8" name="&lt;ModelTra&gt;">
    <vt:lpwstr>\\eiciBRUpr1\pdocep$\DocEP\TRANSFIL\EN\PR_Consent_Motion.EN(21/10/2024 07:35:04)</vt:lpwstr>
  </property>
  <property fmtid="{D5CDD505-2E9C-101B-9397-08002B2CF9AE}" pid="9" name="&lt;Model&gt;">
    <vt:lpwstr>PR_Consent_Motion</vt:lpwstr>
  </property>
  <property fmtid="{D5CDD505-2E9C-101B-9397-08002B2CF9AE}" pid="10" name="FooterPath">
    <vt:lpwstr>PR\1322796EN.docx</vt:lpwstr>
  </property>
  <property fmtid="{D5CDD505-2E9C-101B-9397-08002B2CF9AE}" pid="11" name="PE number">
    <vt:lpwstr>774.429</vt:lpwstr>
  </property>
  <property fmtid="{D5CDD505-2E9C-101B-9397-08002B2CF9AE}" pid="12" name="SendToEpades">
    <vt:lpwstr>OK - 2025/07/02 18:51</vt:lpwstr>
  </property>
  <property fmtid="{D5CDD505-2E9C-101B-9397-08002B2CF9AE}" pid="13" name="Bookout">
    <vt:lpwstr>OK - 2025/07/07 14:25</vt:lpwstr>
  </property>
</Properties>
</file>