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A75528" w:rsidRPr="008D7CD6" w14:paraId="0AB2E033" w14:textId="77777777" w:rsidTr="00C85D0F">
        <w:trPr>
          <w:trHeight w:hRule="exact" w:val="1418"/>
        </w:trPr>
        <w:tc>
          <w:tcPr>
            <w:tcW w:w="6804" w:type="dxa"/>
            <w:shd w:val="clear" w:color="auto" w:fill="auto"/>
            <w:vAlign w:val="center"/>
          </w:tcPr>
          <w:p w14:paraId="498F4E9A" w14:textId="77777777" w:rsidR="00B13D6F" w:rsidRPr="008D7CD6" w:rsidRDefault="00B34733" w:rsidP="00C85D0F">
            <w:pPr>
              <w:pStyle w:val="EPName"/>
            </w:pPr>
            <w:r w:rsidRPr="008D7CD6">
              <w:t>Parlamento Europeo</w:t>
            </w:r>
          </w:p>
          <w:p w14:paraId="19C74AFB" w14:textId="77777777" w:rsidR="00B13D6F" w:rsidRPr="008D7CD6" w:rsidRDefault="00B34733" w:rsidP="00C85D0F">
            <w:pPr>
              <w:pStyle w:val="EPTerm"/>
            </w:pPr>
            <w:r w:rsidRPr="008D7CD6">
              <w:t>2024-2029</w:t>
            </w:r>
          </w:p>
        </w:tc>
        <w:tc>
          <w:tcPr>
            <w:tcW w:w="2268" w:type="dxa"/>
            <w:shd w:val="clear" w:color="auto" w:fill="auto"/>
          </w:tcPr>
          <w:p w14:paraId="0D943B48" w14:textId="77777777" w:rsidR="00B13D6F" w:rsidRPr="008D7CD6" w:rsidRDefault="00B34733" w:rsidP="00C85D0F">
            <w:pPr>
              <w:pStyle w:val="EPLogo"/>
            </w:pPr>
            <w:r w:rsidRPr="008D7CD6">
              <w:rPr>
                <w:noProof/>
                <w:lang w:eastAsia="ja-JP"/>
              </w:rPr>
              <w:drawing>
                <wp:inline distT="0" distB="0" distL="0" distR="0" wp14:anchorId="34E58F40" wp14:editId="65B569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B4FA9FF" w14:textId="77777777" w:rsidR="00461601" w:rsidRPr="008D7CD6" w:rsidRDefault="00461601" w:rsidP="00461601">
      <w:pPr>
        <w:pStyle w:val="LineTop"/>
      </w:pPr>
    </w:p>
    <w:p w14:paraId="0A394839" w14:textId="77777777" w:rsidR="00461601" w:rsidRPr="00B34733" w:rsidRDefault="00B34733" w:rsidP="00461601">
      <w:pPr>
        <w:pStyle w:val="EPBody"/>
      </w:pPr>
      <w:r w:rsidRPr="00B34733">
        <w:rPr>
          <w:rStyle w:val="HideTWBExt"/>
          <w:i w:val="0"/>
          <w:szCs w:val="20"/>
        </w:rPr>
        <w:t>&lt;</w:t>
      </w:r>
      <w:r w:rsidRPr="00B34733">
        <w:rPr>
          <w:rStyle w:val="HideTWBExt"/>
          <w:i w:val="0"/>
          <w:szCs w:val="20"/>
        </w:rPr>
        <w:t>Commission</w:t>
      </w:r>
      <w:r w:rsidRPr="00B34733">
        <w:rPr>
          <w:rStyle w:val="HideTWBExt"/>
          <w:i w:val="0"/>
          <w:szCs w:val="20"/>
        </w:rPr>
        <w:t>&gt;</w:t>
      </w:r>
      <w:r w:rsidRPr="00B34733">
        <w:rPr>
          <w:rStyle w:val="HideTWBInt"/>
          <w:i w:val="0"/>
          <w:szCs w:val="20"/>
        </w:rPr>
        <w:t>{INTA}</w:t>
      </w:r>
      <w:r w:rsidRPr="00B34733">
        <w:t>Comisión de Comercio Internacional</w:t>
      </w:r>
      <w:r w:rsidRPr="00B34733">
        <w:rPr>
          <w:rStyle w:val="HideTWBExt"/>
          <w:i w:val="0"/>
          <w:szCs w:val="20"/>
        </w:rPr>
        <w:t>&lt;/</w:t>
      </w:r>
      <w:r w:rsidRPr="00B34733">
        <w:rPr>
          <w:rStyle w:val="HideTWBExt"/>
          <w:i w:val="0"/>
          <w:szCs w:val="20"/>
        </w:rPr>
        <w:t>Commission</w:t>
      </w:r>
      <w:r w:rsidRPr="00B34733">
        <w:rPr>
          <w:rStyle w:val="HideTWBExt"/>
          <w:i w:val="0"/>
          <w:szCs w:val="20"/>
        </w:rPr>
        <w:t>&gt;</w:t>
      </w:r>
    </w:p>
    <w:p w14:paraId="5294691B" w14:textId="77777777" w:rsidR="00461601" w:rsidRPr="00B34733" w:rsidRDefault="00461601" w:rsidP="00461601">
      <w:pPr>
        <w:pStyle w:val="LineBottom"/>
      </w:pPr>
    </w:p>
    <w:p w14:paraId="229105B4" w14:textId="77777777" w:rsidR="00793EA9" w:rsidRPr="00B34733" w:rsidRDefault="00B34733">
      <w:pPr>
        <w:pStyle w:val="CoverReference"/>
      </w:pPr>
      <w:r w:rsidRPr="00B34733">
        <w:rPr>
          <w:rStyle w:val="HideTWBExt"/>
          <w:b w:val="0"/>
        </w:rPr>
        <w:t>&lt;RefProc&gt;</w:t>
      </w:r>
      <w:r w:rsidRPr="00B34733">
        <w:t>2025/0726</w:t>
      </w:r>
      <w:r w:rsidRPr="00B34733">
        <w:rPr>
          <w:rStyle w:val="HideTWBExt"/>
          <w:b w:val="0"/>
        </w:rPr>
        <w:t>&lt;/RefProc&gt;&lt;RefTypeProc&gt;</w:t>
      </w:r>
      <w:r w:rsidRPr="00B34733">
        <w:t>(COD)</w:t>
      </w:r>
      <w:r w:rsidRPr="00B34733">
        <w:rPr>
          <w:rStyle w:val="HideTWBExt"/>
          <w:b w:val="0"/>
        </w:rPr>
        <w:t>&lt;/RefTypeProc&gt;</w:t>
      </w:r>
    </w:p>
    <w:p w14:paraId="30949C83" w14:textId="77777777" w:rsidR="00793EA9" w:rsidRPr="00B34733" w:rsidRDefault="00B34733">
      <w:pPr>
        <w:pStyle w:val="CoverDate"/>
      </w:pPr>
      <w:r w:rsidRPr="00B34733">
        <w:rPr>
          <w:rStyle w:val="HideTWBExt"/>
        </w:rPr>
        <w:t>&lt;Date&gt;</w:t>
      </w:r>
      <w:r w:rsidRPr="00B34733">
        <w:rPr>
          <w:rStyle w:val="HideTWBInt"/>
        </w:rPr>
        <w:t>{19/11/2025}</w:t>
      </w:r>
      <w:r w:rsidRPr="00B34733">
        <w:t>24.11.2025</w:t>
      </w:r>
      <w:r w:rsidRPr="00B34733">
        <w:rPr>
          <w:rStyle w:val="HideTWBExt"/>
        </w:rPr>
        <w:t>&lt;/Date&gt;</w:t>
      </w:r>
    </w:p>
    <w:p w14:paraId="50452A6D" w14:textId="77777777" w:rsidR="00793EA9" w:rsidRPr="00B34733" w:rsidRDefault="00B34733">
      <w:pPr>
        <w:pStyle w:val="CoverDocType"/>
      </w:pPr>
      <w:r w:rsidRPr="00B34733">
        <w:rPr>
          <w:rStyle w:val="HideTWBExt"/>
          <w:b w:val="0"/>
        </w:rPr>
        <w:t>&lt;RefProcLect&gt;</w:t>
      </w:r>
      <w:r w:rsidRPr="00B34733">
        <w:t>***I</w:t>
      </w:r>
      <w:r w:rsidRPr="00B34733">
        <w:rPr>
          <w:rStyle w:val="HideTWBExt"/>
          <w:b w:val="0"/>
        </w:rPr>
        <w:t>&lt;/RefProcLect&gt;</w:t>
      </w:r>
    </w:p>
    <w:p w14:paraId="08797377" w14:textId="77777777" w:rsidR="00793EA9" w:rsidRPr="00B34733" w:rsidRDefault="00B34733">
      <w:pPr>
        <w:pStyle w:val="CoverDocType24a"/>
      </w:pPr>
      <w:r w:rsidRPr="00B34733">
        <w:rPr>
          <w:rStyle w:val="HideTWBExt"/>
          <w:b w:val="0"/>
        </w:rPr>
        <w:t>&lt;TitreType&gt;</w:t>
      </w:r>
      <w:r w:rsidRPr="00B34733">
        <w:t>PROYECTO DE INFORME</w:t>
      </w:r>
      <w:r w:rsidRPr="00B34733">
        <w:rPr>
          <w:rStyle w:val="HideTWBExt"/>
          <w:b w:val="0"/>
        </w:rPr>
        <w:t>&lt;/TitreType&gt;</w:t>
      </w:r>
    </w:p>
    <w:p w14:paraId="364F43DE" w14:textId="77777777" w:rsidR="00793EA9" w:rsidRPr="00B34733" w:rsidRDefault="00B34733">
      <w:pPr>
        <w:pStyle w:val="CoverNormal"/>
      </w:pPr>
      <w:r w:rsidRPr="00B34733">
        <w:rPr>
          <w:rStyle w:val="HideTWBExt"/>
        </w:rPr>
        <w:t>&lt;Titre&gt;</w:t>
      </w:r>
      <w:r w:rsidRPr="00B34733">
        <w:t>sobre la propuesta de Reglamento del Parlamento Europeo y del Consejo relativo a los efectos negativos relacionados con el comercio del exceso de capacidad mundial en el mercado siderúrgico de la Unión</w:t>
      </w:r>
      <w:r w:rsidRPr="00B34733">
        <w:rPr>
          <w:rStyle w:val="HideTWBExt"/>
        </w:rPr>
        <w:t>&lt;/Titre&gt;</w:t>
      </w:r>
    </w:p>
    <w:p w14:paraId="19EB78DD" w14:textId="77777777" w:rsidR="00793EA9" w:rsidRPr="00B34733" w:rsidRDefault="00B34733">
      <w:pPr>
        <w:pStyle w:val="CoverNormal24a"/>
      </w:pPr>
      <w:r w:rsidRPr="00B34733">
        <w:rPr>
          <w:rStyle w:val="HideTWBExt"/>
        </w:rPr>
        <w:t>&lt;DocRef&gt;</w:t>
      </w:r>
      <w:r w:rsidRPr="00B34733">
        <w:t>(COM(2025)0726 – C10</w:t>
      </w:r>
      <w:r w:rsidRPr="00B34733">
        <w:noBreakHyphen/>
        <w:t>0245/2025 – 2025/0726(COD))</w:t>
      </w:r>
      <w:r w:rsidRPr="00B34733">
        <w:rPr>
          <w:rStyle w:val="HideTWBExt"/>
        </w:rPr>
        <w:t>&lt;/DocRef&gt;</w:t>
      </w:r>
    </w:p>
    <w:p w14:paraId="79886842" w14:textId="77777777" w:rsidR="00793EA9" w:rsidRPr="00B34733" w:rsidRDefault="00B34733">
      <w:pPr>
        <w:pStyle w:val="CoverNormal24a"/>
      </w:pPr>
      <w:r w:rsidRPr="00B34733">
        <w:rPr>
          <w:rStyle w:val="HideTWBExt"/>
        </w:rPr>
        <w:t>&lt;Commission&gt;</w:t>
      </w:r>
      <w:r w:rsidRPr="00B34733">
        <w:rPr>
          <w:rStyle w:val="HideTWBInt"/>
        </w:rPr>
        <w:t>{INTA}</w:t>
      </w:r>
      <w:r w:rsidRPr="00B34733">
        <w:t>Comisión de Comercio Internacional</w:t>
      </w:r>
      <w:r w:rsidRPr="00B34733">
        <w:rPr>
          <w:rStyle w:val="HideTWBExt"/>
        </w:rPr>
        <w:t>&lt;/Commission&gt;</w:t>
      </w:r>
    </w:p>
    <w:p w14:paraId="0114B21A" w14:textId="77777777" w:rsidR="00793EA9" w:rsidRPr="00B34733" w:rsidRDefault="00B34733">
      <w:pPr>
        <w:pStyle w:val="CoverNormal24a"/>
      </w:pPr>
      <w:r w:rsidRPr="00B34733">
        <w:t xml:space="preserve">Ponente: </w:t>
      </w:r>
      <w:r w:rsidRPr="00B34733">
        <w:rPr>
          <w:rStyle w:val="HideTWBExt"/>
        </w:rPr>
        <w:t>&lt;Depute&gt;</w:t>
      </w:r>
      <w:r w:rsidRPr="00B34733">
        <w:t>Karin Karlsbro</w:t>
      </w:r>
      <w:r w:rsidRPr="00B34733">
        <w:rPr>
          <w:rStyle w:val="HideTWBExt"/>
        </w:rPr>
        <w:t>&lt;/Depute&gt;</w:t>
      </w:r>
    </w:p>
    <w:p w14:paraId="12014852" w14:textId="77777777" w:rsidR="001C5B44" w:rsidRPr="00B34733" w:rsidRDefault="001C5B44" w:rsidP="001C5B44">
      <w:pPr>
        <w:pStyle w:val="CoverNormal"/>
      </w:pPr>
    </w:p>
    <w:p w14:paraId="56402018" w14:textId="7FA0E8AD" w:rsidR="00B7127A" w:rsidRPr="00B34733" w:rsidRDefault="00B34733" w:rsidP="00894923">
      <w:r w:rsidRPr="00B34733">
        <w:br w:type="page"/>
      </w:r>
      <w:fldSimple w:instr=" TITLE  \* MERGEFORMAT ">
        <w:r>
          <w:t>PR_COD_1amCom</w:t>
        </w:r>
      </w:fldSimple>
    </w:p>
    <w:p w14:paraId="751C27CC" w14:textId="77777777" w:rsidR="00B7127A" w:rsidRPr="00B34733" w:rsidRDefault="00B7127A" w:rsidP="00894923"/>
    <w:p w14:paraId="542FB4FE" w14:textId="77777777" w:rsidR="00B7127A" w:rsidRPr="00B34733" w:rsidRDefault="00B7127A"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34733" w:rsidRPr="00B34733" w14:paraId="2C3C56D3" w14:textId="77777777">
        <w:tc>
          <w:tcPr>
            <w:tcW w:w="5811" w:type="dxa"/>
          </w:tcPr>
          <w:p w14:paraId="453F6617" w14:textId="77777777" w:rsidR="00B7127A" w:rsidRPr="00B34733" w:rsidRDefault="00B34733" w:rsidP="00894923">
            <w:pPr>
              <w:pStyle w:val="Lgendetitre"/>
            </w:pPr>
            <w:r w:rsidRPr="00B34733">
              <w:t>Explicación de los signos utilizados</w:t>
            </w:r>
          </w:p>
        </w:tc>
      </w:tr>
      <w:tr w:rsidR="00A75528" w:rsidRPr="00B34733" w14:paraId="73F68B8C" w14:textId="77777777" w:rsidTr="007452CB">
        <w:trPr>
          <w:cantSplit/>
          <w:trHeight w:val="1807"/>
        </w:trPr>
        <w:tc>
          <w:tcPr>
            <w:tcW w:w="5811" w:type="dxa"/>
            <w:tcBorders>
              <w:bottom w:val="single" w:sz="4" w:space="0" w:color="auto"/>
            </w:tcBorders>
          </w:tcPr>
          <w:p w14:paraId="21DBA7A8" w14:textId="77777777" w:rsidR="00B7127A" w:rsidRPr="00B34733" w:rsidRDefault="00B34733" w:rsidP="003506ED">
            <w:pPr>
              <w:pStyle w:val="Lgendesigne"/>
            </w:pPr>
            <w:r w:rsidRPr="00B34733">
              <w:tab/>
              <w:t>*</w:t>
            </w:r>
            <w:r w:rsidRPr="00B34733">
              <w:tab/>
              <w:t>Procedimiento de consulta</w:t>
            </w:r>
          </w:p>
          <w:p w14:paraId="02BBAB0E" w14:textId="77777777" w:rsidR="00B7127A" w:rsidRPr="00B34733" w:rsidRDefault="00B34733" w:rsidP="003506ED">
            <w:pPr>
              <w:pStyle w:val="Lgendesigne"/>
            </w:pPr>
            <w:r w:rsidRPr="00B34733">
              <w:tab/>
              <w:t>***</w:t>
            </w:r>
            <w:r w:rsidRPr="00B34733">
              <w:tab/>
              <w:t>Procedimiento de aprobación</w:t>
            </w:r>
          </w:p>
          <w:p w14:paraId="749DF573" w14:textId="77777777" w:rsidR="00B7127A" w:rsidRPr="00B34733" w:rsidRDefault="00B34733" w:rsidP="003506ED">
            <w:pPr>
              <w:pStyle w:val="Lgendesigne"/>
              <w:rPr>
                <w:lang w:val="it-IT"/>
              </w:rPr>
            </w:pPr>
            <w:r w:rsidRPr="00B34733">
              <w:tab/>
            </w:r>
            <w:r w:rsidRPr="00B34733">
              <w:rPr>
                <w:lang w:val="it-IT"/>
              </w:rPr>
              <w:t>***I</w:t>
            </w:r>
            <w:r w:rsidRPr="00B34733">
              <w:rPr>
                <w:lang w:val="it-IT"/>
              </w:rPr>
              <w:tab/>
              <w:t>Procedimiento legislativo ordinario (primera lectura)</w:t>
            </w:r>
          </w:p>
          <w:p w14:paraId="6ADE33EA" w14:textId="77777777" w:rsidR="00B7127A" w:rsidRPr="00B34733" w:rsidRDefault="00B34733" w:rsidP="003506ED">
            <w:pPr>
              <w:pStyle w:val="Lgendesigne"/>
            </w:pPr>
            <w:r w:rsidRPr="00B34733">
              <w:rPr>
                <w:lang w:val="it-IT"/>
              </w:rPr>
              <w:tab/>
            </w:r>
            <w:r w:rsidRPr="00B34733">
              <w:t>***II</w:t>
            </w:r>
            <w:r w:rsidRPr="00B34733">
              <w:tab/>
              <w:t>Procedimiento legislativo ordinario (segunda lectura)</w:t>
            </w:r>
          </w:p>
          <w:p w14:paraId="697A8194" w14:textId="77777777" w:rsidR="00B7127A" w:rsidRPr="00B34733" w:rsidRDefault="00B34733" w:rsidP="003506ED">
            <w:pPr>
              <w:pStyle w:val="Lgendesigne"/>
            </w:pPr>
            <w:r w:rsidRPr="00B34733">
              <w:tab/>
              <w:t>***III</w:t>
            </w:r>
            <w:r w:rsidRPr="00B34733">
              <w:tab/>
              <w:t>Procedimiento legislativo ordinario (tercera lectura)</w:t>
            </w:r>
          </w:p>
          <w:p w14:paraId="1BCA086C" w14:textId="77777777" w:rsidR="00B7127A" w:rsidRPr="00B34733" w:rsidRDefault="00B7127A" w:rsidP="003506ED">
            <w:pPr>
              <w:pStyle w:val="Lgendestandard"/>
            </w:pPr>
          </w:p>
          <w:p w14:paraId="30B1E22A" w14:textId="77777777" w:rsidR="00B7127A" w:rsidRPr="00B34733" w:rsidRDefault="00B34733" w:rsidP="003506ED">
            <w:pPr>
              <w:pStyle w:val="Lgendestandard"/>
            </w:pPr>
            <w:r w:rsidRPr="00B34733">
              <w:t>(El procedimiento indicado se sustenta en la base jurídica propuesta en el proyecto de acto).</w:t>
            </w:r>
          </w:p>
          <w:p w14:paraId="333E3150" w14:textId="77777777" w:rsidR="00B7127A" w:rsidRPr="00B34733" w:rsidRDefault="00B7127A" w:rsidP="00B54EAF">
            <w:pPr>
              <w:pStyle w:val="Lgendestandard"/>
            </w:pPr>
          </w:p>
        </w:tc>
      </w:tr>
    </w:tbl>
    <w:p w14:paraId="5454709F" w14:textId="77777777" w:rsidR="00B7127A" w:rsidRPr="00B34733" w:rsidRDefault="00B7127A" w:rsidP="00894923"/>
    <w:p w14:paraId="467159DB" w14:textId="77777777" w:rsidR="00B7127A" w:rsidRPr="00B34733" w:rsidRDefault="00B7127A" w:rsidP="00894923"/>
    <w:p w14:paraId="0590F516" w14:textId="77777777" w:rsidR="00B7127A" w:rsidRPr="00B34733" w:rsidRDefault="00B7127A" w:rsidP="00894923"/>
    <w:p w14:paraId="25170E42" w14:textId="77777777" w:rsidR="00B7127A" w:rsidRPr="00B34733" w:rsidRDefault="00B7127A"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B34733" w:rsidRPr="00B34733" w14:paraId="64609EF9" w14:textId="77777777">
        <w:tc>
          <w:tcPr>
            <w:tcW w:w="5811" w:type="dxa"/>
          </w:tcPr>
          <w:p w14:paraId="008AB579" w14:textId="77777777" w:rsidR="00B7127A" w:rsidRPr="00B34733" w:rsidRDefault="00B34733" w:rsidP="00894923">
            <w:pPr>
              <w:pStyle w:val="Lgendetitre"/>
            </w:pPr>
            <w:r w:rsidRPr="00B34733">
              <w:t>Enmiendas a un proyecto de acto</w:t>
            </w:r>
          </w:p>
        </w:tc>
      </w:tr>
      <w:tr w:rsidR="00A75528" w:rsidRPr="00B34733" w14:paraId="3BC8F444" w14:textId="77777777" w:rsidTr="00554250">
        <w:trPr>
          <w:trHeight w:val="4496"/>
        </w:trPr>
        <w:tc>
          <w:tcPr>
            <w:tcW w:w="5811" w:type="dxa"/>
          </w:tcPr>
          <w:p w14:paraId="69BFA340" w14:textId="77777777" w:rsidR="00B7127A" w:rsidRPr="00B34733" w:rsidRDefault="00B34733" w:rsidP="003506ED">
            <w:pPr>
              <w:pStyle w:val="Lgendestandard"/>
              <w:rPr>
                <w:szCs w:val="24"/>
              </w:rPr>
            </w:pPr>
            <w:r w:rsidRPr="00B34733">
              <w:rPr>
                <w:b/>
              </w:rPr>
              <w:t>Enmiendas del Parlamento presentadas en dos columnas</w:t>
            </w:r>
          </w:p>
          <w:p w14:paraId="77E6D006" w14:textId="77777777" w:rsidR="00B7127A" w:rsidRPr="00B34733" w:rsidRDefault="00B7127A" w:rsidP="003506ED">
            <w:pPr>
              <w:pStyle w:val="Lgendestandard"/>
              <w:rPr>
                <w:szCs w:val="24"/>
              </w:rPr>
            </w:pPr>
          </w:p>
          <w:p w14:paraId="6CC76718" w14:textId="77777777" w:rsidR="00B7127A" w:rsidRPr="00B34733" w:rsidRDefault="00B34733" w:rsidP="003506ED">
            <w:pPr>
              <w:pStyle w:val="Lgendestandard"/>
              <w:rPr>
                <w:szCs w:val="24"/>
              </w:rPr>
            </w:pPr>
            <w:r w:rsidRPr="00B34733">
              <w:t xml:space="preserve">Las supresiones se señalan en </w:t>
            </w:r>
            <w:r w:rsidRPr="00B34733">
              <w:rPr>
                <w:b/>
                <w:i/>
              </w:rPr>
              <w:t>cursiva y negrita</w:t>
            </w:r>
            <w:r w:rsidRPr="00B34733">
              <w:t xml:space="preserve"> en la columna izquierda. Las sustituciones se señalan en </w:t>
            </w:r>
            <w:r w:rsidRPr="00B34733">
              <w:rPr>
                <w:b/>
                <w:i/>
              </w:rPr>
              <w:t>cursiva y negrita</w:t>
            </w:r>
            <w:r w:rsidRPr="00B34733">
              <w:t xml:space="preserve"> en ambas columnas. El texto nuevo se señala en </w:t>
            </w:r>
            <w:r w:rsidRPr="00B34733">
              <w:rPr>
                <w:b/>
                <w:i/>
              </w:rPr>
              <w:t>cursiva y negrita</w:t>
            </w:r>
            <w:r w:rsidRPr="00B34733">
              <w:t xml:space="preserve"> en la columna derecha.</w:t>
            </w:r>
          </w:p>
          <w:p w14:paraId="38CAF9BB" w14:textId="77777777" w:rsidR="00B7127A" w:rsidRPr="00B34733" w:rsidRDefault="00B7127A" w:rsidP="003506ED">
            <w:pPr>
              <w:pStyle w:val="Lgendestandard"/>
              <w:rPr>
                <w:szCs w:val="24"/>
              </w:rPr>
            </w:pPr>
          </w:p>
          <w:p w14:paraId="5DDB5811" w14:textId="77777777" w:rsidR="00B7127A" w:rsidRPr="00B34733" w:rsidRDefault="00B34733" w:rsidP="003506ED">
            <w:pPr>
              <w:pStyle w:val="Lgendestandard"/>
              <w:rPr>
                <w:szCs w:val="24"/>
              </w:rPr>
            </w:pPr>
            <w:r w:rsidRPr="00B34733">
              <w:t>En las dos primeras líneas del encabezamiento de cada enmienda se indica el pasaje del proyecto de acto examinado que es objeto de la enmienda. Si una enmienda se refiere a un acto existente que se quiere modificar con el proyecto de acto, su encabezamiento contiene además una tercera y cuarta líneas en las que se indican, respectivamente, el acto existente y la disposición de que se trate.</w:t>
            </w:r>
          </w:p>
          <w:p w14:paraId="42CE7BE9" w14:textId="77777777" w:rsidR="00B7127A" w:rsidRPr="00B34733" w:rsidRDefault="00B7127A" w:rsidP="003506ED">
            <w:pPr>
              <w:pStyle w:val="Lgendestandard"/>
              <w:rPr>
                <w:szCs w:val="24"/>
              </w:rPr>
            </w:pPr>
          </w:p>
          <w:p w14:paraId="06747D87" w14:textId="77777777" w:rsidR="00B7127A" w:rsidRPr="00B34733" w:rsidRDefault="00B34733" w:rsidP="003506ED">
            <w:pPr>
              <w:pStyle w:val="Lgendestandard"/>
              <w:rPr>
                <w:b/>
                <w:szCs w:val="24"/>
              </w:rPr>
            </w:pPr>
            <w:r w:rsidRPr="00B34733">
              <w:rPr>
                <w:b/>
              </w:rPr>
              <w:t>Enmiendas del Parlamento en forma de texto consolidado</w:t>
            </w:r>
          </w:p>
          <w:p w14:paraId="3E005C64" w14:textId="77777777" w:rsidR="00B7127A" w:rsidRPr="00B34733" w:rsidRDefault="00B7127A" w:rsidP="003506ED">
            <w:pPr>
              <w:pStyle w:val="Lgendestandard"/>
              <w:rPr>
                <w:szCs w:val="24"/>
              </w:rPr>
            </w:pPr>
          </w:p>
          <w:p w14:paraId="2EE53295" w14:textId="77777777" w:rsidR="00B7127A" w:rsidRPr="00B34733" w:rsidRDefault="00B34733" w:rsidP="003506ED">
            <w:pPr>
              <w:pStyle w:val="Lgendestandard"/>
              <w:rPr>
                <w:szCs w:val="24"/>
              </w:rPr>
            </w:pPr>
            <w:r w:rsidRPr="00B34733">
              <w:t xml:space="preserve">Las partes de texto nuevas se indican en </w:t>
            </w:r>
            <w:r w:rsidRPr="00B34733">
              <w:rPr>
                <w:b/>
                <w:i/>
              </w:rPr>
              <w:t>cursiva y negrita</w:t>
            </w:r>
            <w:r w:rsidRPr="00B34733">
              <w:t xml:space="preserve">. Las partes de texto suprimidas se indican mediante el símbolo ▌o se tachan. Las sustituciones se indican señalando el texto nuevo en </w:t>
            </w:r>
            <w:r w:rsidRPr="00B34733">
              <w:rPr>
                <w:b/>
                <w:i/>
              </w:rPr>
              <w:t>cursiva y negrita</w:t>
            </w:r>
            <w:r w:rsidRPr="00B34733">
              <w:t xml:space="preserve"> y suprimiendo o tachando el texto sustituido. </w:t>
            </w:r>
          </w:p>
          <w:p w14:paraId="29D25832" w14:textId="77777777" w:rsidR="00B7127A" w:rsidRPr="00B34733" w:rsidRDefault="00B34733" w:rsidP="003506ED">
            <w:pPr>
              <w:pStyle w:val="Lgendestandard"/>
            </w:pPr>
            <w:r w:rsidRPr="00B34733">
              <w:t>Como excepción, no se marcan las modificaciones de carácter estrictamente técnico introducidas por los servicios para la elaboración del texto final.</w:t>
            </w:r>
          </w:p>
          <w:p w14:paraId="058E3662" w14:textId="77777777" w:rsidR="00B7127A" w:rsidRPr="00B34733" w:rsidRDefault="00B7127A" w:rsidP="0069092A">
            <w:pPr>
              <w:pStyle w:val="Lgendestandard"/>
            </w:pPr>
          </w:p>
        </w:tc>
      </w:tr>
    </w:tbl>
    <w:p w14:paraId="274FA40E" w14:textId="77777777" w:rsidR="00B7127A" w:rsidRPr="00B34733" w:rsidRDefault="00B7127A" w:rsidP="00894923"/>
    <w:p w14:paraId="35556E46" w14:textId="77777777" w:rsidR="00793EA9" w:rsidRPr="00B34733" w:rsidRDefault="00793EA9" w:rsidP="00012351">
      <w:pPr>
        <w:widowControl/>
        <w:tabs>
          <w:tab w:val="center" w:pos="4677"/>
        </w:tabs>
      </w:pPr>
    </w:p>
    <w:p w14:paraId="29744E52" w14:textId="77777777" w:rsidR="00793EA9" w:rsidRPr="00B34733" w:rsidRDefault="00B34733">
      <w:pPr>
        <w:pStyle w:val="TOCHeading"/>
      </w:pPr>
      <w:r w:rsidRPr="00B34733">
        <w:br w:type="page"/>
      </w:r>
      <w:r w:rsidRPr="00B34733">
        <w:lastRenderedPageBreak/>
        <w:t>ÍNDICE</w:t>
      </w:r>
    </w:p>
    <w:p w14:paraId="6DED5FED" w14:textId="77777777" w:rsidR="00793EA9" w:rsidRPr="00B34733" w:rsidRDefault="00B34733">
      <w:pPr>
        <w:pStyle w:val="TOCPage"/>
      </w:pPr>
      <w:r w:rsidRPr="00B34733">
        <w:t>Página</w:t>
      </w:r>
    </w:p>
    <w:p w14:paraId="1C32879B" w14:textId="574FAD6F" w:rsidR="00B34733" w:rsidRDefault="00B34733">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B34733">
        <w:rPr>
          <w:b/>
        </w:rPr>
        <w:fldChar w:fldCharType="begin"/>
      </w:r>
      <w:r w:rsidRPr="00B34733">
        <w:rPr>
          <w:b/>
        </w:rPr>
        <w:instrText xml:space="preserve"> TOC \t "PageHeading</w:instrText>
      </w:r>
      <w:r w:rsidR="009D6D7A" w:rsidRPr="00B34733">
        <w:rPr>
          <w:b/>
        </w:rPr>
        <w:instrText>;</w:instrText>
      </w:r>
      <w:r w:rsidRPr="00B34733">
        <w:rPr>
          <w:b/>
        </w:rPr>
        <w:instrText xml:space="preserve">1" </w:instrText>
      </w:r>
      <w:r w:rsidRPr="00B34733">
        <w:rPr>
          <w:b/>
        </w:rPr>
        <w:fldChar w:fldCharType="separate"/>
      </w:r>
      <w:r>
        <w:rPr>
          <w:noProof/>
        </w:rPr>
        <w:t>PROYECTO DE RESOLUCIÓN LEGISLATIVA DEL PARLAMENTO EUROPEO</w:t>
      </w:r>
      <w:r>
        <w:rPr>
          <w:noProof/>
        </w:rPr>
        <w:tab/>
      </w:r>
      <w:r>
        <w:rPr>
          <w:noProof/>
        </w:rPr>
        <w:fldChar w:fldCharType="begin"/>
      </w:r>
      <w:r>
        <w:rPr>
          <w:noProof/>
        </w:rPr>
        <w:instrText xml:space="preserve"> PAGEREF _Toc215663356 \h </w:instrText>
      </w:r>
      <w:r>
        <w:rPr>
          <w:noProof/>
        </w:rPr>
      </w:r>
      <w:r>
        <w:rPr>
          <w:noProof/>
        </w:rPr>
        <w:fldChar w:fldCharType="separate"/>
      </w:r>
      <w:r>
        <w:rPr>
          <w:noProof/>
        </w:rPr>
        <w:t>5</w:t>
      </w:r>
      <w:r>
        <w:rPr>
          <w:noProof/>
        </w:rPr>
        <w:fldChar w:fldCharType="end"/>
      </w:r>
    </w:p>
    <w:p w14:paraId="59891781" w14:textId="47EC2444" w:rsidR="00B34733" w:rsidRDefault="00B34733">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EXPOSICIÓN DE MOTIVOS</w:t>
      </w:r>
      <w:r>
        <w:rPr>
          <w:noProof/>
        </w:rPr>
        <w:tab/>
      </w:r>
      <w:r>
        <w:rPr>
          <w:noProof/>
        </w:rPr>
        <w:fldChar w:fldCharType="begin"/>
      </w:r>
      <w:r>
        <w:rPr>
          <w:noProof/>
        </w:rPr>
        <w:instrText xml:space="preserve"> PAGEREF _Toc215663357 \h </w:instrText>
      </w:r>
      <w:r>
        <w:rPr>
          <w:noProof/>
        </w:rPr>
      </w:r>
      <w:r>
        <w:rPr>
          <w:noProof/>
        </w:rPr>
        <w:fldChar w:fldCharType="separate"/>
      </w:r>
      <w:r>
        <w:rPr>
          <w:noProof/>
        </w:rPr>
        <w:t>16</w:t>
      </w:r>
      <w:r>
        <w:rPr>
          <w:noProof/>
        </w:rPr>
        <w:fldChar w:fldCharType="end"/>
      </w:r>
    </w:p>
    <w:p w14:paraId="7B5793AA" w14:textId="0A6B5B7D" w:rsidR="00B34733" w:rsidRDefault="00B34733">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ANEXO: ENTIDADES O PERSONAS DE LAS QUE LA PONENTE HA RECIBIDO CONTRIBUCIONES</w:t>
      </w:r>
      <w:r>
        <w:rPr>
          <w:noProof/>
        </w:rPr>
        <w:tab/>
      </w:r>
      <w:r>
        <w:rPr>
          <w:noProof/>
        </w:rPr>
        <w:fldChar w:fldCharType="begin"/>
      </w:r>
      <w:r>
        <w:rPr>
          <w:noProof/>
        </w:rPr>
        <w:instrText xml:space="preserve"> PAGEREF _Toc215663358 \h </w:instrText>
      </w:r>
      <w:r>
        <w:rPr>
          <w:noProof/>
        </w:rPr>
      </w:r>
      <w:r>
        <w:rPr>
          <w:noProof/>
        </w:rPr>
        <w:fldChar w:fldCharType="separate"/>
      </w:r>
      <w:r>
        <w:rPr>
          <w:noProof/>
        </w:rPr>
        <w:t>18</w:t>
      </w:r>
      <w:r>
        <w:rPr>
          <w:noProof/>
        </w:rPr>
        <w:fldChar w:fldCharType="end"/>
      </w:r>
    </w:p>
    <w:p w14:paraId="148A3C78" w14:textId="69C8DEDC" w:rsidR="002346B0" w:rsidRPr="00B34733" w:rsidRDefault="00B34733" w:rsidP="00C23324">
      <w:r w:rsidRPr="00B34733">
        <w:rPr>
          <w:b/>
        </w:rPr>
        <w:fldChar w:fldCharType="end"/>
      </w:r>
    </w:p>
    <w:p w14:paraId="163E765A" w14:textId="77777777" w:rsidR="00793EA9" w:rsidRPr="00B34733" w:rsidRDefault="00B34733">
      <w:pPr>
        <w:pStyle w:val="PageHeading"/>
      </w:pPr>
      <w:r w:rsidRPr="00B34733">
        <w:br w:type="page"/>
      </w:r>
      <w:r w:rsidRPr="00B34733">
        <w:lastRenderedPageBreak/>
        <w:br w:type="page"/>
      </w:r>
      <w:bookmarkStart w:id="0" w:name="_Toc215663356"/>
      <w:r w:rsidRPr="00B34733">
        <w:lastRenderedPageBreak/>
        <w:t>PROYECTO DE RESOLUCIÓN LEGISLATIVA DEL PARLAMENTO EUROPEO</w:t>
      </w:r>
      <w:bookmarkEnd w:id="0"/>
    </w:p>
    <w:p w14:paraId="754F1B5B" w14:textId="77777777" w:rsidR="00793EA9" w:rsidRPr="00B34733" w:rsidRDefault="00B34733">
      <w:pPr>
        <w:pStyle w:val="NormalBold"/>
      </w:pPr>
      <w:r w:rsidRPr="00B34733">
        <w:t>sobre la propuesta de Reglamento del Parlamento Europeo y del Consejo relativo a los efectos negativos relacionados con el comercio del exceso de capacidad mundial en el mercado siderúrgico de la Unión</w:t>
      </w:r>
    </w:p>
    <w:p w14:paraId="76D968E4" w14:textId="77777777" w:rsidR="00793EA9" w:rsidRPr="00B34733" w:rsidRDefault="00B34733">
      <w:pPr>
        <w:pStyle w:val="NormalBold12a"/>
      </w:pPr>
      <w:r w:rsidRPr="00B34733">
        <w:t>(COM(2025)0726 – C10</w:t>
      </w:r>
      <w:r w:rsidRPr="00B34733">
        <w:noBreakHyphen/>
        <w:t>0245/2025 – 2025/0726(COD))</w:t>
      </w:r>
    </w:p>
    <w:p w14:paraId="0D99F655" w14:textId="77777777" w:rsidR="00793EA9" w:rsidRPr="00B34733" w:rsidRDefault="00B34733" w:rsidP="00A910C9">
      <w:pPr>
        <w:pStyle w:val="NormalBold"/>
      </w:pPr>
      <w:r w:rsidRPr="00B34733">
        <w:t>(Procedimiento legislativo ordinario: primera lectura)</w:t>
      </w:r>
    </w:p>
    <w:p w14:paraId="668BC5F6" w14:textId="77777777" w:rsidR="00793EA9" w:rsidRPr="00B34733" w:rsidRDefault="00B34733" w:rsidP="00A910C9">
      <w:pPr>
        <w:pStyle w:val="EPComma"/>
      </w:pPr>
      <w:r w:rsidRPr="00B34733">
        <w:rPr>
          <w:i/>
        </w:rPr>
        <w:t>El Parlamento Europeo</w:t>
      </w:r>
      <w:r w:rsidRPr="00B34733">
        <w:t>,</w:t>
      </w:r>
    </w:p>
    <w:p w14:paraId="1B365938" w14:textId="77777777" w:rsidR="00793EA9" w:rsidRPr="00B34733" w:rsidRDefault="00B34733">
      <w:pPr>
        <w:pStyle w:val="NormalHanging12a"/>
      </w:pPr>
      <w:r w:rsidRPr="00B34733">
        <w:t>–</w:t>
      </w:r>
      <w:r w:rsidRPr="00B34733">
        <w:tab/>
        <w:t>Vista la propuesta de la Comisión al Parlamento Europeo y al Consejo (COM(2025)0726),</w:t>
      </w:r>
    </w:p>
    <w:p w14:paraId="0F096D92" w14:textId="77777777" w:rsidR="00793EA9" w:rsidRPr="00B34733" w:rsidRDefault="00B34733">
      <w:pPr>
        <w:pStyle w:val="NormalHanging12a"/>
      </w:pPr>
      <w:r w:rsidRPr="00B34733">
        <w:t>–</w:t>
      </w:r>
      <w:r w:rsidRPr="00B34733">
        <w:tab/>
        <w:t>Vistos el artículo 294, apartado 2, y el artículo 207, apartado 2, del Tratado de Funcionamiento de la Unión Europea, conforme a los cuales la Comisión le ha presentado su propuesta (C10</w:t>
      </w:r>
      <w:r w:rsidRPr="00B34733">
        <w:noBreakHyphen/>
        <w:t>0245/2025),</w:t>
      </w:r>
    </w:p>
    <w:p w14:paraId="77BD44AA" w14:textId="77777777" w:rsidR="00AD7FA6" w:rsidRPr="00B34733" w:rsidRDefault="00B34733" w:rsidP="00B71A3C">
      <w:pPr>
        <w:pStyle w:val="NormalHanging12a"/>
      </w:pPr>
      <w:r w:rsidRPr="00B34733">
        <w:t>–</w:t>
      </w:r>
      <w:r w:rsidRPr="00B34733">
        <w:tab/>
        <w:t>Visto el artículo 294, apartado 3, del Tratado de Funcionamiento de la Unión Europea,</w:t>
      </w:r>
    </w:p>
    <w:p w14:paraId="33002AAA" w14:textId="77777777" w:rsidR="00793EA9" w:rsidRPr="00B34733" w:rsidRDefault="00B34733">
      <w:pPr>
        <w:pStyle w:val="NormalHanging12a"/>
      </w:pPr>
      <w:r w:rsidRPr="00B34733">
        <w:t>–</w:t>
      </w:r>
      <w:r w:rsidRPr="00B34733">
        <w:tab/>
        <w:t>Visto el artículo 60 de su Reglamento interno,</w:t>
      </w:r>
    </w:p>
    <w:p w14:paraId="28718DCE" w14:textId="77777777" w:rsidR="006A2F5D" w:rsidRPr="00B34733" w:rsidRDefault="00B34733" w:rsidP="00281494">
      <w:pPr>
        <w:pStyle w:val="NormalHanging12a"/>
      </w:pPr>
      <w:r w:rsidRPr="00B34733">
        <w:t>–</w:t>
      </w:r>
      <w:r w:rsidRPr="00B34733">
        <w:tab/>
        <w:t>Vista la opinión de la Comisión de Industria, Investigación y Energía,</w:t>
      </w:r>
    </w:p>
    <w:p w14:paraId="2759EDB5" w14:textId="77777777" w:rsidR="006A2F5D" w:rsidRPr="00B34733" w:rsidRDefault="00B34733" w:rsidP="006A2F5D">
      <w:pPr>
        <w:pStyle w:val="NormalHanging12a"/>
      </w:pPr>
      <w:r w:rsidRPr="00B34733">
        <w:t>–</w:t>
      </w:r>
      <w:r w:rsidRPr="00B34733">
        <w:tab/>
        <w:t>Visto el informe de la Comisión de Comercio Internacional (A10</w:t>
      </w:r>
      <w:r w:rsidRPr="00B34733">
        <w:noBreakHyphen/>
        <w:t>0000/2025),</w:t>
      </w:r>
    </w:p>
    <w:p w14:paraId="4000F260" w14:textId="77777777" w:rsidR="009F6C2F" w:rsidRPr="00B34733" w:rsidRDefault="00B34733" w:rsidP="009F6C2F">
      <w:pPr>
        <w:pStyle w:val="NormalHanging12a"/>
      </w:pPr>
      <w:r w:rsidRPr="00B34733">
        <w:t>1.</w:t>
      </w:r>
      <w:r w:rsidRPr="00B34733">
        <w:tab/>
        <w:t>Aprueba la Posición en primera lectura que figura a continuación;</w:t>
      </w:r>
    </w:p>
    <w:p w14:paraId="7F5F1A7F" w14:textId="77777777" w:rsidR="00281494" w:rsidRPr="00B34733" w:rsidRDefault="00B34733" w:rsidP="00281494">
      <w:pPr>
        <w:pStyle w:val="NormalHanging12a"/>
      </w:pPr>
      <w:r w:rsidRPr="00B34733">
        <w:t>2.</w:t>
      </w:r>
      <w:r w:rsidRPr="00B34733">
        <w:tab/>
        <w:t>Pide a la Comisión que le consulte de nuevo si sustituye su propuesta, la modifica sustancialmente o se propone modificarla sustancialmente;</w:t>
      </w:r>
    </w:p>
    <w:p w14:paraId="7E88813B" w14:textId="77777777" w:rsidR="00281494" w:rsidRPr="00B34733" w:rsidRDefault="00B34733" w:rsidP="00281494">
      <w:pPr>
        <w:pStyle w:val="NormalHanging12a"/>
      </w:pPr>
      <w:r w:rsidRPr="00B34733">
        <w:t>3.</w:t>
      </w:r>
      <w:r w:rsidRPr="00B34733">
        <w:tab/>
        <w:t>Encarga a su presidenta que transmita la Posición del Parlamento al Consejo y a la Comisión, así como a los Parlamentos nacionales.</w:t>
      </w:r>
    </w:p>
    <w:p w14:paraId="55D2A174" w14:textId="77777777" w:rsidR="00F45A6F" w:rsidRPr="00B34733" w:rsidRDefault="00F45A6F" w:rsidP="009F6C2F">
      <w:pPr>
        <w:pStyle w:val="NormalHanging12a"/>
      </w:pPr>
    </w:p>
    <w:p w14:paraId="0C88C413" w14:textId="77777777" w:rsidR="00F45A6F" w:rsidRPr="00B34733" w:rsidRDefault="00B34733">
      <w:pPr>
        <w:widowControl/>
      </w:pPr>
      <w:r w:rsidRPr="00B34733">
        <w:br w:type="page"/>
      </w:r>
    </w:p>
    <w:p w14:paraId="75D6B3B6" w14:textId="77777777" w:rsidR="00F45A6F" w:rsidRPr="00B34733" w:rsidRDefault="00F45A6F" w:rsidP="00F45A6F"/>
    <w:p w14:paraId="48B950C4" w14:textId="77777777" w:rsidR="00F45A6F" w:rsidRPr="00B34733" w:rsidRDefault="00B34733" w:rsidP="00F45A6F">
      <w:pPr>
        <w:pStyle w:val="AmNumberTabs"/>
      </w:pPr>
      <w:r w:rsidRPr="00B34733">
        <w:rPr>
          <w:rStyle w:val="HideTWBExt"/>
          <w:b w:val="0"/>
        </w:rPr>
        <w:t>&lt;RepeatBlock-Amend&gt;&lt;Amend&gt;</w:t>
      </w:r>
      <w:r w:rsidRPr="00B34733">
        <w:t>Enmienda</w:t>
      </w:r>
      <w:r w:rsidRPr="00B34733">
        <w:tab/>
      </w:r>
      <w:r w:rsidRPr="00B34733">
        <w:tab/>
      </w:r>
      <w:r w:rsidRPr="00B34733">
        <w:rPr>
          <w:rStyle w:val="HideTWBExt"/>
          <w:b w:val="0"/>
        </w:rPr>
        <w:t>&lt;NumAm&gt;</w:t>
      </w:r>
      <w:r w:rsidRPr="00B34733">
        <w:t>1</w:t>
      </w:r>
      <w:r w:rsidRPr="00B34733">
        <w:rPr>
          <w:rStyle w:val="HideTWBExt"/>
          <w:b w:val="0"/>
        </w:rPr>
        <w:t>&lt;/NumAm&gt;</w:t>
      </w:r>
    </w:p>
    <w:p w14:paraId="085C4E97" w14:textId="77777777" w:rsidR="00F45A6F" w:rsidRPr="00B34733" w:rsidRDefault="00B34733" w:rsidP="00F45A6F">
      <w:pPr>
        <w:pStyle w:val="NormalBold12b"/>
      </w:pPr>
      <w:r w:rsidRPr="00B34733">
        <w:rPr>
          <w:rStyle w:val="HideTWBExt"/>
          <w:b w:val="0"/>
        </w:rPr>
        <w:t>&lt;DocAmend&gt;</w:t>
      </w:r>
      <w:r w:rsidRPr="00B34733">
        <w:t>Propuesta de Reglamento</w:t>
      </w:r>
      <w:r w:rsidRPr="00B34733">
        <w:rPr>
          <w:rStyle w:val="HideTWBExt"/>
          <w:b w:val="0"/>
        </w:rPr>
        <w:t>&lt;/DocAmend&gt;</w:t>
      </w:r>
    </w:p>
    <w:p w14:paraId="583FB319" w14:textId="77777777" w:rsidR="00F45A6F" w:rsidRPr="00B34733" w:rsidRDefault="00B34733" w:rsidP="00F45A6F">
      <w:pPr>
        <w:pStyle w:val="NormalBold"/>
      </w:pPr>
      <w:r w:rsidRPr="00B34733">
        <w:rPr>
          <w:rStyle w:val="HideTWBExt"/>
          <w:b w:val="0"/>
        </w:rPr>
        <w:t>&lt;Article&gt;</w:t>
      </w:r>
      <w:r w:rsidRPr="00B34733">
        <w:t>Considerando 15</w:t>
      </w:r>
      <w:r w:rsidRPr="00B3473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4733" w:rsidRPr="00B34733" w14:paraId="452B6FD2" w14:textId="77777777" w:rsidTr="00F45A6F">
        <w:trPr>
          <w:trHeight w:val="240"/>
          <w:jc w:val="center"/>
        </w:trPr>
        <w:tc>
          <w:tcPr>
            <w:tcW w:w="9752" w:type="dxa"/>
            <w:gridSpan w:val="2"/>
          </w:tcPr>
          <w:p w14:paraId="1EC6A16C" w14:textId="77777777" w:rsidR="00F45A6F" w:rsidRPr="00B34733" w:rsidRDefault="00F45A6F"/>
        </w:tc>
      </w:tr>
      <w:tr w:rsidR="00B34733" w:rsidRPr="00B34733" w14:paraId="42E5A5C0" w14:textId="77777777" w:rsidTr="00F45A6F">
        <w:trPr>
          <w:trHeight w:val="240"/>
          <w:jc w:val="center"/>
        </w:trPr>
        <w:tc>
          <w:tcPr>
            <w:tcW w:w="4876" w:type="dxa"/>
            <w:hideMark/>
          </w:tcPr>
          <w:p w14:paraId="2E6D9EFC" w14:textId="77777777" w:rsidR="00F45A6F" w:rsidRPr="00B34733" w:rsidRDefault="00B34733">
            <w:pPr>
              <w:pStyle w:val="AmColumnHeading"/>
            </w:pPr>
            <w:r w:rsidRPr="00B34733">
              <w:t>Texto de la Comisión</w:t>
            </w:r>
          </w:p>
        </w:tc>
        <w:tc>
          <w:tcPr>
            <w:tcW w:w="4876" w:type="dxa"/>
            <w:hideMark/>
          </w:tcPr>
          <w:p w14:paraId="3E78FF44" w14:textId="77777777" w:rsidR="00F45A6F" w:rsidRPr="00B34733" w:rsidRDefault="00B34733">
            <w:pPr>
              <w:pStyle w:val="AmColumnHeading"/>
            </w:pPr>
            <w:r w:rsidRPr="00B34733">
              <w:t>Enmienda</w:t>
            </w:r>
          </w:p>
        </w:tc>
      </w:tr>
      <w:tr w:rsidR="00B34733" w:rsidRPr="00B34733" w14:paraId="4ACEA24D" w14:textId="77777777" w:rsidTr="00F45A6F">
        <w:trPr>
          <w:jc w:val="center"/>
        </w:trPr>
        <w:tc>
          <w:tcPr>
            <w:tcW w:w="4876" w:type="dxa"/>
            <w:hideMark/>
          </w:tcPr>
          <w:p w14:paraId="7F148C9D" w14:textId="7A346A1F" w:rsidR="00F45A6F" w:rsidRPr="00B34733" w:rsidRDefault="00B34733">
            <w:pPr>
              <w:pStyle w:val="Normal6a"/>
            </w:pPr>
            <w:r w:rsidRPr="00B34733">
              <w:t>(15)</w:t>
            </w:r>
            <w:r w:rsidRPr="00B34733">
              <w:tab/>
            </w:r>
            <w:r w:rsidRPr="00B34733">
              <w:t>Aunque, en virtud del Reglamento de Ejecución (UE) 2019/159, el arancel fuera del contingente se fija en el 25 %, teniendo en cuenta el nivel de los aranceles en el sector siderúrgico en otros mercados clave, procede fijar el nivel del arancel fuera del contingente en un derecho del</w:t>
            </w:r>
            <w:r>
              <w:t> </w:t>
            </w:r>
            <w:r w:rsidRPr="00B34733">
              <w:t>50 % para minimizar el riesgo de desvío comercial. Este derecho se añadiría a otros derechos aplicables a las categorías de productos que abarca el presente Reglamento.</w:t>
            </w:r>
          </w:p>
        </w:tc>
        <w:tc>
          <w:tcPr>
            <w:tcW w:w="4876" w:type="dxa"/>
            <w:hideMark/>
          </w:tcPr>
          <w:p w14:paraId="52636961" w14:textId="499FDB4A" w:rsidR="00F45A6F" w:rsidRPr="00B34733" w:rsidRDefault="00B34733">
            <w:pPr>
              <w:pStyle w:val="Normal6a"/>
            </w:pPr>
            <w:r w:rsidRPr="00B34733">
              <w:t>(15)</w:t>
            </w:r>
            <w:r w:rsidRPr="00B34733">
              <w:tab/>
              <w:t>Aunque, en virtud del Reglamento de Ejecución (UE) 2019/159, el arancel fuera del contingente se fija en el 25 %, teniendo en cuenta el nivel de los aranceles en el sector siderúrgico en otros mercados clave, procede fijar el nivel del arancel fuera del contingente en un derecho del</w:t>
            </w:r>
            <w:r>
              <w:t> </w:t>
            </w:r>
            <w:r w:rsidRPr="00B34733">
              <w:t>50 % para minimizar el riesgo de desvío comercial</w:t>
            </w:r>
            <w:r w:rsidRPr="00B34733">
              <w:rPr>
                <w:b/>
                <w:i/>
              </w:rPr>
              <w:t xml:space="preserve"> y permitir un aumento de la capacidad de producción</w:t>
            </w:r>
            <w:r w:rsidRPr="00B34733">
              <w:t>. Este derecho se añadiría a otros derechos aplicables a las categorías de productos que abarca el presente Reglamento.</w:t>
            </w:r>
          </w:p>
        </w:tc>
      </w:tr>
    </w:tbl>
    <w:p w14:paraId="74354BAC" w14:textId="77777777" w:rsidR="00F45A6F" w:rsidRPr="00B34733" w:rsidRDefault="00B34733" w:rsidP="00F45A6F">
      <w:pPr>
        <w:pStyle w:val="AmOrLang"/>
      </w:pPr>
      <w:r w:rsidRPr="00B34733">
        <w:t xml:space="preserve">Or. </w:t>
      </w:r>
      <w:r w:rsidRPr="00B34733">
        <w:rPr>
          <w:rStyle w:val="HideTWBExt"/>
        </w:rPr>
        <w:t>&lt;Original&gt;</w:t>
      </w:r>
      <w:r w:rsidRPr="00B34733">
        <w:rPr>
          <w:rStyle w:val="HideTWBInt"/>
        </w:rPr>
        <w:t>{EN}</w:t>
      </w:r>
      <w:r w:rsidRPr="00B34733">
        <w:t>en</w:t>
      </w:r>
      <w:r w:rsidRPr="00B34733">
        <w:rPr>
          <w:rStyle w:val="HideTWBExt"/>
        </w:rPr>
        <w:t>&lt;/Original&gt;</w:t>
      </w:r>
    </w:p>
    <w:p w14:paraId="3BA4EE4F" w14:textId="77777777" w:rsidR="00F45A6F" w:rsidRPr="00B34733" w:rsidRDefault="00B34733" w:rsidP="00F45A6F">
      <w:r w:rsidRPr="00B34733">
        <w:rPr>
          <w:rStyle w:val="HideTWBExt"/>
        </w:rPr>
        <w:t>&lt;/Amend&gt;</w:t>
      </w:r>
    </w:p>
    <w:p w14:paraId="41572B09" w14:textId="77777777" w:rsidR="00F45A6F" w:rsidRPr="00B34733" w:rsidRDefault="00F45A6F" w:rsidP="00F45A6F"/>
    <w:p w14:paraId="481AC60C" w14:textId="77777777" w:rsidR="00F45A6F" w:rsidRPr="00B34733" w:rsidRDefault="00B34733" w:rsidP="00F45A6F">
      <w:pPr>
        <w:pStyle w:val="AmNumberTabs"/>
      </w:pPr>
      <w:r w:rsidRPr="00B34733">
        <w:rPr>
          <w:rStyle w:val="HideTWBExt"/>
          <w:b w:val="0"/>
        </w:rPr>
        <w:t>&lt;Amend&gt;</w:t>
      </w:r>
      <w:r w:rsidRPr="00B34733">
        <w:t>Enmienda</w:t>
      </w:r>
      <w:r w:rsidRPr="00B34733">
        <w:tab/>
      </w:r>
      <w:r w:rsidRPr="00B34733">
        <w:tab/>
      </w:r>
      <w:r w:rsidRPr="00B34733">
        <w:rPr>
          <w:rStyle w:val="HideTWBExt"/>
          <w:b w:val="0"/>
        </w:rPr>
        <w:t>&lt;NumAm&gt;</w:t>
      </w:r>
      <w:r w:rsidRPr="00B34733">
        <w:t>2</w:t>
      </w:r>
      <w:r w:rsidRPr="00B34733">
        <w:rPr>
          <w:rStyle w:val="HideTWBExt"/>
          <w:b w:val="0"/>
        </w:rPr>
        <w:t>&lt;/NumAm&gt;</w:t>
      </w:r>
    </w:p>
    <w:p w14:paraId="462C82AA" w14:textId="77777777" w:rsidR="00F45A6F" w:rsidRPr="00B34733" w:rsidRDefault="00B34733" w:rsidP="00F45A6F">
      <w:pPr>
        <w:pStyle w:val="NormalBold12b"/>
      </w:pPr>
      <w:r w:rsidRPr="00B34733">
        <w:rPr>
          <w:rStyle w:val="HideTWBExt"/>
          <w:b w:val="0"/>
        </w:rPr>
        <w:t>&lt;DocAmend&gt;</w:t>
      </w:r>
      <w:r w:rsidRPr="00B34733">
        <w:t>Propuesta de Reglamento</w:t>
      </w:r>
      <w:r w:rsidRPr="00B34733">
        <w:rPr>
          <w:rStyle w:val="HideTWBExt"/>
          <w:b w:val="0"/>
        </w:rPr>
        <w:t>&lt;/DocAmend&gt;</w:t>
      </w:r>
    </w:p>
    <w:p w14:paraId="349D9876" w14:textId="77777777" w:rsidR="00F45A6F" w:rsidRPr="00B34733" w:rsidRDefault="00B34733" w:rsidP="00F45A6F">
      <w:pPr>
        <w:pStyle w:val="NormalBold"/>
      </w:pPr>
      <w:r w:rsidRPr="00B34733">
        <w:rPr>
          <w:rStyle w:val="HideTWBExt"/>
          <w:b w:val="0"/>
        </w:rPr>
        <w:t>&lt;Article&gt;</w:t>
      </w:r>
      <w:r w:rsidRPr="00B34733">
        <w:t>Considerando 16 bis (nuevo)</w:t>
      </w:r>
      <w:r w:rsidRPr="00B3473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4733" w:rsidRPr="00B34733" w14:paraId="0F1BA927" w14:textId="77777777" w:rsidTr="00F45A6F">
        <w:trPr>
          <w:trHeight w:val="240"/>
          <w:jc w:val="center"/>
        </w:trPr>
        <w:tc>
          <w:tcPr>
            <w:tcW w:w="9752" w:type="dxa"/>
            <w:gridSpan w:val="2"/>
          </w:tcPr>
          <w:p w14:paraId="1CEEC581" w14:textId="77777777" w:rsidR="00F45A6F" w:rsidRPr="00B34733" w:rsidRDefault="00F45A6F"/>
        </w:tc>
      </w:tr>
      <w:tr w:rsidR="00B34733" w:rsidRPr="00B34733" w14:paraId="601E4D15" w14:textId="77777777" w:rsidTr="00F45A6F">
        <w:trPr>
          <w:trHeight w:val="240"/>
          <w:jc w:val="center"/>
        </w:trPr>
        <w:tc>
          <w:tcPr>
            <w:tcW w:w="4876" w:type="dxa"/>
            <w:hideMark/>
          </w:tcPr>
          <w:p w14:paraId="3334F4FE" w14:textId="77777777" w:rsidR="00F45A6F" w:rsidRPr="00B34733" w:rsidRDefault="00B34733">
            <w:pPr>
              <w:pStyle w:val="AmColumnHeading"/>
            </w:pPr>
            <w:r w:rsidRPr="00B34733">
              <w:t>Texto de la Comisión</w:t>
            </w:r>
          </w:p>
        </w:tc>
        <w:tc>
          <w:tcPr>
            <w:tcW w:w="4876" w:type="dxa"/>
            <w:hideMark/>
          </w:tcPr>
          <w:p w14:paraId="11A7741E" w14:textId="77777777" w:rsidR="00F45A6F" w:rsidRPr="00B34733" w:rsidRDefault="00B34733">
            <w:pPr>
              <w:pStyle w:val="AmColumnHeading"/>
            </w:pPr>
            <w:r w:rsidRPr="00B34733">
              <w:t>Enmienda</w:t>
            </w:r>
          </w:p>
        </w:tc>
      </w:tr>
      <w:tr w:rsidR="00B34733" w:rsidRPr="00B34733" w14:paraId="02691256" w14:textId="77777777" w:rsidTr="00F45A6F">
        <w:trPr>
          <w:jc w:val="center"/>
        </w:trPr>
        <w:tc>
          <w:tcPr>
            <w:tcW w:w="4876" w:type="dxa"/>
          </w:tcPr>
          <w:p w14:paraId="05800296" w14:textId="77777777" w:rsidR="00F45A6F" w:rsidRPr="00B34733" w:rsidRDefault="00F45A6F">
            <w:pPr>
              <w:pStyle w:val="Normal6a"/>
            </w:pPr>
          </w:p>
        </w:tc>
        <w:tc>
          <w:tcPr>
            <w:tcW w:w="4876" w:type="dxa"/>
            <w:hideMark/>
          </w:tcPr>
          <w:p w14:paraId="1AEFF3CF" w14:textId="77777777" w:rsidR="00F45A6F" w:rsidRPr="00B34733" w:rsidRDefault="00B34733">
            <w:pPr>
              <w:pStyle w:val="Normal6a"/>
            </w:pPr>
            <w:r w:rsidRPr="00B34733">
              <w:rPr>
                <w:b/>
                <w:i/>
              </w:rPr>
              <w:t>(16 bis)</w:t>
            </w:r>
            <w:r w:rsidRPr="00B34733">
              <w:tab/>
            </w:r>
            <w:r w:rsidRPr="00B34733">
              <w:rPr>
                <w:b/>
                <w:i/>
              </w:rPr>
              <w:t>El presente Reglamento debe aplicarse respetando plenamente las obligaciones de la Unión en el marco de la OMC. La finalidad de la medida es dar respuesta a las distorsiones comerciales causadas por el exceso de capacidad mundial y debe entenderse como un instrumento para restablecer las condiciones para un comercio más abierto y basado en normas en el futuro. El objetivo a largo plazo de la Unión es que este instrumento facilite una mayor liberalización una vez que se normalicen las condiciones del mercado</w:t>
            </w:r>
            <w:r w:rsidRPr="00B34733">
              <w:rPr>
                <w:b/>
                <w:i/>
              </w:rPr>
              <w:t>.</w:t>
            </w:r>
          </w:p>
        </w:tc>
      </w:tr>
    </w:tbl>
    <w:p w14:paraId="13F12152" w14:textId="77777777" w:rsidR="00F45A6F" w:rsidRPr="00B34733" w:rsidRDefault="00B34733" w:rsidP="00F45A6F">
      <w:pPr>
        <w:pStyle w:val="AmOrLang"/>
      </w:pPr>
      <w:r w:rsidRPr="00B34733">
        <w:t xml:space="preserve">Or. </w:t>
      </w:r>
      <w:r w:rsidRPr="00B34733">
        <w:rPr>
          <w:rStyle w:val="HideTWBExt"/>
        </w:rPr>
        <w:t>&lt;Original&gt;</w:t>
      </w:r>
      <w:r w:rsidRPr="00B34733">
        <w:rPr>
          <w:rStyle w:val="HideTWBInt"/>
        </w:rPr>
        <w:t>{EN}</w:t>
      </w:r>
      <w:r w:rsidRPr="00B34733">
        <w:t>en</w:t>
      </w:r>
      <w:r w:rsidRPr="00B34733">
        <w:rPr>
          <w:rStyle w:val="HideTWBExt"/>
        </w:rPr>
        <w:t>&lt;/Original&gt;</w:t>
      </w:r>
    </w:p>
    <w:p w14:paraId="2498037C" w14:textId="77777777" w:rsidR="00F45A6F" w:rsidRPr="00B34733" w:rsidRDefault="00B34733" w:rsidP="00F45A6F">
      <w:r w:rsidRPr="00B34733">
        <w:rPr>
          <w:rStyle w:val="HideTWBExt"/>
        </w:rPr>
        <w:t>&lt;/Amend&gt;</w:t>
      </w:r>
    </w:p>
    <w:p w14:paraId="76CA7B78" w14:textId="77777777" w:rsidR="00F45A6F" w:rsidRPr="00B34733" w:rsidRDefault="00F45A6F" w:rsidP="00F45A6F"/>
    <w:p w14:paraId="50EF991D" w14:textId="77777777" w:rsidR="00F45A6F" w:rsidRPr="00B34733" w:rsidRDefault="00B34733" w:rsidP="00F45A6F">
      <w:pPr>
        <w:pStyle w:val="AmNumberTabs"/>
      </w:pPr>
      <w:r w:rsidRPr="00B34733">
        <w:rPr>
          <w:rStyle w:val="HideTWBExt"/>
          <w:b w:val="0"/>
        </w:rPr>
        <w:t>&lt;Amend&gt;</w:t>
      </w:r>
      <w:r w:rsidRPr="00B34733">
        <w:t>Enmienda</w:t>
      </w:r>
      <w:r w:rsidRPr="00B34733">
        <w:tab/>
      </w:r>
      <w:r w:rsidRPr="00B34733">
        <w:tab/>
      </w:r>
      <w:r w:rsidRPr="00B34733">
        <w:rPr>
          <w:rStyle w:val="HideTWBExt"/>
          <w:b w:val="0"/>
        </w:rPr>
        <w:t>&lt;NumAm&gt;</w:t>
      </w:r>
      <w:r w:rsidRPr="00B34733">
        <w:t>3</w:t>
      </w:r>
      <w:r w:rsidRPr="00B34733">
        <w:rPr>
          <w:rStyle w:val="HideTWBExt"/>
          <w:b w:val="0"/>
        </w:rPr>
        <w:t>&lt;/NumAm&gt;</w:t>
      </w:r>
    </w:p>
    <w:p w14:paraId="12D1C461" w14:textId="77777777" w:rsidR="00F45A6F" w:rsidRPr="00B34733" w:rsidRDefault="00B34733" w:rsidP="00F45A6F">
      <w:pPr>
        <w:pStyle w:val="NormalBold12b"/>
      </w:pPr>
      <w:r w:rsidRPr="00B34733">
        <w:rPr>
          <w:rStyle w:val="HideTWBExt"/>
          <w:b w:val="0"/>
        </w:rPr>
        <w:t>&lt;DocAmend&gt;</w:t>
      </w:r>
      <w:r w:rsidRPr="00B34733">
        <w:t>Propuesta de Reglamento</w:t>
      </w:r>
      <w:r w:rsidRPr="00B34733">
        <w:rPr>
          <w:rStyle w:val="HideTWBExt"/>
          <w:b w:val="0"/>
        </w:rPr>
        <w:t>&lt;/DocAmend&gt;</w:t>
      </w:r>
    </w:p>
    <w:p w14:paraId="146784B9" w14:textId="77777777" w:rsidR="00F45A6F" w:rsidRPr="00B34733" w:rsidRDefault="00B34733" w:rsidP="00F45A6F">
      <w:pPr>
        <w:pStyle w:val="NormalBold"/>
      </w:pPr>
      <w:r w:rsidRPr="00B34733">
        <w:rPr>
          <w:rStyle w:val="HideTWBExt"/>
          <w:b w:val="0"/>
        </w:rPr>
        <w:t>&lt;Article&gt;</w:t>
      </w:r>
      <w:r w:rsidRPr="00B34733">
        <w:t>Considerando 20 bis (nuevo)</w:t>
      </w:r>
      <w:r w:rsidRPr="00B3473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4733" w:rsidRPr="00B34733" w14:paraId="683C985D" w14:textId="77777777" w:rsidTr="00F45A6F">
        <w:trPr>
          <w:trHeight w:val="240"/>
          <w:jc w:val="center"/>
        </w:trPr>
        <w:tc>
          <w:tcPr>
            <w:tcW w:w="9752" w:type="dxa"/>
            <w:gridSpan w:val="2"/>
          </w:tcPr>
          <w:p w14:paraId="625B6B9F" w14:textId="77777777" w:rsidR="00F45A6F" w:rsidRPr="00B34733" w:rsidRDefault="00F45A6F"/>
        </w:tc>
      </w:tr>
      <w:tr w:rsidR="00B34733" w:rsidRPr="00B34733" w14:paraId="4DEF7A97" w14:textId="77777777" w:rsidTr="00F45A6F">
        <w:trPr>
          <w:trHeight w:val="240"/>
          <w:jc w:val="center"/>
        </w:trPr>
        <w:tc>
          <w:tcPr>
            <w:tcW w:w="4876" w:type="dxa"/>
            <w:hideMark/>
          </w:tcPr>
          <w:p w14:paraId="77AE0D4F" w14:textId="77777777" w:rsidR="00F45A6F" w:rsidRPr="00B34733" w:rsidRDefault="00B34733">
            <w:pPr>
              <w:pStyle w:val="AmColumnHeading"/>
            </w:pPr>
            <w:r w:rsidRPr="00B34733">
              <w:t>Texto de la Comisión</w:t>
            </w:r>
          </w:p>
        </w:tc>
        <w:tc>
          <w:tcPr>
            <w:tcW w:w="4876" w:type="dxa"/>
            <w:hideMark/>
          </w:tcPr>
          <w:p w14:paraId="6B41949F" w14:textId="77777777" w:rsidR="00F45A6F" w:rsidRPr="00B34733" w:rsidRDefault="00B34733">
            <w:pPr>
              <w:pStyle w:val="AmColumnHeading"/>
            </w:pPr>
            <w:r w:rsidRPr="00B34733">
              <w:t>Enmienda</w:t>
            </w:r>
          </w:p>
        </w:tc>
      </w:tr>
      <w:tr w:rsidR="00B34733" w:rsidRPr="00B34733" w14:paraId="4094C5FB" w14:textId="77777777" w:rsidTr="00F45A6F">
        <w:trPr>
          <w:jc w:val="center"/>
        </w:trPr>
        <w:tc>
          <w:tcPr>
            <w:tcW w:w="4876" w:type="dxa"/>
          </w:tcPr>
          <w:p w14:paraId="773EE32C" w14:textId="77777777" w:rsidR="00F45A6F" w:rsidRPr="00B34733" w:rsidRDefault="00F45A6F">
            <w:pPr>
              <w:pStyle w:val="Normal6a"/>
            </w:pPr>
          </w:p>
        </w:tc>
        <w:tc>
          <w:tcPr>
            <w:tcW w:w="4876" w:type="dxa"/>
            <w:hideMark/>
          </w:tcPr>
          <w:p w14:paraId="429DF38A" w14:textId="77777777" w:rsidR="00F45A6F" w:rsidRPr="00B34733" w:rsidRDefault="00B34733">
            <w:pPr>
              <w:pStyle w:val="Normal6a"/>
            </w:pPr>
            <w:r w:rsidRPr="00B34733">
              <w:rPr>
                <w:b/>
                <w:i/>
              </w:rPr>
              <w:t>(20 bis)</w:t>
            </w:r>
            <w:r w:rsidRPr="00B34733">
              <w:tab/>
            </w:r>
            <w:r w:rsidRPr="00B34733">
              <w:rPr>
                <w:b/>
                <w:i/>
              </w:rPr>
              <w:t>Con el fin de garantizar la continuidad y evitar perturbaciones del suministro, debe permitirse la transferencia de los volúmenes de contingentes arancelarios trimestrales no utilizados al trimestre siguiente. Esto proporcionaría la flexibilidad operativa necesaria, conservando al mismo tiempo la eficacia global de la medida.</w:t>
            </w:r>
          </w:p>
        </w:tc>
      </w:tr>
    </w:tbl>
    <w:p w14:paraId="267C07A6" w14:textId="77777777" w:rsidR="00F45A6F" w:rsidRPr="00B34733" w:rsidRDefault="00B34733" w:rsidP="00F45A6F">
      <w:pPr>
        <w:pStyle w:val="AmOrLang"/>
      </w:pPr>
      <w:r w:rsidRPr="00B34733">
        <w:t xml:space="preserve">Or. </w:t>
      </w:r>
      <w:r w:rsidRPr="00B34733">
        <w:rPr>
          <w:rStyle w:val="HideTWBExt"/>
        </w:rPr>
        <w:t>&lt;Original&gt;</w:t>
      </w:r>
      <w:r w:rsidRPr="00B34733">
        <w:rPr>
          <w:rStyle w:val="HideTWBInt"/>
        </w:rPr>
        <w:t>{EN}</w:t>
      </w:r>
      <w:r w:rsidRPr="00B34733">
        <w:t>en</w:t>
      </w:r>
      <w:r w:rsidRPr="00B34733">
        <w:rPr>
          <w:rStyle w:val="HideTWBExt"/>
        </w:rPr>
        <w:t>&lt;/Original&gt;</w:t>
      </w:r>
    </w:p>
    <w:p w14:paraId="7F3E407F" w14:textId="77777777" w:rsidR="00F45A6F" w:rsidRPr="00B34733" w:rsidRDefault="00B34733" w:rsidP="00F45A6F">
      <w:r w:rsidRPr="00B34733">
        <w:rPr>
          <w:rStyle w:val="HideTWBExt"/>
        </w:rPr>
        <w:t>&lt;/Amend&gt;</w:t>
      </w:r>
    </w:p>
    <w:p w14:paraId="123D3622" w14:textId="77777777" w:rsidR="00F45A6F" w:rsidRPr="00B34733" w:rsidRDefault="00F45A6F" w:rsidP="00F45A6F"/>
    <w:p w14:paraId="515282B4" w14:textId="77777777" w:rsidR="00F45A6F" w:rsidRPr="00B34733" w:rsidRDefault="00B34733" w:rsidP="00F45A6F">
      <w:pPr>
        <w:pStyle w:val="AmNumberTabs"/>
      </w:pPr>
      <w:r w:rsidRPr="00B34733">
        <w:rPr>
          <w:rStyle w:val="HideTWBExt"/>
          <w:b w:val="0"/>
        </w:rPr>
        <w:t>&lt;Amend&gt;</w:t>
      </w:r>
      <w:r w:rsidRPr="00B34733">
        <w:t>Enmienda</w:t>
      </w:r>
      <w:r w:rsidRPr="00B34733">
        <w:tab/>
      </w:r>
      <w:r w:rsidRPr="00B34733">
        <w:tab/>
      </w:r>
      <w:r w:rsidRPr="00B34733">
        <w:rPr>
          <w:rStyle w:val="HideTWBExt"/>
          <w:b w:val="0"/>
        </w:rPr>
        <w:t>&lt;NumAm&gt;</w:t>
      </w:r>
      <w:r w:rsidRPr="00B34733">
        <w:t>4</w:t>
      </w:r>
      <w:r w:rsidRPr="00B34733">
        <w:rPr>
          <w:rStyle w:val="HideTWBExt"/>
          <w:b w:val="0"/>
        </w:rPr>
        <w:t>&lt;/NumAm&gt;</w:t>
      </w:r>
    </w:p>
    <w:p w14:paraId="656D10C0" w14:textId="77777777" w:rsidR="00F45A6F" w:rsidRPr="00B34733" w:rsidRDefault="00B34733" w:rsidP="00F45A6F">
      <w:pPr>
        <w:pStyle w:val="NormalBold12b"/>
      </w:pPr>
      <w:r w:rsidRPr="00B34733">
        <w:rPr>
          <w:rStyle w:val="HideTWBExt"/>
          <w:b w:val="0"/>
        </w:rPr>
        <w:t>&lt;DocAmend&gt;</w:t>
      </w:r>
      <w:r w:rsidRPr="00B34733">
        <w:t>Propuesta de Reglamento</w:t>
      </w:r>
      <w:r w:rsidRPr="00B34733">
        <w:rPr>
          <w:rStyle w:val="HideTWBExt"/>
          <w:b w:val="0"/>
        </w:rPr>
        <w:t>&lt;/DocAmend&gt;</w:t>
      </w:r>
    </w:p>
    <w:p w14:paraId="24287C07" w14:textId="77777777" w:rsidR="00F45A6F" w:rsidRPr="00B34733" w:rsidRDefault="00B34733" w:rsidP="00F45A6F">
      <w:pPr>
        <w:pStyle w:val="NormalBold"/>
      </w:pPr>
      <w:r w:rsidRPr="00B34733">
        <w:rPr>
          <w:rStyle w:val="HideTWBExt"/>
          <w:b w:val="0"/>
        </w:rPr>
        <w:t>&lt;Article&gt;</w:t>
      </w:r>
      <w:r w:rsidRPr="00B34733">
        <w:t>Considerando 21</w:t>
      </w:r>
      <w:r w:rsidRPr="00B3473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4733" w:rsidRPr="00B34733" w14:paraId="4A484F48" w14:textId="77777777" w:rsidTr="00F45A6F">
        <w:trPr>
          <w:trHeight w:val="240"/>
          <w:jc w:val="center"/>
        </w:trPr>
        <w:tc>
          <w:tcPr>
            <w:tcW w:w="9752" w:type="dxa"/>
            <w:gridSpan w:val="2"/>
          </w:tcPr>
          <w:p w14:paraId="402AF00F" w14:textId="77777777" w:rsidR="00F45A6F" w:rsidRPr="00B34733" w:rsidRDefault="00F45A6F"/>
        </w:tc>
      </w:tr>
      <w:tr w:rsidR="00B34733" w:rsidRPr="00B34733" w14:paraId="2AAF8A45" w14:textId="77777777" w:rsidTr="00F45A6F">
        <w:trPr>
          <w:trHeight w:val="240"/>
          <w:jc w:val="center"/>
        </w:trPr>
        <w:tc>
          <w:tcPr>
            <w:tcW w:w="4876" w:type="dxa"/>
            <w:hideMark/>
          </w:tcPr>
          <w:p w14:paraId="53166335" w14:textId="77777777" w:rsidR="00F45A6F" w:rsidRPr="00B34733" w:rsidRDefault="00B34733">
            <w:pPr>
              <w:pStyle w:val="AmColumnHeading"/>
            </w:pPr>
            <w:r w:rsidRPr="00B34733">
              <w:t>Texto de la Comisión</w:t>
            </w:r>
          </w:p>
        </w:tc>
        <w:tc>
          <w:tcPr>
            <w:tcW w:w="4876" w:type="dxa"/>
            <w:hideMark/>
          </w:tcPr>
          <w:p w14:paraId="1CE8D13B" w14:textId="77777777" w:rsidR="00F45A6F" w:rsidRPr="00B34733" w:rsidRDefault="00B34733">
            <w:pPr>
              <w:pStyle w:val="AmColumnHeading"/>
            </w:pPr>
            <w:r w:rsidRPr="00B34733">
              <w:t>Enmienda</w:t>
            </w:r>
          </w:p>
        </w:tc>
      </w:tr>
      <w:tr w:rsidR="00B34733" w:rsidRPr="00B34733" w14:paraId="2A5C5CD5" w14:textId="77777777" w:rsidTr="00F45A6F">
        <w:trPr>
          <w:jc w:val="center"/>
        </w:trPr>
        <w:tc>
          <w:tcPr>
            <w:tcW w:w="4876" w:type="dxa"/>
            <w:hideMark/>
          </w:tcPr>
          <w:p w14:paraId="2B5837A2" w14:textId="77777777" w:rsidR="00F45A6F" w:rsidRPr="00B34733" w:rsidRDefault="00B34733">
            <w:pPr>
              <w:pStyle w:val="Normal6a"/>
            </w:pPr>
            <w:r w:rsidRPr="00B34733">
              <w:t>(21)</w:t>
            </w:r>
            <w:r w:rsidRPr="00B34733">
              <w:tab/>
              <w:t>Para garantizar que la medida sea eficaz a la hora de hacer frente a los efectos del exceso de capacidad mundial, y a la luz de las especificidades de los productos siderúrgicos y de las técnicas modernas de producción y suministro, es importante identificar el país de «fusión y colada». El país de «fusión y colada» se refiere a la ubicación original en la que el acero y el hierro en bruto se producen inicialmente en forma líquida en un horno de fabricación de acero o hierro y posteriormente se depositan e</w:t>
            </w:r>
            <w:r w:rsidRPr="00B34733">
              <w:t xml:space="preserve">n su estado sólido primario. Este estado sólido primario puede consistir o bien en un producto semiacabado, que incluye, entre otras cosas, desbastes, </w:t>
            </w:r>
            <w:r w:rsidRPr="00B34733">
              <w:lastRenderedPageBreak/>
              <w:t>palanquillas o lingotes, o bien un producto acabado de laminación de acero. La solicitud de pruebas del país de «fusión y colada» evitará que el acero producido en determinados países que contribuye al exceso de capacidad mundial entre indebidamente en el mercado de la Unión tras una nueva transformación en otros países y aumentará la transparencia en la cade</w:t>
            </w:r>
            <w:r w:rsidRPr="00B34733">
              <w:t>na de suministro interior para las importaciones de acero.</w:t>
            </w:r>
          </w:p>
        </w:tc>
        <w:tc>
          <w:tcPr>
            <w:tcW w:w="4876" w:type="dxa"/>
            <w:hideMark/>
          </w:tcPr>
          <w:p w14:paraId="725B0F06" w14:textId="77777777" w:rsidR="00F45A6F" w:rsidRPr="00B34733" w:rsidRDefault="00B34733">
            <w:pPr>
              <w:pStyle w:val="Normal6a"/>
            </w:pPr>
            <w:r w:rsidRPr="00B34733">
              <w:lastRenderedPageBreak/>
              <w:t>(21)</w:t>
            </w:r>
            <w:r w:rsidRPr="00B34733">
              <w:tab/>
              <w:t>Para garantizar que la medida sea eficaz a la hora de hacer frente a los efectos del exceso de capacidad mundial, y a la luz de las especificidades de los productos siderúrgicos y de las técnicas modernas de producción y suministro, es importante identificar el país de «fusión y colada». El país de «fusión y colada» se refiere a la ubicación original en la que el acero y el hierro en bruto se producen inicialmente en forma líquida en un horno de fabricación de acero o hierro y posteriormente se depositan e</w:t>
            </w:r>
            <w:r w:rsidRPr="00B34733">
              <w:t xml:space="preserve">n su estado sólido primario. Este estado sólido primario puede consistir o bien en un producto semiacabado, que incluye, entre otras cosas, desbastes, </w:t>
            </w:r>
            <w:r w:rsidRPr="00B34733">
              <w:lastRenderedPageBreak/>
              <w:t>palanquillas o lingotes, o bien un producto acabado de laminación de acero. La solicitud de pruebas del país de «fusión y colada» evitará que el acero producido en determinados países que contribuye al exceso de capacidad mundial entre indebidamente en el mercado de la Unión tras una nueva transformación en otros países y aumentará la transparencia en la cade</w:t>
            </w:r>
            <w:r w:rsidRPr="00B34733">
              <w:t xml:space="preserve">na de suministro interior para las importaciones de acero. </w:t>
            </w:r>
            <w:r w:rsidRPr="00B34733">
              <w:rPr>
                <w:b/>
                <w:i/>
              </w:rPr>
              <w:t>Esta solicitud de pruebas debe hacerse de manera que se limite en la mayor medida posible la carga administrativa y se facilite el cumplimiento por parte de las pequeñas y medianas empresas (pymes).</w:t>
            </w:r>
          </w:p>
        </w:tc>
      </w:tr>
    </w:tbl>
    <w:p w14:paraId="34621066" w14:textId="77777777" w:rsidR="00F45A6F" w:rsidRPr="00B34733" w:rsidRDefault="00B34733" w:rsidP="00F45A6F">
      <w:pPr>
        <w:pStyle w:val="AmOrLang"/>
      </w:pPr>
      <w:r w:rsidRPr="00B34733">
        <w:t xml:space="preserve">Or. </w:t>
      </w:r>
      <w:r w:rsidRPr="00B34733">
        <w:rPr>
          <w:rStyle w:val="HideTWBExt"/>
        </w:rPr>
        <w:t>&lt;Original&gt;</w:t>
      </w:r>
      <w:r w:rsidRPr="00B34733">
        <w:rPr>
          <w:rStyle w:val="HideTWBInt"/>
        </w:rPr>
        <w:t>{EN}</w:t>
      </w:r>
      <w:r w:rsidRPr="00B34733">
        <w:t>en</w:t>
      </w:r>
      <w:r w:rsidRPr="00B34733">
        <w:rPr>
          <w:rStyle w:val="HideTWBExt"/>
        </w:rPr>
        <w:t>&lt;/Original&gt;</w:t>
      </w:r>
    </w:p>
    <w:p w14:paraId="311BFBA9" w14:textId="77777777" w:rsidR="00F45A6F" w:rsidRPr="00B34733" w:rsidRDefault="00B34733" w:rsidP="00F45A6F">
      <w:r w:rsidRPr="00B34733">
        <w:rPr>
          <w:rStyle w:val="HideTWBExt"/>
        </w:rPr>
        <w:t>&lt;/Amend&gt;</w:t>
      </w:r>
    </w:p>
    <w:p w14:paraId="19925DBC" w14:textId="77777777" w:rsidR="00F45A6F" w:rsidRPr="00B34733" w:rsidRDefault="00F45A6F" w:rsidP="00F45A6F"/>
    <w:p w14:paraId="1F22B8E2" w14:textId="77777777" w:rsidR="00F45A6F" w:rsidRPr="00B34733" w:rsidRDefault="00B34733" w:rsidP="00F45A6F">
      <w:pPr>
        <w:pStyle w:val="AmNumberTabs"/>
      </w:pPr>
      <w:r w:rsidRPr="00B34733">
        <w:rPr>
          <w:rStyle w:val="HideTWBExt"/>
          <w:b w:val="0"/>
        </w:rPr>
        <w:t>&lt;Amend&gt;</w:t>
      </w:r>
      <w:r w:rsidRPr="00B34733">
        <w:t>Enmienda</w:t>
      </w:r>
      <w:r w:rsidRPr="00B34733">
        <w:tab/>
      </w:r>
      <w:r w:rsidRPr="00B34733">
        <w:tab/>
      </w:r>
      <w:r w:rsidRPr="00B34733">
        <w:rPr>
          <w:rStyle w:val="HideTWBExt"/>
          <w:b w:val="0"/>
        </w:rPr>
        <w:t>&lt;NumAm&gt;</w:t>
      </w:r>
      <w:r w:rsidRPr="00B34733">
        <w:t>5</w:t>
      </w:r>
      <w:r w:rsidRPr="00B34733">
        <w:rPr>
          <w:rStyle w:val="HideTWBExt"/>
          <w:b w:val="0"/>
        </w:rPr>
        <w:t>&lt;/NumAm&gt;</w:t>
      </w:r>
    </w:p>
    <w:p w14:paraId="121B89CD" w14:textId="77777777" w:rsidR="00F45A6F" w:rsidRPr="00B34733" w:rsidRDefault="00B34733" w:rsidP="00F45A6F">
      <w:pPr>
        <w:pStyle w:val="NormalBold12b"/>
      </w:pPr>
      <w:r w:rsidRPr="00B34733">
        <w:rPr>
          <w:rStyle w:val="HideTWBExt"/>
          <w:b w:val="0"/>
        </w:rPr>
        <w:t>&lt;DocAmend&gt;</w:t>
      </w:r>
      <w:r w:rsidRPr="00B34733">
        <w:t>Propuesta de Reglamento</w:t>
      </w:r>
      <w:r w:rsidRPr="00B34733">
        <w:rPr>
          <w:rStyle w:val="HideTWBExt"/>
          <w:b w:val="0"/>
        </w:rPr>
        <w:t>&lt;/DocAmend&gt;</w:t>
      </w:r>
    </w:p>
    <w:p w14:paraId="45822CD4" w14:textId="77777777" w:rsidR="00F45A6F" w:rsidRPr="00B34733" w:rsidRDefault="00B34733" w:rsidP="00F45A6F">
      <w:pPr>
        <w:pStyle w:val="NormalBold"/>
      </w:pPr>
      <w:r w:rsidRPr="00B34733">
        <w:rPr>
          <w:rStyle w:val="HideTWBExt"/>
          <w:b w:val="0"/>
        </w:rPr>
        <w:t>&lt;Article&gt;</w:t>
      </w:r>
      <w:r w:rsidRPr="00B34733">
        <w:t>Considerando 21 bis (nuevo)</w:t>
      </w:r>
      <w:r w:rsidRPr="00B3473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4733" w:rsidRPr="00B34733" w14:paraId="1A5CA2AF" w14:textId="77777777" w:rsidTr="00F45A6F">
        <w:trPr>
          <w:trHeight w:val="240"/>
          <w:jc w:val="center"/>
        </w:trPr>
        <w:tc>
          <w:tcPr>
            <w:tcW w:w="9752" w:type="dxa"/>
            <w:gridSpan w:val="2"/>
          </w:tcPr>
          <w:p w14:paraId="2DFE9310" w14:textId="77777777" w:rsidR="00F45A6F" w:rsidRPr="00B34733" w:rsidRDefault="00F45A6F"/>
        </w:tc>
      </w:tr>
      <w:tr w:rsidR="00B34733" w:rsidRPr="00B34733" w14:paraId="3D075A1E" w14:textId="77777777" w:rsidTr="00F45A6F">
        <w:trPr>
          <w:trHeight w:val="240"/>
          <w:jc w:val="center"/>
        </w:trPr>
        <w:tc>
          <w:tcPr>
            <w:tcW w:w="4876" w:type="dxa"/>
            <w:hideMark/>
          </w:tcPr>
          <w:p w14:paraId="6ED9CD31" w14:textId="77777777" w:rsidR="00F45A6F" w:rsidRPr="00B34733" w:rsidRDefault="00B34733">
            <w:pPr>
              <w:pStyle w:val="AmColumnHeading"/>
            </w:pPr>
            <w:r w:rsidRPr="00B34733">
              <w:t>Texto de la Comisión</w:t>
            </w:r>
          </w:p>
        </w:tc>
        <w:tc>
          <w:tcPr>
            <w:tcW w:w="4876" w:type="dxa"/>
            <w:hideMark/>
          </w:tcPr>
          <w:p w14:paraId="34A1C4CA" w14:textId="77777777" w:rsidR="00F45A6F" w:rsidRPr="00B34733" w:rsidRDefault="00B34733">
            <w:pPr>
              <w:pStyle w:val="AmColumnHeading"/>
            </w:pPr>
            <w:r w:rsidRPr="00B34733">
              <w:t>Enmienda</w:t>
            </w:r>
          </w:p>
        </w:tc>
      </w:tr>
      <w:tr w:rsidR="00B34733" w:rsidRPr="00B34733" w14:paraId="33BE365E" w14:textId="77777777" w:rsidTr="00F45A6F">
        <w:trPr>
          <w:jc w:val="center"/>
        </w:trPr>
        <w:tc>
          <w:tcPr>
            <w:tcW w:w="4876" w:type="dxa"/>
          </w:tcPr>
          <w:p w14:paraId="5E18F77B" w14:textId="77777777" w:rsidR="00F45A6F" w:rsidRPr="00B34733" w:rsidRDefault="00F45A6F">
            <w:pPr>
              <w:pStyle w:val="Normal6a"/>
            </w:pPr>
          </w:p>
        </w:tc>
        <w:tc>
          <w:tcPr>
            <w:tcW w:w="4876" w:type="dxa"/>
            <w:hideMark/>
          </w:tcPr>
          <w:p w14:paraId="7EDB0791" w14:textId="77777777" w:rsidR="00F45A6F" w:rsidRPr="00B34733" w:rsidRDefault="00B34733">
            <w:pPr>
              <w:pStyle w:val="Normal6a"/>
            </w:pPr>
            <w:r w:rsidRPr="00B34733">
              <w:rPr>
                <w:b/>
                <w:i/>
              </w:rPr>
              <w:t>(21 bis)</w:t>
            </w:r>
            <w:r w:rsidRPr="00B34733">
              <w:tab/>
            </w:r>
            <w:r w:rsidRPr="00B34733">
              <w:rPr>
                <w:b/>
                <w:i/>
              </w:rPr>
              <w:t>Las importaciones de productos cuyo país de «fusión y colada» del acero sea la Federación de Rusia o Bielorrusia no deben tener acceso al mercado de la Unión y no deben beneficiarse de ningún contingente arancelario. Por consiguiente, todos estos productos deben estar sujetos a una prohibición automática en las fronteras exteriores de la Unión.</w:t>
            </w:r>
          </w:p>
        </w:tc>
      </w:tr>
    </w:tbl>
    <w:p w14:paraId="2338952F" w14:textId="77777777" w:rsidR="00F45A6F" w:rsidRPr="00B34733" w:rsidRDefault="00B34733" w:rsidP="00F45A6F">
      <w:pPr>
        <w:pStyle w:val="AmOrLang"/>
      </w:pPr>
      <w:r w:rsidRPr="00B34733">
        <w:t xml:space="preserve">Or. </w:t>
      </w:r>
      <w:r w:rsidRPr="00B34733">
        <w:rPr>
          <w:rStyle w:val="HideTWBExt"/>
        </w:rPr>
        <w:t>&lt;Original&gt;</w:t>
      </w:r>
      <w:r w:rsidRPr="00B34733">
        <w:rPr>
          <w:rStyle w:val="HideTWBInt"/>
        </w:rPr>
        <w:t>{EN}</w:t>
      </w:r>
      <w:r w:rsidRPr="00B34733">
        <w:t>en</w:t>
      </w:r>
      <w:r w:rsidRPr="00B34733">
        <w:rPr>
          <w:rStyle w:val="HideTWBExt"/>
        </w:rPr>
        <w:t>&lt;/Original&gt;</w:t>
      </w:r>
    </w:p>
    <w:p w14:paraId="4CBFE82B" w14:textId="77777777" w:rsidR="00F45A6F" w:rsidRPr="00B34733" w:rsidRDefault="00B34733" w:rsidP="00F45A6F">
      <w:r w:rsidRPr="00B34733">
        <w:rPr>
          <w:rStyle w:val="HideTWBExt"/>
        </w:rPr>
        <w:t>&lt;/Amend&gt;</w:t>
      </w:r>
    </w:p>
    <w:p w14:paraId="793A8705" w14:textId="77777777" w:rsidR="00F45A6F" w:rsidRPr="00B34733" w:rsidRDefault="00B34733" w:rsidP="00F45A6F">
      <w:pPr>
        <w:pStyle w:val="AmNumberTabs"/>
      </w:pPr>
      <w:r w:rsidRPr="00B34733">
        <w:rPr>
          <w:rStyle w:val="HideTWBExt"/>
          <w:b w:val="0"/>
        </w:rPr>
        <w:t>&lt;Amend&gt;</w:t>
      </w:r>
      <w:r w:rsidRPr="00B34733">
        <w:t>Enmienda</w:t>
      </w:r>
      <w:r w:rsidRPr="00B34733">
        <w:tab/>
      </w:r>
      <w:r w:rsidRPr="00B34733">
        <w:tab/>
      </w:r>
      <w:r w:rsidRPr="00B34733">
        <w:rPr>
          <w:rStyle w:val="HideTWBExt"/>
          <w:b w:val="0"/>
        </w:rPr>
        <w:t>&lt;NumAm&gt;</w:t>
      </w:r>
      <w:r w:rsidRPr="00B34733">
        <w:t>6</w:t>
      </w:r>
      <w:r w:rsidRPr="00B34733">
        <w:rPr>
          <w:rStyle w:val="HideTWBExt"/>
          <w:b w:val="0"/>
        </w:rPr>
        <w:t>&lt;/NumAm&gt;</w:t>
      </w:r>
    </w:p>
    <w:p w14:paraId="555ABD02" w14:textId="77777777" w:rsidR="00F45A6F" w:rsidRPr="00B34733" w:rsidRDefault="00B34733" w:rsidP="00F45A6F">
      <w:pPr>
        <w:pStyle w:val="NormalBold12b"/>
      </w:pPr>
      <w:r w:rsidRPr="00B34733">
        <w:rPr>
          <w:rStyle w:val="HideTWBExt"/>
          <w:b w:val="0"/>
        </w:rPr>
        <w:t>&lt;DocAmend&gt;</w:t>
      </w:r>
      <w:r w:rsidRPr="00B34733">
        <w:t>Propuesta de Reglamento</w:t>
      </w:r>
      <w:r w:rsidRPr="00B34733">
        <w:rPr>
          <w:rStyle w:val="HideTWBExt"/>
          <w:b w:val="0"/>
        </w:rPr>
        <w:t>&lt;/DocAmend&gt;</w:t>
      </w:r>
    </w:p>
    <w:p w14:paraId="1511C8AD" w14:textId="77777777" w:rsidR="00F45A6F" w:rsidRPr="00B34733" w:rsidRDefault="00B34733" w:rsidP="00F45A6F">
      <w:pPr>
        <w:pStyle w:val="NormalBold"/>
      </w:pPr>
      <w:r w:rsidRPr="00B34733">
        <w:rPr>
          <w:rStyle w:val="HideTWBExt"/>
          <w:b w:val="0"/>
        </w:rPr>
        <w:t>&lt;Article&gt;</w:t>
      </w:r>
      <w:r w:rsidRPr="00B34733">
        <w:t>Considerando 25 bis (nuevo)</w:t>
      </w:r>
      <w:r w:rsidRPr="00B3473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4733" w:rsidRPr="00B34733" w14:paraId="17EF84C9" w14:textId="77777777" w:rsidTr="00F45A6F">
        <w:trPr>
          <w:trHeight w:val="240"/>
          <w:jc w:val="center"/>
        </w:trPr>
        <w:tc>
          <w:tcPr>
            <w:tcW w:w="9752" w:type="dxa"/>
            <w:gridSpan w:val="2"/>
          </w:tcPr>
          <w:p w14:paraId="664C4B3E" w14:textId="77777777" w:rsidR="00F45A6F" w:rsidRPr="00B34733" w:rsidRDefault="00F45A6F"/>
        </w:tc>
      </w:tr>
      <w:tr w:rsidR="00B34733" w:rsidRPr="00B34733" w14:paraId="54158ED9" w14:textId="77777777" w:rsidTr="00F45A6F">
        <w:trPr>
          <w:trHeight w:val="240"/>
          <w:jc w:val="center"/>
        </w:trPr>
        <w:tc>
          <w:tcPr>
            <w:tcW w:w="4876" w:type="dxa"/>
            <w:hideMark/>
          </w:tcPr>
          <w:p w14:paraId="5AC5BEC7" w14:textId="77777777" w:rsidR="00F45A6F" w:rsidRPr="00B34733" w:rsidRDefault="00B34733">
            <w:pPr>
              <w:pStyle w:val="AmColumnHeading"/>
            </w:pPr>
            <w:r w:rsidRPr="00B34733">
              <w:t>Texto de la Comisión</w:t>
            </w:r>
          </w:p>
        </w:tc>
        <w:tc>
          <w:tcPr>
            <w:tcW w:w="4876" w:type="dxa"/>
            <w:hideMark/>
          </w:tcPr>
          <w:p w14:paraId="6F34B520" w14:textId="77777777" w:rsidR="00F45A6F" w:rsidRPr="00B34733" w:rsidRDefault="00B34733">
            <w:pPr>
              <w:pStyle w:val="AmColumnHeading"/>
            </w:pPr>
            <w:r w:rsidRPr="00B34733">
              <w:t>Enmienda</w:t>
            </w:r>
          </w:p>
        </w:tc>
      </w:tr>
      <w:tr w:rsidR="00B34733" w:rsidRPr="00B34733" w14:paraId="08F3E500" w14:textId="77777777" w:rsidTr="00F45A6F">
        <w:trPr>
          <w:jc w:val="center"/>
        </w:trPr>
        <w:tc>
          <w:tcPr>
            <w:tcW w:w="4876" w:type="dxa"/>
          </w:tcPr>
          <w:p w14:paraId="5A160F58" w14:textId="77777777" w:rsidR="00F45A6F" w:rsidRPr="00B34733" w:rsidRDefault="00F45A6F">
            <w:pPr>
              <w:pStyle w:val="Normal6a"/>
            </w:pPr>
          </w:p>
        </w:tc>
        <w:tc>
          <w:tcPr>
            <w:tcW w:w="4876" w:type="dxa"/>
            <w:hideMark/>
          </w:tcPr>
          <w:p w14:paraId="1B578E1E" w14:textId="77777777" w:rsidR="00F45A6F" w:rsidRPr="00B34733" w:rsidRDefault="00B34733">
            <w:pPr>
              <w:pStyle w:val="Normal6a"/>
            </w:pPr>
            <w:r w:rsidRPr="00B34733">
              <w:rPr>
                <w:b/>
                <w:i/>
              </w:rPr>
              <w:t>(25 bis)</w:t>
            </w:r>
            <w:r w:rsidRPr="00B34733">
              <w:tab/>
            </w:r>
            <w:r w:rsidRPr="00B34733">
              <w:rPr>
                <w:b/>
                <w:i/>
              </w:rPr>
              <w:t>En consonancia con el compromiso de la Unión de apoyar la economía de Ucrania durante la guerra de agresión en curso y con el Reglamento (UE) 2025/1153 del Parlamento Europeo y del Consejo</w:t>
            </w:r>
            <w:r w:rsidRPr="00B34733">
              <w:rPr>
                <w:b/>
                <w:i/>
                <w:vertAlign w:val="superscript"/>
              </w:rPr>
              <w:t>1 bis</w:t>
            </w:r>
            <w:r w:rsidRPr="00B34733">
              <w:rPr>
                <w:b/>
                <w:i/>
              </w:rPr>
              <w:t>, las importaciones procedentes de Ucrania deben quedar plenamente exentas mientras dicho país se enfrente a una situación excepcional e inmediata en materia de seguridad.</w:t>
            </w:r>
          </w:p>
        </w:tc>
      </w:tr>
      <w:tr w:rsidR="00B34733" w:rsidRPr="00B34733" w14:paraId="0A7AD2EF" w14:textId="77777777" w:rsidTr="00F45A6F">
        <w:trPr>
          <w:jc w:val="center"/>
        </w:trPr>
        <w:tc>
          <w:tcPr>
            <w:tcW w:w="4876" w:type="dxa"/>
          </w:tcPr>
          <w:p w14:paraId="0FA4EB26" w14:textId="77777777" w:rsidR="007153C7" w:rsidRPr="00B34733" w:rsidRDefault="007153C7">
            <w:pPr>
              <w:pStyle w:val="Normal6a"/>
            </w:pPr>
          </w:p>
        </w:tc>
        <w:tc>
          <w:tcPr>
            <w:tcW w:w="4876" w:type="dxa"/>
          </w:tcPr>
          <w:p w14:paraId="44DDC27B" w14:textId="77777777" w:rsidR="007153C7" w:rsidRPr="00B34733" w:rsidRDefault="00B34733">
            <w:pPr>
              <w:pStyle w:val="Normal6a"/>
              <w:rPr>
                <w:b/>
                <w:i/>
              </w:rPr>
            </w:pPr>
            <w:r w:rsidRPr="00B34733">
              <w:rPr>
                <w:b/>
                <w:i/>
              </w:rPr>
              <w:t>_________________</w:t>
            </w:r>
          </w:p>
        </w:tc>
      </w:tr>
      <w:tr w:rsidR="00B34733" w:rsidRPr="00B34733" w14:paraId="6146549F" w14:textId="77777777" w:rsidTr="00F45A6F">
        <w:trPr>
          <w:jc w:val="center"/>
        </w:trPr>
        <w:tc>
          <w:tcPr>
            <w:tcW w:w="4876" w:type="dxa"/>
          </w:tcPr>
          <w:p w14:paraId="24FAE408" w14:textId="77777777" w:rsidR="00A33C6B" w:rsidRPr="00B34733" w:rsidRDefault="00A33C6B">
            <w:pPr>
              <w:pStyle w:val="Normal6a"/>
              <w:rPr>
                <w:b/>
                <w:bCs/>
                <w:i/>
                <w:iCs/>
              </w:rPr>
            </w:pPr>
          </w:p>
        </w:tc>
        <w:tc>
          <w:tcPr>
            <w:tcW w:w="4876" w:type="dxa"/>
          </w:tcPr>
          <w:p w14:paraId="480ACC24" w14:textId="1C0540DC" w:rsidR="00A33C6B" w:rsidRPr="00B34733" w:rsidRDefault="00B34733">
            <w:pPr>
              <w:pStyle w:val="Normal6a"/>
              <w:rPr>
                <w:b/>
                <w:bCs/>
                <w:i/>
                <w:iCs/>
              </w:rPr>
            </w:pPr>
            <w:r w:rsidRPr="00B34733">
              <w:rPr>
                <w:b/>
                <w:i/>
                <w:vertAlign w:val="superscript"/>
              </w:rPr>
              <w:t>1 bis</w:t>
            </w:r>
            <w:r w:rsidRPr="00B34733">
              <w:rPr>
                <w:b/>
                <w:i/>
              </w:rPr>
              <w:t xml:space="preserve"> Reglamento (UE) 2025/1153 del Parlamento Europeo y del Consejo, de</w:t>
            </w:r>
            <w:r>
              <w:rPr>
                <w:b/>
                <w:i/>
              </w:rPr>
              <w:t> </w:t>
            </w:r>
            <w:r w:rsidRPr="00B34733">
              <w:rPr>
                <w:b/>
                <w:i/>
              </w:rPr>
              <w:t>5</w:t>
            </w:r>
            <w:r>
              <w:rPr>
                <w:b/>
                <w:i/>
              </w:rPr>
              <w:t xml:space="preserve"> </w:t>
            </w:r>
            <w:r w:rsidRPr="00B34733">
              <w:rPr>
                <w:b/>
                <w:i/>
              </w:rPr>
              <w:t>de junio de 2025, por el que se suspenden determinadas disposiciones del Reglamento (UE) 2015/478 en lo que respecta a las importaciones de productos ucranianos en la Unión (DO L,</w:t>
            </w:r>
            <w:r>
              <w:rPr>
                <w:b/>
                <w:i/>
              </w:rPr>
              <w:t> </w:t>
            </w:r>
            <w:r w:rsidRPr="00B34733">
              <w:rPr>
                <w:b/>
                <w:i/>
              </w:rPr>
              <w:t>2025/1153, 5.6.2025, ELI:</w:t>
            </w:r>
            <w:r w:rsidRPr="00B34733">
              <w:rPr>
                <w:rStyle w:val="Emphasis"/>
                <w:b/>
                <w:i w:val="0"/>
              </w:rPr>
              <w:t> </w:t>
            </w:r>
            <w:hyperlink r:id="rId9" w:tgtFrame="_blank" w:tooltip="Permite acceder a este documento mediante su URI ELI." w:history="1">
              <w:r w:rsidRPr="00B34733">
                <w:rPr>
                  <w:rStyle w:val="Hyperlink"/>
                  <w:b/>
                  <w:i/>
                  <w:color w:val="auto"/>
                </w:rPr>
                <w:t>http://data.europa.eu/eli/reg/2025/1153/oj</w:t>
              </w:r>
            </w:hyperlink>
            <w:r w:rsidRPr="00B34733">
              <w:rPr>
                <w:b/>
                <w:bCs/>
                <w:i/>
                <w:iCs/>
              </w:rPr>
              <w:t>).</w:t>
            </w:r>
          </w:p>
        </w:tc>
      </w:tr>
    </w:tbl>
    <w:p w14:paraId="622945E8" w14:textId="77777777" w:rsidR="00F45A6F" w:rsidRPr="00B34733" w:rsidRDefault="00B34733" w:rsidP="00F45A6F">
      <w:pPr>
        <w:pStyle w:val="AmOrLang"/>
      </w:pPr>
      <w:r w:rsidRPr="00B34733">
        <w:t xml:space="preserve">Or. </w:t>
      </w:r>
      <w:r w:rsidRPr="00B34733">
        <w:rPr>
          <w:rStyle w:val="HideTWBExt"/>
        </w:rPr>
        <w:t>&lt;Original&gt;</w:t>
      </w:r>
      <w:r w:rsidRPr="00B34733">
        <w:rPr>
          <w:rStyle w:val="HideTWBInt"/>
        </w:rPr>
        <w:t>{EN}</w:t>
      </w:r>
      <w:r w:rsidRPr="00B34733">
        <w:t>en</w:t>
      </w:r>
      <w:r w:rsidRPr="00B34733">
        <w:rPr>
          <w:rStyle w:val="HideTWBExt"/>
        </w:rPr>
        <w:t>&lt;/Original&gt;</w:t>
      </w:r>
    </w:p>
    <w:p w14:paraId="646BAF91" w14:textId="77777777" w:rsidR="00F45A6F" w:rsidRPr="00B34733" w:rsidRDefault="00B34733" w:rsidP="00F45A6F">
      <w:r w:rsidRPr="00B34733">
        <w:rPr>
          <w:rStyle w:val="HideTWBExt"/>
        </w:rPr>
        <w:t>&lt;/Amend&gt;</w:t>
      </w:r>
    </w:p>
    <w:p w14:paraId="123B4929" w14:textId="77777777" w:rsidR="00F45A6F" w:rsidRPr="00B34733" w:rsidRDefault="00B34733" w:rsidP="00F45A6F">
      <w:pPr>
        <w:pStyle w:val="AmNumberTabs"/>
      </w:pPr>
      <w:r w:rsidRPr="00B34733">
        <w:rPr>
          <w:rStyle w:val="HideTWBExt"/>
          <w:b w:val="0"/>
        </w:rPr>
        <w:t>&lt;Amend&gt;</w:t>
      </w:r>
      <w:r w:rsidRPr="00B34733">
        <w:t>Enmienda</w:t>
      </w:r>
      <w:r w:rsidRPr="00B34733">
        <w:tab/>
      </w:r>
      <w:r w:rsidRPr="00B34733">
        <w:tab/>
      </w:r>
      <w:r w:rsidRPr="00B34733">
        <w:rPr>
          <w:rStyle w:val="HideTWBExt"/>
          <w:b w:val="0"/>
        </w:rPr>
        <w:t>&lt;NumAm&gt;</w:t>
      </w:r>
      <w:r w:rsidRPr="00B34733">
        <w:t>7</w:t>
      </w:r>
      <w:r w:rsidRPr="00B34733">
        <w:rPr>
          <w:rStyle w:val="HideTWBExt"/>
          <w:b w:val="0"/>
        </w:rPr>
        <w:t>&lt;/NumAm&gt;</w:t>
      </w:r>
    </w:p>
    <w:p w14:paraId="07726A90" w14:textId="77777777" w:rsidR="00F45A6F" w:rsidRPr="00B34733" w:rsidRDefault="00B34733" w:rsidP="00F45A6F">
      <w:pPr>
        <w:pStyle w:val="NormalBold12b"/>
      </w:pPr>
      <w:r w:rsidRPr="00B34733">
        <w:rPr>
          <w:rStyle w:val="HideTWBExt"/>
          <w:b w:val="0"/>
        </w:rPr>
        <w:t>&lt;DocAmend&gt;</w:t>
      </w:r>
      <w:r w:rsidRPr="00B34733">
        <w:t>Propuesta de Reglamento</w:t>
      </w:r>
      <w:r w:rsidRPr="00B34733">
        <w:rPr>
          <w:rStyle w:val="HideTWBExt"/>
          <w:b w:val="0"/>
        </w:rPr>
        <w:t>&lt;/DocAmend&gt;</w:t>
      </w:r>
    </w:p>
    <w:p w14:paraId="4B6EC06C" w14:textId="77777777" w:rsidR="00F45A6F" w:rsidRPr="00B34733" w:rsidRDefault="00B34733" w:rsidP="00F45A6F">
      <w:pPr>
        <w:pStyle w:val="NormalBold"/>
      </w:pPr>
      <w:r w:rsidRPr="00B34733">
        <w:rPr>
          <w:rStyle w:val="HideTWBExt"/>
          <w:b w:val="0"/>
        </w:rPr>
        <w:t>&lt;Article&gt;</w:t>
      </w:r>
      <w:r w:rsidRPr="00B34733">
        <w:t>Considerando 26</w:t>
      </w:r>
      <w:r w:rsidRPr="00B3473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4733" w:rsidRPr="00B34733" w14:paraId="021F6A26" w14:textId="77777777" w:rsidTr="00F45A6F">
        <w:trPr>
          <w:trHeight w:val="240"/>
          <w:jc w:val="center"/>
        </w:trPr>
        <w:tc>
          <w:tcPr>
            <w:tcW w:w="9752" w:type="dxa"/>
            <w:gridSpan w:val="2"/>
          </w:tcPr>
          <w:p w14:paraId="72D8CC38" w14:textId="77777777" w:rsidR="00F45A6F" w:rsidRPr="00B34733" w:rsidRDefault="00F45A6F"/>
        </w:tc>
      </w:tr>
      <w:tr w:rsidR="00B34733" w:rsidRPr="00B34733" w14:paraId="267A88B4" w14:textId="77777777" w:rsidTr="00F45A6F">
        <w:trPr>
          <w:trHeight w:val="240"/>
          <w:jc w:val="center"/>
        </w:trPr>
        <w:tc>
          <w:tcPr>
            <w:tcW w:w="4876" w:type="dxa"/>
            <w:hideMark/>
          </w:tcPr>
          <w:p w14:paraId="0A37D334" w14:textId="77777777" w:rsidR="00F45A6F" w:rsidRPr="00B34733" w:rsidRDefault="00B34733">
            <w:pPr>
              <w:pStyle w:val="AmColumnHeading"/>
            </w:pPr>
            <w:r w:rsidRPr="00B34733">
              <w:t>Texto de la Comisión</w:t>
            </w:r>
          </w:p>
        </w:tc>
        <w:tc>
          <w:tcPr>
            <w:tcW w:w="4876" w:type="dxa"/>
            <w:hideMark/>
          </w:tcPr>
          <w:p w14:paraId="1AAE297E" w14:textId="77777777" w:rsidR="00F45A6F" w:rsidRPr="00B34733" w:rsidRDefault="00B34733">
            <w:pPr>
              <w:pStyle w:val="AmColumnHeading"/>
            </w:pPr>
            <w:r w:rsidRPr="00B34733">
              <w:t>Enmienda</w:t>
            </w:r>
          </w:p>
        </w:tc>
      </w:tr>
      <w:tr w:rsidR="00B34733" w:rsidRPr="00B34733" w14:paraId="42BB593C" w14:textId="77777777" w:rsidTr="00F45A6F">
        <w:trPr>
          <w:jc w:val="center"/>
        </w:trPr>
        <w:tc>
          <w:tcPr>
            <w:tcW w:w="4876" w:type="dxa"/>
            <w:hideMark/>
          </w:tcPr>
          <w:p w14:paraId="45DB25FD" w14:textId="77777777" w:rsidR="00F45A6F" w:rsidRPr="00B34733" w:rsidRDefault="00B34733">
            <w:pPr>
              <w:pStyle w:val="Normal6a"/>
            </w:pPr>
            <w:r w:rsidRPr="00B34733">
              <w:t>(26)</w:t>
            </w:r>
            <w:r w:rsidRPr="00B34733">
              <w:tab/>
            </w:r>
            <w:r w:rsidRPr="00B34733">
              <w:t xml:space="preserve">La Comisión debe evaluar, a más tardar en un plazo de </w:t>
            </w:r>
            <w:r w:rsidRPr="00B34733">
              <w:rPr>
                <w:b/>
                <w:i/>
              </w:rPr>
              <w:t>dos años</w:t>
            </w:r>
            <w:r w:rsidRPr="00B34733">
              <w:t xml:space="preserve"> a partir de la </w:t>
            </w:r>
            <w:r w:rsidRPr="00B34733">
              <w:rPr>
                <w:b/>
                <w:i/>
              </w:rPr>
              <w:t>adopción</w:t>
            </w:r>
            <w:r w:rsidRPr="00B34733">
              <w:t xml:space="preserve"> del presente Reglamento, la necesidad de ajustar la definición de los productos que abarca el presente Reglamento y, si se considera necesario, debe estudiar la posibilidad de presentar una propuesta legislativa para añadir productos siderúrgicos</w:t>
            </w:r>
            <w:r w:rsidRPr="00B34733">
              <w:rPr>
                <w:b/>
                <w:i/>
              </w:rPr>
              <w:t xml:space="preserve"> adicionales</w:t>
            </w:r>
            <w:r w:rsidRPr="00B34733">
              <w:t>, incluidos productos fabricados con acero o que contengan una cantidad significativa de acero.</w:t>
            </w:r>
          </w:p>
        </w:tc>
        <w:tc>
          <w:tcPr>
            <w:tcW w:w="4876" w:type="dxa"/>
            <w:hideMark/>
          </w:tcPr>
          <w:p w14:paraId="034D2CC6" w14:textId="77777777" w:rsidR="00F45A6F" w:rsidRPr="00B34733" w:rsidRDefault="00B34733">
            <w:pPr>
              <w:pStyle w:val="Normal6a"/>
            </w:pPr>
            <w:r w:rsidRPr="00B34733">
              <w:t>(26)</w:t>
            </w:r>
            <w:r w:rsidRPr="00B34733">
              <w:tab/>
              <w:t xml:space="preserve">La Comisión debe evaluar, a más tardar en un plazo de </w:t>
            </w:r>
            <w:r w:rsidRPr="00B34733">
              <w:rPr>
                <w:b/>
                <w:i/>
              </w:rPr>
              <w:t>un año</w:t>
            </w:r>
            <w:r w:rsidRPr="00B34733">
              <w:t xml:space="preserve"> a partir de la </w:t>
            </w:r>
            <w:r w:rsidRPr="00B34733">
              <w:rPr>
                <w:b/>
                <w:i/>
              </w:rPr>
              <w:t>fecha de entrada en vigor</w:t>
            </w:r>
            <w:r w:rsidRPr="00B34733">
              <w:t xml:space="preserve"> del presente Reglamento, la necesidad de ajustar la definición de los productos que abarca el presente Reglamento y, si se considera necesario, debe estudiar la posibilidad de presentar una propuesta legislativa para añadir </w:t>
            </w:r>
            <w:r w:rsidRPr="00B34733">
              <w:rPr>
                <w:b/>
                <w:i/>
              </w:rPr>
              <w:t>o retirar</w:t>
            </w:r>
            <w:r w:rsidRPr="00B34733">
              <w:t xml:space="preserve"> productos siderúrgicos, incluidos productos fabricados con acero o que contengan una cantidad significativa de acero. </w:t>
            </w:r>
            <w:r w:rsidRPr="00B34733">
              <w:rPr>
                <w:b/>
                <w:i/>
              </w:rPr>
              <w:t xml:space="preserve">A fin de garantizar la eficacia del presente Reglamento, </w:t>
            </w:r>
            <w:r w:rsidRPr="00B34733">
              <w:rPr>
                <w:b/>
                <w:i/>
              </w:rPr>
              <w:t xml:space="preserve">es esencial que esta evaluación analice minuciosamente </w:t>
            </w:r>
            <w:r w:rsidRPr="00B34733">
              <w:rPr>
                <w:b/>
                <w:i/>
              </w:rPr>
              <w:lastRenderedPageBreak/>
              <w:t>si los problemas que el presente Reglamento pretende abordar se están resolviendo y no se están desplazando involuntariamente a otras fases de la cadena de valor.</w:t>
            </w:r>
          </w:p>
        </w:tc>
      </w:tr>
    </w:tbl>
    <w:p w14:paraId="285B1A35" w14:textId="77777777" w:rsidR="00F45A6F" w:rsidRPr="00B34733" w:rsidRDefault="00B34733" w:rsidP="00F45A6F">
      <w:pPr>
        <w:pStyle w:val="AmOrLang"/>
      </w:pPr>
      <w:r w:rsidRPr="00B34733">
        <w:t xml:space="preserve">Or. </w:t>
      </w:r>
      <w:r w:rsidRPr="00B34733">
        <w:rPr>
          <w:rStyle w:val="HideTWBExt"/>
        </w:rPr>
        <w:t>&lt;Original&gt;</w:t>
      </w:r>
      <w:r w:rsidRPr="00B34733">
        <w:rPr>
          <w:rStyle w:val="HideTWBInt"/>
        </w:rPr>
        <w:t>{EN}</w:t>
      </w:r>
      <w:r w:rsidRPr="00B34733">
        <w:t>en</w:t>
      </w:r>
      <w:r w:rsidRPr="00B34733">
        <w:rPr>
          <w:rStyle w:val="HideTWBExt"/>
        </w:rPr>
        <w:t>&lt;/Original&gt;</w:t>
      </w:r>
    </w:p>
    <w:p w14:paraId="4A0931B4" w14:textId="77777777" w:rsidR="00F45A6F" w:rsidRPr="00B34733" w:rsidRDefault="00B34733" w:rsidP="00F45A6F">
      <w:r w:rsidRPr="00B34733">
        <w:rPr>
          <w:rStyle w:val="HideTWBExt"/>
        </w:rPr>
        <w:t>&lt;/Amend&gt;</w:t>
      </w:r>
    </w:p>
    <w:p w14:paraId="5DC4A70C" w14:textId="77777777" w:rsidR="006C3E5B" w:rsidRPr="00B34733" w:rsidRDefault="00B34733" w:rsidP="006C3E5B">
      <w:pPr>
        <w:pStyle w:val="AmNumberTabs"/>
      </w:pPr>
      <w:r w:rsidRPr="00B34733">
        <w:rPr>
          <w:rStyle w:val="HideTWBExt"/>
          <w:b w:val="0"/>
        </w:rPr>
        <w:t>&lt;Amend&gt;</w:t>
      </w:r>
      <w:r w:rsidRPr="00B34733">
        <w:t>Enmienda</w:t>
      </w:r>
      <w:r w:rsidRPr="00B34733">
        <w:tab/>
      </w:r>
      <w:r w:rsidRPr="00B34733">
        <w:tab/>
      </w:r>
      <w:r w:rsidRPr="00B34733">
        <w:rPr>
          <w:rStyle w:val="HideTWBExt"/>
          <w:b w:val="0"/>
        </w:rPr>
        <w:t>&lt;NumAm&gt;</w:t>
      </w:r>
      <w:r w:rsidRPr="00B34733">
        <w:t>8</w:t>
      </w:r>
      <w:r w:rsidRPr="00B34733">
        <w:rPr>
          <w:rStyle w:val="HideTWBExt"/>
          <w:b w:val="0"/>
        </w:rPr>
        <w:t>&lt;/NumAm&gt;</w:t>
      </w:r>
    </w:p>
    <w:p w14:paraId="5C495D56" w14:textId="77777777" w:rsidR="006C3E5B" w:rsidRPr="00B34733" w:rsidRDefault="00B34733" w:rsidP="006C3E5B">
      <w:pPr>
        <w:pStyle w:val="NormalBold12b"/>
      </w:pPr>
      <w:r w:rsidRPr="00B34733">
        <w:rPr>
          <w:rStyle w:val="HideTWBExt"/>
          <w:b w:val="0"/>
        </w:rPr>
        <w:t>&lt;DocAmend&gt;</w:t>
      </w:r>
      <w:r w:rsidRPr="00B34733">
        <w:t>Propuesta de Reglamento</w:t>
      </w:r>
      <w:r w:rsidRPr="00B34733">
        <w:rPr>
          <w:rStyle w:val="HideTWBExt"/>
          <w:b w:val="0"/>
        </w:rPr>
        <w:t>&lt;/DocAmend&gt;</w:t>
      </w:r>
    </w:p>
    <w:p w14:paraId="058E8E41" w14:textId="77777777" w:rsidR="006C3E5B" w:rsidRPr="00B34733" w:rsidRDefault="00B34733" w:rsidP="006C3E5B">
      <w:pPr>
        <w:pStyle w:val="NormalBold"/>
      </w:pPr>
      <w:r w:rsidRPr="00B34733">
        <w:rPr>
          <w:rStyle w:val="HideTWBExt"/>
          <w:b w:val="0"/>
        </w:rPr>
        <w:t>&lt;Article&gt;</w:t>
      </w:r>
      <w:r w:rsidRPr="00B34733">
        <w:t>Considerando 26 bis (nuevo)</w:t>
      </w:r>
      <w:r w:rsidRPr="00B3473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4733" w:rsidRPr="00B34733" w14:paraId="525F6A72" w14:textId="77777777" w:rsidTr="006C3E5B">
        <w:trPr>
          <w:trHeight w:val="240"/>
          <w:jc w:val="center"/>
        </w:trPr>
        <w:tc>
          <w:tcPr>
            <w:tcW w:w="9752" w:type="dxa"/>
            <w:gridSpan w:val="2"/>
          </w:tcPr>
          <w:p w14:paraId="48F3F734" w14:textId="77777777" w:rsidR="006C3E5B" w:rsidRPr="00B34733" w:rsidRDefault="006C3E5B"/>
        </w:tc>
      </w:tr>
      <w:tr w:rsidR="00B34733" w:rsidRPr="00B34733" w14:paraId="7795FF3F" w14:textId="77777777" w:rsidTr="006C3E5B">
        <w:trPr>
          <w:trHeight w:val="240"/>
          <w:jc w:val="center"/>
        </w:trPr>
        <w:tc>
          <w:tcPr>
            <w:tcW w:w="4876" w:type="dxa"/>
            <w:hideMark/>
          </w:tcPr>
          <w:p w14:paraId="3183681D" w14:textId="77777777" w:rsidR="006C3E5B" w:rsidRPr="00B34733" w:rsidRDefault="00B34733">
            <w:pPr>
              <w:pStyle w:val="AmColumnHeading"/>
            </w:pPr>
            <w:r w:rsidRPr="00B34733">
              <w:t>Texto de la Comisión</w:t>
            </w:r>
          </w:p>
        </w:tc>
        <w:tc>
          <w:tcPr>
            <w:tcW w:w="4876" w:type="dxa"/>
            <w:hideMark/>
          </w:tcPr>
          <w:p w14:paraId="193DEC11" w14:textId="77777777" w:rsidR="006C3E5B" w:rsidRPr="00B34733" w:rsidRDefault="00B34733">
            <w:pPr>
              <w:pStyle w:val="AmColumnHeading"/>
            </w:pPr>
            <w:r w:rsidRPr="00B34733">
              <w:t>Enmienda</w:t>
            </w:r>
          </w:p>
        </w:tc>
      </w:tr>
      <w:tr w:rsidR="00B34733" w:rsidRPr="00B34733" w14:paraId="35AF6756" w14:textId="77777777" w:rsidTr="006C3E5B">
        <w:trPr>
          <w:jc w:val="center"/>
        </w:trPr>
        <w:tc>
          <w:tcPr>
            <w:tcW w:w="4876" w:type="dxa"/>
          </w:tcPr>
          <w:p w14:paraId="506E0122" w14:textId="77777777" w:rsidR="006C3E5B" w:rsidRPr="00B34733" w:rsidRDefault="006C3E5B">
            <w:pPr>
              <w:pStyle w:val="Normal6a"/>
            </w:pPr>
          </w:p>
        </w:tc>
        <w:tc>
          <w:tcPr>
            <w:tcW w:w="4876" w:type="dxa"/>
            <w:hideMark/>
          </w:tcPr>
          <w:p w14:paraId="272E48E6" w14:textId="77777777" w:rsidR="006C3E5B" w:rsidRPr="00B34733" w:rsidRDefault="00B34733">
            <w:pPr>
              <w:pStyle w:val="Normal6a"/>
            </w:pPr>
            <w:r w:rsidRPr="00B34733">
              <w:rPr>
                <w:b/>
                <w:i/>
              </w:rPr>
              <w:t>(26 bis)</w:t>
            </w:r>
            <w:r w:rsidRPr="00B34733">
              <w:tab/>
            </w:r>
            <w:r w:rsidRPr="00B34733">
              <w:rPr>
                <w:b/>
                <w:i/>
              </w:rPr>
              <w:t>La Comisión debe elaborar un informe anual sobre la aplicación del presente Reglamento y presentarlo al Parlamento Europeo y al Consejo. Dicho informe anual debe incluir, entre otras cosas, información sobre el uso y la evolución de los contingentes y sobre la categoría y la cantidad de importaciones sujetas al derecho del 50 %. El informe anual se hará público.</w:t>
            </w:r>
          </w:p>
        </w:tc>
      </w:tr>
    </w:tbl>
    <w:p w14:paraId="251C2888" w14:textId="77777777" w:rsidR="006C3E5B" w:rsidRPr="00B34733" w:rsidRDefault="00B34733" w:rsidP="006C3E5B">
      <w:pPr>
        <w:pStyle w:val="AmOrLang"/>
      </w:pPr>
      <w:r w:rsidRPr="00B34733">
        <w:t xml:space="preserve">Or. </w:t>
      </w:r>
      <w:r w:rsidRPr="00B34733">
        <w:rPr>
          <w:rStyle w:val="HideTWBExt"/>
        </w:rPr>
        <w:t>&lt;Original&gt;</w:t>
      </w:r>
      <w:r w:rsidRPr="00B34733">
        <w:rPr>
          <w:rStyle w:val="HideTWBInt"/>
        </w:rPr>
        <w:t>{EN}</w:t>
      </w:r>
      <w:r w:rsidRPr="00B34733">
        <w:t>en</w:t>
      </w:r>
      <w:r w:rsidRPr="00B34733">
        <w:rPr>
          <w:rStyle w:val="HideTWBExt"/>
        </w:rPr>
        <w:t>&lt;/Original&gt;</w:t>
      </w:r>
    </w:p>
    <w:p w14:paraId="444BBE86" w14:textId="77777777" w:rsidR="006C3E5B" w:rsidRPr="00B34733" w:rsidRDefault="00B34733" w:rsidP="006C3E5B">
      <w:r w:rsidRPr="00B34733">
        <w:rPr>
          <w:rStyle w:val="HideTWBExt"/>
        </w:rPr>
        <w:t>&lt;/Amend&gt;</w:t>
      </w:r>
    </w:p>
    <w:p w14:paraId="28D901B5" w14:textId="77777777" w:rsidR="006C3E5B" w:rsidRPr="00B34733" w:rsidRDefault="00B34733" w:rsidP="006C3E5B">
      <w:pPr>
        <w:pStyle w:val="AmNumberTabs"/>
      </w:pPr>
      <w:r w:rsidRPr="00B34733">
        <w:rPr>
          <w:rStyle w:val="HideTWBExt"/>
          <w:b w:val="0"/>
        </w:rPr>
        <w:t>&lt;Amend&gt;</w:t>
      </w:r>
      <w:r w:rsidRPr="00B34733">
        <w:t>Enmienda</w:t>
      </w:r>
      <w:r w:rsidRPr="00B34733">
        <w:tab/>
      </w:r>
      <w:r w:rsidRPr="00B34733">
        <w:tab/>
      </w:r>
      <w:r w:rsidRPr="00B34733">
        <w:rPr>
          <w:rStyle w:val="HideTWBExt"/>
          <w:b w:val="0"/>
        </w:rPr>
        <w:t>&lt;NumAm&gt;</w:t>
      </w:r>
      <w:r w:rsidRPr="00B34733">
        <w:t>9</w:t>
      </w:r>
      <w:r w:rsidRPr="00B34733">
        <w:rPr>
          <w:rStyle w:val="HideTWBExt"/>
          <w:b w:val="0"/>
        </w:rPr>
        <w:t>&lt;/NumAm&gt;</w:t>
      </w:r>
    </w:p>
    <w:p w14:paraId="28234D3B" w14:textId="77777777" w:rsidR="006C3E5B" w:rsidRPr="00B34733" w:rsidRDefault="00B34733" w:rsidP="006C3E5B">
      <w:pPr>
        <w:pStyle w:val="NormalBold12b"/>
      </w:pPr>
      <w:r w:rsidRPr="00B34733">
        <w:rPr>
          <w:rStyle w:val="HideTWBExt"/>
          <w:b w:val="0"/>
        </w:rPr>
        <w:t>&lt;DocAmend&gt;</w:t>
      </w:r>
      <w:r w:rsidRPr="00B34733">
        <w:t>Propuesta de Reglamento</w:t>
      </w:r>
      <w:r w:rsidRPr="00B34733">
        <w:rPr>
          <w:rStyle w:val="HideTWBExt"/>
          <w:b w:val="0"/>
        </w:rPr>
        <w:t>&lt;/DocAmend&gt;</w:t>
      </w:r>
    </w:p>
    <w:p w14:paraId="6D56870E" w14:textId="77777777" w:rsidR="006C3E5B" w:rsidRPr="00B34733" w:rsidRDefault="00B34733" w:rsidP="006C3E5B">
      <w:pPr>
        <w:pStyle w:val="NormalBold"/>
      </w:pPr>
      <w:r w:rsidRPr="00B34733">
        <w:rPr>
          <w:rStyle w:val="HideTWBExt"/>
          <w:b w:val="0"/>
        </w:rPr>
        <w:t>&lt;Article&gt;</w:t>
      </w:r>
      <w:r w:rsidRPr="00B34733">
        <w:t>Considerando 27</w:t>
      </w:r>
      <w:r w:rsidRPr="00B3473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4733" w:rsidRPr="00B34733" w14:paraId="1D89833A" w14:textId="77777777" w:rsidTr="006C3E5B">
        <w:trPr>
          <w:trHeight w:val="240"/>
          <w:jc w:val="center"/>
        </w:trPr>
        <w:tc>
          <w:tcPr>
            <w:tcW w:w="9752" w:type="dxa"/>
            <w:gridSpan w:val="2"/>
          </w:tcPr>
          <w:p w14:paraId="2B880DE3" w14:textId="77777777" w:rsidR="006C3E5B" w:rsidRPr="00B34733" w:rsidRDefault="006C3E5B"/>
        </w:tc>
      </w:tr>
      <w:tr w:rsidR="00B34733" w:rsidRPr="00B34733" w14:paraId="517829C8" w14:textId="77777777" w:rsidTr="006C3E5B">
        <w:trPr>
          <w:trHeight w:val="240"/>
          <w:jc w:val="center"/>
        </w:trPr>
        <w:tc>
          <w:tcPr>
            <w:tcW w:w="4876" w:type="dxa"/>
            <w:hideMark/>
          </w:tcPr>
          <w:p w14:paraId="3F7BFFAB" w14:textId="77777777" w:rsidR="006C3E5B" w:rsidRPr="00B34733" w:rsidRDefault="00B34733">
            <w:pPr>
              <w:pStyle w:val="AmColumnHeading"/>
            </w:pPr>
            <w:r w:rsidRPr="00B34733">
              <w:t>Texto de la Comisión</w:t>
            </w:r>
          </w:p>
        </w:tc>
        <w:tc>
          <w:tcPr>
            <w:tcW w:w="4876" w:type="dxa"/>
            <w:hideMark/>
          </w:tcPr>
          <w:p w14:paraId="130C146C" w14:textId="77777777" w:rsidR="006C3E5B" w:rsidRPr="00B34733" w:rsidRDefault="00B34733">
            <w:pPr>
              <w:pStyle w:val="AmColumnHeading"/>
            </w:pPr>
            <w:r w:rsidRPr="00B34733">
              <w:t>Enmienda</w:t>
            </w:r>
          </w:p>
        </w:tc>
      </w:tr>
      <w:tr w:rsidR="00B34733" w:rsidRPr="00B34733" w14:paraId="42FF0578" w14:textId="77777777" w:rsidTr="006C3E5B">
        <w:trPr>
          <w:jc w:val="center"/>
        </w:trPr>
        <w:tc>
          <w:tcPr>
            <w:tcW w:w="4876" w:type="dxa"/>
            <w:hideMark/>
          </w:tcPr>
          <w:p w14:paraId="09E7C07E" w14:textId="77777777" w:rsidR="006C3E5B" w:rsidRPr="00B34733" w:rsidRDefault="00B34733">
            <w:pPr>
              <w:pStyle w:val="Normal6a"/>
            </w:pPr>
            <w:r w:rsidRPr="00B34733">
              <w:t>(27)</w:t>
            </w:r>
            <w:r w:rsidRPr="00B34733">
              <w:tab/>
              <w:t xml:space="preserve">Antes </w:t>
            </w:r>
            <w:r w:rsidRPr="00B34733">
              <w:rPr>
                <w:b/>
                <w:i/>
              </w:rPr>
              <w:t>del 1 de julio de 2031</w:t>
            </w:r>
            <w:r w:rsidRPr="00B34733">
              <w:t xml:space="preserve">, y posteriormente cada </w:t>
            </w:r>
            <w:r w:rsidRPr="00B34733">
              <w:rPr>
                <w:b/>
                <w:i/>
              </w:rPr>
              <w:t>cinco</w:t>
            </w:r>
            <w:r w:rsidRPr="00B34733">
              <w:t xml:space="preserve"> años, la Comisión debe evaluar la evolución de los parámetros clave que justificaron la adopción del presente Reglamento, tales como la evolución y las tendencias del exceso de capacidad mundial, así como sus efectos en el mercado del acero. La Comisión también debe revisar la situación de las medidas comerciales restrictivas de terceros países sobre el acero y las </w:t>
            </w:r>
            <w:r w:rsidRPr="00B34733">
              <w:lastRenderedPageBreak/>
              <w:t>implicaciones y efectos que estas puedan tener, o que es probable que tengan, en cuan</w:t>
            </w:r>
            <w:r w:rsidRPr="00B34733">
              <w:t>to a riesgo de desvío comercial hacia el mercado de la Unión. Además, la Comisión también debe analizar la situación relativa a la existencia de políticas y prácticas no sujetas al mercado en terceros países y su impacto en el mercado siderúrgico de la Unión. La Comisión también debe evaluar la evolución de los resultados económicos de la industria siderúrgica de la Unión, así como la evolución de sus proyectos de descarbonización.</w:t>
            </w:r>
          </w:p>
        </w:tc>
        <w:tc>
          <w:tcPr>
            <w:tcW w:w="4876" w:type="dxa"/>
            <w:hideMark/>
          </w:tcPr>
          <w:p w14:paraId="1AD0454B" w14:textId="77777777" w:rsidR="006C3E5B" w:rsidRPr="00B34733" w:rsidRDefault="00B34733">
            <w:pPr>
              <w:pStyle w:val="Normal6a"/>
            </w:pPr>
            <w:r w:rsidRPr="00B34733">
              <w:lastRenderedPageBreak/>
              <w:t>(27)</w:t>
            </w:r>
            <w:r w:rsidRPr="00B34733">
              <w:tab/>
              <w:t xml:space="preserve">Antes </w:t>
            </w:r>
            <w:r w:rsidRPr="00B34733">
              <w:rPr>
                <w:b/>
                <w:i/>
              </w:rPr>
              <w:t>de que finalice el segundo año a partir de la fecha de entrada en vigor del presente Reglamento</w:t>
            </w:r>
            <w:r w:rsidRPr="00B34733">
              <w:t xml:space="preserve">, y posteriormente cada </w:t>
            </w:r>
            <w:r w:rsidRPr="00B34733">
              <w:rPr>
                <w:b/>
                <w:i/>
              </w:rPr>
              <w:t>dos</w:t>
            </w:r>
            <w:r w:rsidRPr="00B34733">
              <w:t xml:space="preserve"> años, la Comisión debe evaluar la evolución de los parámetros clave que justificaron la adopción del presente Reglamento, tales como la evolución y las tendencias del exceso de capacidad mundial, así como sus efectos en el mercado del acero</w:t>
            </w:r>
            <w:r w:rsidRPr="00B34733">
              <w:rPr>
                <w:b/>
                <w:i/>
              </w:rPr>
              <w:t xml:space="preserve"> y en fases posteriores de la cadena de valor</w:t>
            </w:r>
            <w:r w:rsidRPr="00B34733">
              <w:t xml:space="preserve">. La </w:t>
            </w:r>
            <w:r w:rsidRPr="00B34733">
              <w:lastRenderedPageBreak/>
              <w:t>Comisión también debe revisar la situación de las medidas comerciales restrictivas de tercer</w:t>
            </w:r>
            <w:r w:rsidRPr="00B34733">
              <w:t>os países sobre el acero y las implicaciones y efectos que estas puedan tener, o que es probable que tengan, en cuanto a riesgo de desvío comercial hacia el mercado de la Unión. Además, la Comisión también debe analizar la situación relativa a la existencia de políticas y prácticas no sujetas al mercado en terceros países y su impacto en el mercado siderúrgico de la Unión. La Comisión también debe evaluar la evolución de los resultados económicos de la industria siderúrgica de la Unión</w:t>
            </w:r>
            <w:r w:rsidRPr="00B34733">
              <w:rPr>
                <w:b/>
                <w:i/>
              </w:rPr>
              <w:t>, incluidos los nivele</w:t>
            </w:r>
            <w:r w:rsidRPr="00B34733">
              <w:rPr>
                <w:b/>
                <w:i/>
              </w:rPr>
              <w:t>s de precios y la absorción de capacidad</w:t>
            </w:r>
            <w:r w:rsidRPr="00B34733">
              <w:t>, así como la evolución de sus proyectos de descarbonización.</w:t>
            </w:r>
          </w:p>
        </w:tc>
      </w:tr>
    </w:tbl>
    <w:p w14:paraId="4C81A16A" w14:textId="77777777" w:rsidR="006C3E5B" w:rsidRPr="00B34733" w:rsidRDefault="00B34733" w:rsidP="006C3E5B">
      <w:pPr>
        <w:pStyle w:val="AmOrLang"/>
      </w:pPr>
      <w:r w:rsidRPr="00B34733">
        <w:t xml:space="preserve">Or. </w:t>
      </w:r>
      <w:r w:rsidRPr="00B34733">
        <w:rPr>
          <w:rStyle w:val="HideTWBExt"/>
        </w:rPr>
        <w:t>&lt;Original&gt;</w:t>
      </w:r>
      <w:r w:rsidRPr="00B34733">
        <w:rPr>
          <w:rStyle w:val="HideTWBInt"/>
        </w:rPr>
        <w:t>{EN}</w:t>
      </w:r>
      <w:r w:rsidRPr="00B34733">
        <w:t>en</w:t>
      </w:r>
      <w:r w:rsidRPr="00B34733">
        <w:rPr>
          <w:rStyle w:val="HideTWBExt"/>
        </w:rPr>
        <w:t>&lt;/Original&gt;</w:t>
      </w:r>
    </w:p>
    <w:p w14:paraId="241A2AAA" w14:textId="77777777" w:rsidR="006C3E5B" w:rsidRPr="00B34733" w:rsidRDefault="00B34733" w:rsidP="006C3E5B">
      <w:r w:rsidRPr="00B34733">
        <w:rPr>
          <w:rStyle w:val="HideTWBExt"/>
        </w:rPr>
        <w:t>&lt;/Amend&gt;</w:t>
      </w:r>
    </w:p>
    <w:p w14:paraId="1AE3765B" w14:textId="77777777" w:rsidR="006C3E5B" w:rsidRPr="00B34733" w:rsidRDefault="00B34733" w:rsidP="006C3E5B">
      <w:pPr>
        <w:pStyle w:val="AmNumberTabs"/>
      </w:pPr>
      <w:r w:rsidRPr="00B34733">
        <w:rPr>
          <w:rStyle w:val="HideTWBExt"/>
          <w:b w:val="0"/>
        </w:rPr>
        <w:t>&lt;Amend&gt;</w:t>
      </w:r>
      <w:r w:rsidRPr="00B34733">
        <w:t>Enmienda</w:t>
      </w:r>
      <w:r w:rsidRPr="00B34733">
        <w:tab/>
      </w:r>
      <w:r w:rsidRPr="00B34733">
        <w:tab/>
      </w:r>
      <w:r w:rsidRPr="00B34733">
        <w:rPr>
          <w:rStyle w:val="HideTWBExt"/>
          <w:b w:val="0"/>
        </w:rPr>
        <w:t>&lt;NumAm&gt;</w:t>
      </w:r>
      <w:r w:rsidRPr="00B34733">
        <w:t>10</w:t>
      </w:r>
      <w:r w:rsidRPr="00B34733">
        <w:rPr>
          <w:rStyle w:val="HideTWBExt"/>
          <w:b w:val="0"/>
        </w:rPr>
        <w:t>&lt;/NumAm&gt;</w:t>
      </w:r>
    </w:p>
    <w:p w14:paraId="2340362F" w14:textId="77777777" w:rsidR="006C3E5B" w:rsidRPr="00B34733" w:rsidRDefault="00B34733" w:rsidP="006C3E5B">
      <w:pPr>
        <w:pStyle w:val="NormalBold12b"/>
      </w:pPr>
      <w:r w:rsidRPr="00B34733">
        <w:rPr>
          <w:rStyle w:val="HideTWBExt"/>
          <w:b w:val="0"/>
        </w:rPr>
        <w:t>&lt;DocAmend&gt;</w:t>
      </w:r>
      <w:r w:rsidRPr="00B34733">
        <w:t>Propuesta de Reglamento</w:t>
      </w:r>
      <w:r w:rsidRPr="00B34733">
        <w:rPr>
          <w:rStyle w:val="HideTWBExt"/>
          <w:b w:val="0"/>
        </w:rPr>
        <w:t>&lt;/DocAmend&gt;</w:t>
      </w:r>
    </w:p>
    <w:p w14:paraId="716B7A98" w14:textId="77777777" w:rsidR="006C3E5B" w:rsidRPr="00B34733" w:rsidRDefault="00B34733" w:rsidP="006C3E5B">
      <w:pPr>
        <w:pStyle w:val="NormalBold"/>
      </w:pPr>
      <w:r w:rsidRPr="00B34733">
        <w:rPr>
          <w:rStyle w:val="HideTWBExt"/>
          <w:b w:val="0"/>
        </w:rPr>
        <w:t>&lt;Article&gt;</w:t>
      </w:r>
      <w:r w:rsidRPr="00B34733">
        <w:t>Artículo 1 bis – párrafo 1</w:t>
      </w:r>
      <w:r w:rsidRPr="00B3473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4733" w:rsidRPr="00B34733" w14:paraId="30F32ED0" w14:textId="77777777" w:rsidTr="006C3E5B">
        <w:trPr>
          <w:trHeight w:val="240"/>
          <w:jc w:val="center"/>
        </w:trPr>
        <w:tc>
          <w:tcPr>
            <w:tcW w:w="9752" w:type="dxa"/>
            <w:gridSpan w:val="2"/>
          </w:tcPr>
          <w:p w14:paraId="434B0B09" w14:textId="77777777" w:rsidR="006C3E5B" w:rsidRPr="00B34733" w:rsidRDefault="006C3E5B"/>
        </w:tc>
      </w:tr>
      <w:tr w:rsidR="00B34733" w:rsidRPr="00B34733" w14:paraId="56094D4D" w14:textId="77777777" w:rsidTr="006C3E5B">
        <w:trPr>
          <w:trHeight w:val="240"/>
          <w:jc w:val="center"/>
        </w:trPr>
        <w:tc>
          <w:tcPr>
            <w:tcW w:w="4876" w:type="dxa"/>
            <w:hideMark/>
          </w:tcPr>
          <w:p w14:paraId="7C57B388" w14:textId="77777777" w:rsidR="006C3E5B" w:rsidRPr="00B34733" w:rsidRDefault="00B34733">
            <w:pPr>
              <w:pStyle w:val="AmColumnHeading"/>
            </w:pPr>
            <w:r w:rsidRPr="00B34733">
              <w:t>Texto de la Comisión</w:t>
            </w:r>
          </w:p>
        </w:tc>
        <w:tc>
          <w:tcPr>
            <w:tcW w:w="4876" w:type="dxa"/>
            <w:hideMark/>
          </w:tcPr>
          <w:p w14:paraId="4B8F5DAB" w14:textId="77777777" w:rsidR="006C3E5B" w:rsidRPr="00B34733" w:rsidRDefault="00B34733">
            <w:pPr>
              <w:pStyle w:val="AmColumnHeading"/>
            </w:pPr>
            <w:r w:rsidRPr="00B34733">
              <w:t>Enmienda</w:t>
            </w:r>
          </w:p>
        </w:tc>
      </w:tr>
      <w:tr w:rsidR="00B34733" w:rsidRPr="00B34733" w14:paraId="4090F663" w14:textId="77777777" w:rsidTr="006C3E5B">
        <w:trPr>
          <w:jc w:val="center"/>
        </w:trPr>
        <w:tc>
          <w:tcPr>
            <w:tcW w:w="4876" w:type="dxa"/>
            <w:hideMark/>
          </w:tcPr>
          <w:p w14:paraId="3DE75731" w14:textId="77777777" w:rsidR="006C3E5B" w:rsidRPr="00B34733" w:rsidRDefault="00B34733">
            <w:pPr>
              <w:pStyle w:val="Normal6a"/>
            </w:pPr>
            <w:r w:rsidRPr="00B34733">
              <w:t xml:space="preserve">El artículo 1 no se aplicará a los productos originarios de Islandia, Liechtenstein </w:t>
            </w:r>
            <w:r w:rsidRPr="00B34733">
              <w:rPr>
                <w:b/>
                <w:i/>
              </w:rPr>
              <w:t>o</w:t>
            </w:r>
            <w:r w:rsidRPr="00B34733">
              <w:t xml:space="preserve"> Noruega.</w:t>
            </w:r>
          </w:p>
        </w:tc>
        <w:tc>
          <w:tcPr>
            <w:tcW w:w="4876" w:type="dxa"/>
            <w:hideMark/>
          </w:tcPr>
          <w:p w14:paraId="6F08D2EE" w14:textId="77777777" w:rsidR="006C3E5B" w:rsidRPr="00B34733" w:rsidRDefault="00B34733">
            <w:pPr>
              <w:pStyle w:val="Normal6a"/>
            </w:pPr>
            <w:r w:rsidRPr="00B34733">
              <w:t xml:space="preserve">El artículo 1 no se aplicará a los productos originarios de Islandia, Liechtenstein </w:t>
            </w:r>
            <w:r w:rsidRPr="00B34733">
              <w:rPr>
                <w:b/>
                <w:i/>
              </w:rPr>
              <w:t>y</w:t>
            </w:r>
            <w:r w:rsidRPr="00B34733">
              <w:t xml:space="preserve"> Noruega</w:t>
            </w:r>
            <w:r w:rsidRPr="00B34733">
              <w:rPr>
                <w:b/>
                <w:i/>
              </w:rPr>
              <w:t>, y no se aplicará a un país candidato mientras este se enfrente a una situación excepcional e inmediata en materia de seguridad</w:t>
            </w:r>
            <w:r w:rsidRPr="00B34733">
              <w:t>.</w:t>
            </w:r>
          </w:p>
        </w:tc>
      </w:tr>
    </w:tbl>
    <w:p w14:paraId="14490C9C" w14:textId="77777777" w:rsidR="006C3E5B" w:rsidRPr="00B34733" w:rsidRDefault="00B34733" w:rsidP="006C3E5B">
      <w:pPr>
        <w:pStyle w:val="AmOrLang"/>
      </w:pPr>
      <w:r w:rsidRPr="00B34733">
        <w:t xml:space="preserve">Or. </w:t>
      </w:r>
      <w:r w:rsidRPr="00B34733">
        <w:rPr>
          <w:rStyle w:val="HideTWBExt"/>
        </w:rPr>
        <w:t>&lt;Original&gt;</w:t>
      </w:r>
      <w:r w:rsidRPr="00B34733">
        <w:rPr>
          <w:rStyle w:val="HideTWBInt"/>
        </w:rPr>
        <w:t>{EN}</w:t>
      </w:r>
      <w:r w:rsidRPr="00B34733">
        <w:t>en</w:t>
      </w:r>
      <w:r w:rsidRPr="00B34733">
        <w:rPr>
          <w:rStyle w:val="HideTWBExt"/>
        </w:rPr>
        <w:t>&lt;/Original&gt;</w:t>
      </w:r>
    </w:p>
    <w:p w14:paraId="51756B94" w14:textId="77777777" w:rsidR="006C3E5B" w:rsidRPr="00B34733" w:rsidRDefault="00B34733" w:rsidP="006C3E5B">
      <w:r w:rsidRPr="00B34733">
        <w:rPr>
          <w:rStyle w:val="HideTWBExt"/>
        </w:rPr>
        <w:t>&lt;/Amend&gt;</w:t>
      </w:r>
    </w:p>
    <w:p w14:paraId="20ACDB5E" w14:textId="77777777" w:rsidR="006C3E5B" w:rsidRPr="00B34733" w:rsidRDefault="00B34733" w:rsidP="006C3E5B">
      <w:pPr>
        <w:pStyle w:val="AmNumberTabs"/>
      </w:pPr>
      <w:r w:rsidRPr="00B34733">
        <w:rPr>
          <w:rStyle w:val="HideTWBExt"/>
          <w:b w:val="0"/>
        </w:rPr>
        <w:t>&lt;Amend&gt;</w:t>
      </w:r>
      <w:r w:rsidRPr="00B34733">
        <w:t>Enmienda</w:t>
      </w:r>
      <w:r w:rsidRPr="00B34733">
        <w:tab/>
      </w:r>
      <w:r w:rsidRPr="00B34733">
        <w:tab/>
      </w:r>
      <w:r w:rsidRPr="00B34733">
        <w:rPr>
          <w:rStyle w:val="HideTWBExt"/>
          <w:b w:val="0"/>
        </w:rPr>
        <w:t>&lt;NumAm&gt;</w:t>
      </w:r>
      <w:r w:rsidRPr="00B34733">
        <w:t>11</w:t>
      </w:r>
      <w:r w:rsidRPr="00B34733">
        <w:rPr>
          <w:rStyle w:val="HideTWBExt"/>
          <w:b w:val="0"/>
        </w:rPr>
        <w:t>&lt;/NumAm&gt;</w:t>
      </w:r>
    </w:p>
    <w:p w14:paraId="22686D62" w14:textId="77777777" w:rsidR="006C3E5B" w:rsidRPr="00B34733" w:rsidRDefault="00B34733" w:rsidP="006C3E5B">
      <w:pPr>
        <w:pStyle w:val="NormalBold12b"/>
      </w:pPr>
      <w:r w:rsidRPr="00B34733">
        <w:rPr>
          <w:rStyle w:val="HideTWBExt"/>
          <w:b w:val="0"/>
        </w:rPr>
        <w:t>&lt;DocAmend&gt;</w:t>
      </w:r>
      <w:r w:rsidRPr="00B34733">
        <w:t>Propuesta de Reglamento</w:t>
      </w:r>
      <w:r w:rsidRPr="00B34733">
        <w:rPr>
          <w:rStyle w:val="HideTWBExt"/>
          <w:b w:val="0"/>
        </w:rPr>
        <w:t>&lt;/DocAmend&gt;</w:t>
      </w:r>
    </w:p>
    <w:p w14:paraId="1B38FFFA" w14:textId="77777777" w:rsidR="006C3E5B" w:rsidRPr="00B34733" w:rsidRDefault="00B34733" w:rsidP="006C3E5B">
      <w:pPr>
        <w:pStyle w:val="NormalBold"/>
      </w:pPr>
      <w:r w:rsidRPr="00B34733">
        <w:rPr>
          <w:rStyle w:val="HideTWBExt"/>
          <w:b w:val="0"/>
        </w:rPr>
        <w:t>&lt;Article&gt;</w:t>
      </w:r>
      <w:r w:rsidRPr="00B34733">
        <w:t>Artículo 2 – apartado 4</w:t>
      </w:r>
      <w:r w:rsidRPr="00B3473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4733" w:rsidRPr="00B34733" w14:paraId="24E6BEE5" w14:textId="77777777" w:rsidTr="006C3E5B">
        <w:trPr>
          <w:trHeight w:val="240"/>
          <w:jc w:val="center"/>
        </w:trPr>
        <w:tc>
          <w:tcPr>
            <w:tcW w:w="9752" w:type="dxa"/>
            <w:gridSpan w:val="2"/>
          </w:tcPr>
          <w:p w14:paraId="74C0D636" w14:textId="77777777" w:rsidR="006C3E5B" w:rsidRPr="00B34733" w:rsidRDefault="006C3E5B"/>
        </w:tc>
      </w:tr>
      <w:tr w:rsidR="00B34733" w:rsidRPr="00B34733" w14:paraId="76E0048B" w14:textId="77777777" w:rsidTr="006C3E5B">
        <w:trPr>
          <w:trHeight w:val="240"/>
          <w:jc w:val="center"/>
        </w:trPr>
        <w:tc>
          <w:tcPr>
            <w:tcW w:w="4876" w:type="dxa"/>
            <w:hideMark/>
          </w:tcPr>
          <w:p w14:paraId="4336129C" w14:textId="77777777" w:rsidR="006C3E5B" w:rsidRPr="00B34733" w:rsidRDefault="00B34733">
            <w:pPr>
              <w:pStyle w:val="AmColumnHeading"/>
            </w:pPr>
            <w:r w:rsidRPr="00B34733">
              <w:t>Texto de la Comisión</w:t>
            </w:r>
          </w:p>
        </w:tc>
        <w:tc>
          <w:tcPr>
            <w:tcW w:w="4876" w:type="dxa"/>
            <w:hideMark/>
          </w:tcPr>
          <w:p w14:paraId="0C74C616" w14:textId="77777777" w:rsidR="006C3E5B" w:rsidRPr="00B34733" w:rsidRDefault="00B34733">
            <w:pPr>
              <w:pStyle w:val="AmColumnHeading"/>
            </w:pPr>
            <w:r w:rsidRPr="00B34733">
              <w:t>Enmienda</w:t>
            </w:r>
          </w:p>
        </w:tc>
      </w:tr>
      <w:tr w:rsidR="00B34733" w:rsidRPr="00B34733" w14:paraId="6BD0DD23" w14:textId="77777777" w:rsidTr="006C3E5B">
        <w:trPr>
          <w:jc w:val="center"/>
        </w:trPr>
        <w:tc>
          <w:tcPr>
            <w:tcW w:w="4876" w:type="dxa"/>
            <w:hideMark/>
          </w:tcPr>
          <w:p w14:paraId="0B1B3E70" w14:textId="77777777" w:rsidR="006C3E5B" w:rsidRPr="00B34733" w:rsidRDefault="00B34733">
            <w:pPr>
              <w:pStyle w:val="Normal6a"/>
            </w:pPr>
            <w:r w:rsidRPr="00B34733">
              <w:t>4.</w:t>
            </w:r>
            <w:r w:rsidRPr="00B34733">
              <w:tab/>
            </w:r>
            <w:r w:rsidRPr="00B34733">
              <w:t xml:space="preserve">Los volúmenes del contingente </w:t>
            </w:r>
            <w:r w:rsidRPr="00B34733">
              <w:lastRenderedPageBreak/>
              <w:t xml:space="preserve">arancelario no utilizados en un trimestre </w:t>
            </w:r>
            <w:r w:rsidRPr="00B34733">
              <w:rPr>
                <w:b/>
                <w:i/>
              </w:rPr>
              <w:t xml:space="preserve">no </w:t>
            </w:r>
            <w:r w:rsidRPr="00B34733">
              <w:t>se transferirán al trimestre siguiente.</w:t>
            </w:r>
          </w:p>
        </w:tc>
        <w:tc>
          <w:tcPr>
            <w:tcW w:w="4876" w:type="dxa"/>
            <w:hideMark/>
          </w:tcPr>
          <w:p w14:paraId="2F36FE91" w14:textId="77777777" w:rsidR="006C3E5B" w:rsidRPr="00B34733" w:rsidRDefault="00B34733">
            <w:pPr>
              <w:pStyle w:val="Normal6a"/>
            </w:pPr>
            <w:r w:rsidRPr="00B34733">
              <w:lastRenderedPageBreak/>
              <w:t>4.</w:t>
            </w:r>
            <w:r w:rsidRPr="00B34733">
              <w:tab/>
              <w:t xml:space="preserve">Los volúmenes del contingente </w:t>
            </w:r>
            <w:r w:rsidRPr="00B34733">
              <w:lastRenderedPageBreak/>
              <w:t>arancelario no utilizados en un trimestre se transferirán al trimestre siguiente.</w:t>
            </w:r>
          </w:p>
        </w:tc>
      </w:tr>
    </w:tbl>
    <w:p w14:paraId="46C06719" w14:textId="77777777" w:rsidR="006C3E5B" w:rsidRPr="00B34733" w:rsidRDefault="00B34733" w:rsidP="006C3E5B">
      <w:pPr>
        <w:pStyle w:val="AmOrLang"/>
      </w:pPr>
      <w:r w:rsidRPr="00B34733">
        <w:t xml:space="preserve">Or. </w:t>
      </w:r>
      <w:r w:rsidRPr="00B34733">
        <w:rPr>
          <w:rStyle w:val="HideTWBExt"/>
        </w:rPr>
        <w:t>&lt;Original&gt;</w:t>
      </w:r>
      <w:r w:rsidRPr="00B34733">
        <w:rPr>
          <w:rStyle w:val="HideTWBInt"/>
        </w:rPr>
        <w:t>{EN}</w:t>
      </w:r>
      <w:r w:rsidRPr="00B34733">
        <w:t>en</w:t>
      </w:r>
      <w:r w:rsidRPr="00B34733">
        <w:rPr>
          <w:rStyle w:val="HideTWBExt"/>
        </w:rPr>
        <w:t>&lt;/Original&gt;</w:t>
      </w:r>
    </w:p>
    <w:p w14:paraId="5E400CC3" w14:textId="77777777" w:rsidR="006C3E5B" w:rsidRPr="00B34733" w:rsidRDefault="00B34733" w:rsidP="006C3E5B">
      <w:r w:rsidRPr="00B34733">
        <w:rPr>
          <w:rStyle w:val="HideTWBExt"/>
        </w:rPr>
        <w:t>&lt;/Amend&gt;</w:t>
      </w:r>
    </w:p>
    <w:p w14:paraId="5A367725" w14:textId="77777777" w:rsidR="006C3E5B" w:rsidRPr="00B34733" w:rsidRDefault="00B34733" w:rsidP="006C3E5B">
      <w:pPr>
        <w:pStyle w:val="AmNumberTabs"/>
      </w:pPr>
      <w:r w:rsidRPr="00B34733">
        <w:rPr>
          <w:rStyle w:val="HideTWBExt"/>
          <w:b w:val="0"/>
        </w:rPr>
        <w:t>&lt;Amend&gt;</w:t>
      </w:r>
      <w:r w:rsidRPr="00B34733">
        <w:t>Enmienda</w:t>
      </w:r>
      <w:r w:rsidRPr="00B34733">
        <w:tab/>
      </w:r>
      <w:r w:rsidRPr="00B34733">
        <w:tab/>
      </w:r>
      <w:r w:rsidRPr="00B34733">
        <w:rPr>
          <w:rStyle w:val="HideTWBExt"/>
          <w:b w:val="0"/>
        </w:rPr>
        <w:t>&lt;NumAm&gt;</w:t>
      </w:r>
      <w:r w:rsidRPr="00B34733">
        <w:t>12</w:t>
      </w:r>
      <w:r w:rsidRPr="00B34733">
        <w:rPr>
          <w:rStyle w:val="HideTWBExt"/>
          <w:b w:val="0"/>
        </w:rPr>
        <w:t>&lt;/NumAm&gt;</w:t>
      </w:r>
    </w:p>
    <w:p w14:paraId="7685AC44" w14:textId="77777777" w:rsidR="006C3E5B" w:rsidRPr="00B34733" w:rsidRDefault="00B34733" w:rsidP="006C3E5B">
      <w:pPr>
        <w:pStyle w:val="NormalBold12b"/>
      </w:pPr>
      <w:r w:rsidRPr="00B34733">
        <w:rPr>
          <w:rStyle w:val="HideTWBExt"/>
          <w:b w:val="0"/>
        </w:rPr>
        <w:t>&lt;DocAmend&gt;</w:t>
      </w:r>
      <w:r w:rsidRPr="00B34733">
        <w:t>Propuesta de Reglamento</w:t>
      </w:r>
      <w:r w:rsidRPr="00B34733">
        <w:rPr>
          <w:rStyle w:val="HideTWBExt"/>
          <w:b w:val="0"/>
        </w:rPr>
        <w:t>&lt;/DocAmend&gt;</w:t>
      </w:r>
    </w:p>
    <w:p w14:paraId="012EA724" w14:textId="77777777" w:rsidR="006C3E5B" w:rsidRPr="00B34733" w:rsidRDefault="00B34733" w:rsidP="006C3E5B">
      <w:pPr>
        <w:pStyle w:val="NormalBold"/>
      </w:pPr>
      <w:r w:rsidRPr="00B34733">
        <w:rPr>
          <w:rStyle w:val="HideTWBExt"/>
          <w:b w:val="0"/>
        </w:rPr>
        <w:t>&lt;Article&gt;</w:t>
      </w:r>
      <w:r w:rsidRPr="00B34733">
        <w:t>Artículo 2 – apartado 4 bis (nuevo)</w:t>
      </w:r>
      <w:r w:rsidRPr="00B3473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4733" w:rsidRPr="00B34733" w14:paraId="17117D32" w14:textId="77777777" w:rsidTr="006C3E5B">
        <w:trPr>
          <w:trHeight w:val="240"/>
          <w:jc w:val="center"/>
        </w:trPr>
        <w:tc>
          <w:tcPr>
            <w:tcW w:w="9752" w:type="dxa"/>
            <w:gridSpan w:val="2"/>
          </w:tcPr>
          <w:p w14:paraId="75CEBC0F" w14:textId="77777777" w:rsidR="006C3E5B" w:rsidRPr="00B34733" w:rsidRDefault="006C3E5B"/>
        </w:tc>
      </w:tr>
      <w:tr w:rsidR="00B34733" w:rsidRPr="00B34733" w14:paraId="4717A9E4" w14:textId="77777777" w:rsidTr="006C3E5B">
        <w:trPr>
          <w:trHeight w:val="240"/>
          <w:jc w:val="center"/>
        </w:trPr>
        <w:tc>
          <w:tcPr>
            <w:tcW w:w="4876" w:type="dxa"/>
            <w:hideMark/>
          </w:tcPr>
          <w:p w14:paraId="14FC9BD7" w14:textId="77777777" w:rsidR="006C3E5B" w:rsidRPr="00B34733" w:rsidRDefault="00B34733">
            <w:pPr>
              <w:pStyle w:val="AmColumnHeading"/>
            </w:pPr>
            <w:r w:rsidRPr="00B34733">
              <w:t>Texto de la Comisión</w:t>
            </w:r>
          </w:p>
        </w:tc>
        <w:tc>
          <w:tcPr>
            <w:tcW w:w="4876" w:type="dxa"/>
            <w:hideMark/>
          </w:tcPr>
          <w:p w14:paraId="39F3552E" w14:textId="77777777" w:rsidR="006C3E5B" w:rsidRPr="00B34733" w:rsidRDefault="00B34733">
            <w:pPr>
              <w:pStyle w:val="AmColumnHeading"/>
            </w:pPr>
            <w:r w:rsidRPr="00B34733">
              <w:t>Enmienda</w:t>
            </w:r>
          </w:p>
        </w:tc>
      </w:tr>
      <w:tr w:rsidR="00B34733" w:rsidRPr="00B34733" w14:paraId="12A3BD6A" w14:textId="77777777" w:rsidTr="006C3E5B">
        <w:trPr>
          <w:jc w:val="center"/>
        </w:trPr>
        <w:tc>
          <w:tcPr>
            <w:tcW w:w="4876" w:type="dxa"/>
          </w:tcPr>
          <w:p w14:paraId="71DD640B" w14:textId="77777777" w:rsidR="006C3E5B" w:rsidRPr="00B34733" w:rsidRDefault="006C3E5B">
            <w:pPr>
              <w:pStyle w:val="Normal6a"/>
            </w:pPr>
          </w:p>
        </w:tc>
        <w:tc>
          <w:tcPr>
            <w:tcW w:w="4876" w:type="dxa"/>
            <w:hideMark/>
          </w:tcPr>
          <w:p w14:paraId="5554007E" w14:textId="77777777" w:rsidR="006C3E5B" w:rsidRPr="00B34733" w:rsidRDefault="00B34733">
            <w:pPr>
              <w:pStyle w:val="Normal6a"/>
            </w:pPr>
            <w:r w:rsidRPr="00B34733">
              <w:rPr>
                <w:b/>
                <w:i/>
              </w:rPr>
              <w:t>4 bis.</w:t>
            </w:r>
            <w:r w:rsidRPr="00B34733">
              <w:tab/>
            </w:r>
            <w:r w:rsidRPr="00B34733">
              <w:rPr>
                <w:b/>
                <w:i/>
              </w:rPr>
              <w:t>Las medidas adoptadas en virtud del presente Reglamento se aplicarán de manera coherente con las normas de la OMC y no restringirán el comercio más allá de lo estrictamente necesario para hacer frente a los efectos negativos del exceso de capacidad mundial como consecuencia de condiciones de mercado desleales.</w:t>
            </w:r>
          </w:p>
        </w:tc>
      </w:tr>
    </w:tbl>
    <w:p w14:paraId="2EA6449B" w14:textId="77777777" w:rsidR="006C3E5B" w:rsidRPr="00B34733" w:rsidRDefault="00B34733" w:rsidP="006C3E5B">
      <w:pPr>
        <w:pStyle w:val="AmOrLang"/>
      </w:pPr>
      <w:r w:rsidRPr="00B34733">
        <w:t xml:space="preserve">Or. </w:t>
      </w:r>
      <w:r w:rsidRPr="00B34733">
        <w:rPr>
          <w:rStyle w:val="HideTWBExt"/>
        </w:rPr>
        <w:t>&lt;Original&gt;</w:t>
      </w:r>
      <w:r w:rsidRPr="00B34733">
        <w:rPr>
          <w:rStyle w:val="HideTWBInt"/>
        </w:rPr>
        <w:t>{EN}</w:t>
      </w:r>
      <w:r w:rsidRPr="00B34733">
        <w:t>en</w:t>
      </w:r>
      <w:r w:rsidRPr="00B34733">
        <w:rPr>
          <w:rStyle w:val="HideTWBExt"/>
        </w:rPr>
        <w:t>&lt;/Original&gt;</w:t>
      </w:r>
    </w:p>
    <w:p w14:paraId="3BA2B185" w14:textId="77777777" w:rsidR="006C3E5B" w:rsidRPr="00B34733" w:rsidRDefault="00B34733" w:rsidP="006C3E5B">
      <w:r w:rsidRPr="00B34733">
        <w:rPr>
          <w:rStyle w:val="HideTWBExt"/>
        </w:rPr>
        <w:t>&lt;/Amend&gt;</w:t>
      </w:r>
    </w:p>
    <w:p w14:paraId="6B811288" w14:textId="77777777" w:rsidR="006C3E5B" w:rsidRPr="00B34733" w:rsidRDefault="00B34733" w:rsidP="006C3E5B">
      <w:pPr>
        <w:pStyle w:val="AmNumberTabs"/>
      </w:pPr>
      <w:r w:rsidRPr="00B34733">
        <w:rPr>
          <w:rStyle w:val="HideTWBExt"/>
          <w:b w:val="0"/>
        </w:rPr>
        <w:t>&lt;Amend&gt;</w:t>
      </w:r>
      <w:r w:rsidRPr="00B34733">
        <w:t>Enmienda</w:t>
      </w:r>
      <w:r w:rsidRPr="00B34733">
        <w:tab/>
      </w:r>
      <w:r w:rsidRPr="00B34733">
        <w:tab/>
      </w:r>
      <w:r w:rsidRPr="00B34733">
        <w:rPr>
          <w:rStyle w:val="HideTWBExt"/>
          <w:b w:val="0"/>
        </w:rPr>
        <w:t>&lt;NumAm&gt;</w:t>
      </w:r>
      <w:r w:rsidRPr="00B34733">
        <w:t>13</w:t>
      </w:r>
      <w:r w:rsidRPr="00B34733">
        <w:rPr>
          <w:rStyle w:val="HideTWBExt"/>
          <w:b w:val="0"/>
        </w:rPr>
        <w:t>&lt;/NumAm&gt;</w:t>
      </w:r>
    </w:p>
    <w:p w14:paraId="51B0D5BB" w14:textId="77777777" w:rsidR="006C3E5B" w:rsidRPr="00B34733" w:rsidRDefault="00B34733" w:rsidP="006C3E5B">
      <w:pPr>
        <w:pStyle w:val="NormalBold12b"/>
      </w:pPr>
      <w:r w:rsidRPr="00B34733">
        <w:rPr>
          <w:rStyle w:val="HideTWBExt"/>
          <w:b w:val="0"/>
        </w:rPr>
        <w:t>&lt;DocAmend&gt;</w:t>
      </w:r>
      <w:r w:rsidRPr="00B34733">
        <w:t>Propuesta de Reglamento</w:t>
      </w:r>
      <w:r w:rsidRPr="00B34733">
        <w:rPr>
          <w:rStyle w:val="HideTWBExt"/>
          <w:b w:val="0"/>
        </w:rPr>
        <w:t>&lt;/DocAmend&gt;</w:t>
      </w:r>
    </w:p>
    <w:p w14:paraId="0804372F" w14:textId="77777777" w:rsidR="006C3E5B" w:rsidRPr="00B34733" w:rsidRDefault="00B34733" w:rsidP="006C3E5B">
      <w:pPr>
        <w:pStyle w:val="NormalBold"/>
      </w:pPr>
      <w:r w:rsidRPr="00B34733">
        <w:rPr>
          <w:rStyle w:val="HideTWBExt"/>
          <w:b w:val="0"/>
        </w:rPr>
        <w:t>&lt;Article&gt;</w:t>
      </w:r>
      <w:r w:rsidRPr="00B34733">
        <w:t>Artículo 3 – apartado 2</w:t>
      </w:r>
      <w:r w:rsidRPr="00B3473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4733" w:rsidRPr="00B34733" w14:paraId="5382A454" w14:textId="77777777" w:rsidTr="006C3E5B">
        <w:trPr>
          <w:trHeight w:val="240"/>
          <w:jc w:val="center"/>
        </w:trPr>
        <w:tc>
          <w:tcPr>
            <w:tcW w:w="9752" w:type="dxa"/>
            <w:gridSpan w:val="2"/>
          </w:tcPr>
          <w:p w14:paraId="24C5CE28" w14:textId="77777777" w:rsidR="006C3E5B" w:rsidRPr="00B34733" w:rsidRDefault="006C3E5B"/>
        </w:tc>
      </w:tr>
      <w:tr w:rsidR="00B34733" w:rsidRPr="00B34733" w14:paraId="024FE04A" w14:textId="77777777" w:rsidTr="006C3E5B">
        <w:trPr>
          <w:trHeight w:val="240"/>
          <w:jc w:val="center"/>
        </w:trPr>
        <w:tc>
          <w:tcPr>
            <w:tcW w:w="4876" w:type="dxa"/>
            <w:hideMark/>
          </w:tcPr>
          <w:p w14:paraId="55E71583" w14:textId="77777777" w:rsidR="006C3E5B" w:rsidRPr="00B34733" w:rsidRDefault="00B34733">
            <w:pPr>
              <w:pStyle w:val="AmColumnHeading"/>
            </w:pPr>
            <w:r w:rsidRPr="00B34733">
              <w:t>Texto de la Comisión</w:t>
            </w:r>
          </w:p>
        </w:tc>
        <w:tc>
          <w:tcPr>
            <w:tcW w:w="4876" w:type="dxa"/>
            <w:hideMark/>
          </w:tcPr>
          <w:p w14:paraId="1D312B1E" w14:textId="77777777" w:rsidR="006C3E5B" w:rsidRPr="00B34733" w:rsidRDefault="00B34733">
            <w:pPr>
              <w:pStyle w:val="AmColumnHeading"/>
            </w:pPr>
            <w:r w:rsidRPr="00B34733">
              <w:t>Enmienda</w:t>
            </w:r>
          </w:p>
        </w:tc>
      </w:tr>
      <w:tr w:rsidR="00B34733" w:rsidRPr="00B34733" w14:paraId="5FC1C1D4" w14:textId="77777777" w:rsidTr="006C3E5B">
        <w:trPr>
          <w:jc w:val="center"/>
        </w:trPr>
        <w:tc>
          <w:tcPr>
            <w:tcW w:w="4876" w:type="dxa"/>
            <w:hideMark/>
          </w:tcPr>
          <w:p w14:paraId="4D5C27CF" w14:textId="77777777" w:rsidR="006C3E5B" w:rsidRPr="00B34733" w:rsidRDefault="00B34733">
            <w:pPr>
              <w:pStyle w:val="Normal6a"/>
            </w:pPr>
            <w:r w:rsidRPr="00B34733">
              <w:t>2.</w:t>
            </w:r>
            <w:r w:rsidRPr="00B34733">
              <w:tab/>
              <w:t>En el momento de la importación, los importadores presentarán pruebas adecuadas</w:t>
            </w:r>
            <w:r w:rsidRPr="00B34733">
              <w:rPr>
                <w:b/>
                <w:i/>
              </w:rPr>
              <w:t>, tales como un certificado de fábrica</w:t>
            </w:r>
            <w:r w:rsidRPr="00B34733">
              <w:t xml:space="preserve"> que </w:t>
            </w:r>
            <w:r w:rsidRPr="00B34733">
              <w:rPr>
                <w:b/>
                <w:i/>
              </w:rPr>
              <w:t>demuestre</w:t>
            </w:r>
            <w:r w:rsidRPr="00B34733">
              <w:t xml:space="preserve"> cuál es el país de «fusión y colada» del acero utilizado en la producción del producto.</w:t>
            </w:r>
          </w:p>
        </w:tc>
        <w:tc>
          <w:tcPr>
            <w:tcW w:w="4876" w:type="dxa"/>
            <w:hideMark/>
          </w:tcPr>
          <w:p w14:paraId="6370217E" w14:textId="77777777" w:rsidR="006C3E5B" w:rsidRPr="00B34733" w:rsidRDefault="00B34733">
            <w:pPr>
              <w:pStyle w:val="Normal6a"/>
            </w:pPr>
            <w:r w:rsidRPr="00B34733">
              <w:t>2.</w:t>
            </w:r>
            <w:r w:rsidRPr="00B34733">
              <w:tab/>
              <w:t xml:space="preserve">En el momento de la importación, los importadores presentarán pruebas adecuadas que </w:t>
            </w:r>
            <w:r w:rsidRPr="00B34733">
              <w:rPr>
                <w:b/>
                <w:i/>
              </w:rPr>
              <w:t>demuestren</w:t>
            </w:r>
            <w:r w:rsidRPr="00B34733">
              <w:t xml:space="preserve"> cuál es el país de «fusión y colada» del acero utilizado en la producción del producto.</w:t>
            </w:r>
          </w:p>
        </w:tc>
      </w:tr>
    </w:tbl>
    <w:p w14:paraId="2735C0CD" w14:textId="77777777" w:rsidR="006C3E5B" w:rsidRPr="00B34733" w:rsidRDefault="00B34733" w:rsidP="006C3E5B">
      <w:pPr>
        <w:pStyle w:val="AmOrLang"/>
      </w:pPr>
      <w:r w:rsidRPr="00B34733">
        <w:t xml:space="preserve">Or. </w:t>
      </w:r>
      <w:r w:rsidRPr="00B34733">
        <w:rPr>
          <w:rStyle w:val="HideTWBExt"/>
        </w:rPr>
        <w:t>&lt;Original&gt;</w:t>
      </w:r>
      <w:r w:rsidRPr="00B34733">
        <w:rPr>
          <w:rStyle w:val="HideTWBInt"/>
        </w:rPr>
        <w:t>{EN}</w:t>
      </w:r>
      <w:r w:rsidRPr="00B34733">
        <w:t>en</w:t>
      </w:r>
      <w:r w:rsidRPr="00B34733">
        <w:rPr>
          <w:rStyle w:val="HideTWBExt"/>
        </w:rPr>
        <w:t>&lt;/Original&gt;</w:t>
      </w:r>
    </w:p>
    <w:p w14:paraId="543249B2" w14:textId="77777777" w:rsidR="006C3E5B" w:rsidRPr="00B34733" w:rsidRDefault="00B34733" w:rsidP="006C3E5B">
      <w:r w:rsidRPr="00B34733">
        <w:rPr>
          <w:rStyle w:val="HideTWBExt"/>
        </w:rPr>
        <w:t>&lt;/Amend&gt;</w:t>
      </w:r>
    </w:p>
    <w:p w14:paraId="2842079C" w14:textId="77777777" w:rsidR="006C3E5B" w:rsidRPr="00B34733" w:rsidRDefault="00B34733" w:rsidP="006C3E5B">
      <w:pPr>
        <w:pStyle w:val="AmNumberTabs"/>
      </w:pPr>
      <w:r w:rsidRPr="00B34733">
        <w:rPr>
          <w:rStyle w:val="HideTWBExt"/>
          <w:b w:val="0"/>
        </w:rPr>
        <w:t>&lt;Amend&gt;</w:t>
      </w:r>
      <w:r w:rsidRPr="00B34733">
        <w:t>Enmienda</w:t>
      </w:r>
      <w:r w:rsidRPr="00B34733">
        <w:tab/>
      </w:r>
      <w:r w:rsidRPr="00B34733">
        <w:tab/>
      </w:r>
      <w:r w:rsidRPr="00B34733">
        <w:rPr>
          <w:rStyle w:val="HideTWBExt"/>
          <w:b w:val="0"/>
        </w:rPr>
        <w:t>&lt;NumAm&gt;</w:t>
      </w:r>
      <w:r w:rsidRPr="00B34733">
        <w:t>14</w:t>
      </w:r>
      <w:r w:rsidRPr="00B34733">
        <w:rPr>
          <w:rStyle w:val="HideTWBExt"/>
          <w:b w:val="0"/>
        </w:rPr>
        <w:t>&lt;/NumAm&gt;</w:t>
      </w:r>
    </w:p>
    <w:p w14:paraId="082AAC44" w14:textId="77777777" w:rsidR="006C3E5B" w:rsidRPr="00B34733" w:rsidRDefault="00B34733" w:rsidP="006C3E5B">
      <w:pPr>
        <w:pStyle w:val="NormalBold12b"/>
      </w:pPr>
      <w:r w:rsidRPr="00B34733">
        <w:rPr>
          <w:rStyle w:val="HideTWBExt"/>
          <w:b w:val="0"/>
        </w:rPr>
        <w:t>&lt;DocAmend&gt;</w:t>
      </w:r>
      <w:r w:rsidRPr="00B34733">
        <w:t>Propuesta de Reglamento</w:t>
      </w:r>
      <w:r w:rsidRPr="00B34733">
        <w:rPr>
          <w:rStyle w:val="HideTWBExt"/>
          <w:b w:val="0"/>
        </w:rPr>
        <w:t>&lt;/DocAmend&gt;</w:t>
      </w:r>
    </w:p>
    <w:p w14:paraId="681F4FD8" w14:textId="77777777" w:rsidR="006C3E5B" w:rsidRPr="00B34733" w:rsidRDefault="00B34733" w:rsidP="006C3E5B">
      <w:pPr>
        <w:pStyle w:val="NormalBold"/>
      </w:pPr>
      <w:r w:rsidRPr="00B34733">
        <w:rPr>
          <w:rStyle w:val="HideTWBExt"/>
          <w:b w:val="0"/>
        </w:rPr>
        <w:t>&lt;Article&gt;</w:t>
      </w:r>
      <w:r w:rsidRPr="00B34733">
        <w:t>Artículo 3 – apartado 2 bis (nuevo)</w:t>
      </w:r>
      <w:r w:rsidRPr="00B3473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4733" w:rsidRPr="00B34733" w14:paraId="00D4DAD5" w14:textId="77777777" w:rsidTr="006C3E5B">
        <w:trPr>
          <w:trHeight w:val="240"/>
          <w:jc w:val="center"/>
        </w:trPr>
        <w:tc>
          <w:tcPr>
            <w:tcW w:w="9752" w:type="dxa"/>
            <w:gridSpan w:val="2"/>
          </w:tcPr>
          <w:p w14:paraId="1446F294" w14:textId="77777777" w:rsidR="006C3E5B" w:rsidRPr="00B34733" w:rsidRDefault="006C3E5B"/>
        </w:tc>
      </w:tr>
      <w:tr w:rsidR="00B34733" w:rsidRPr="00B34733" w14:paraId="3338D97D" w14:textId="77777777" w:rsidTr="006C3E5B">
        <w:trPr>
          <w:trHeight w:val="240"/>
          <w:jc w:val="center"/>
        </w:trPr>
        <w:tc>
          <w:tcPr>
            <w:tcW w:w="4876" w:type="dxa"/>
            <w:hideMark/>
          </w:tcPr>
          <w:p w14:paraId="00DBC04D" w14:textId="77777777" w:rsidR="006C3E5B" w:rsidRPr="00B34733" w:rsidRDefault="00B34733">
            <w:pPr>
              <w:pStyle w:val="AmColumnHeading"/>
            </w:pPr>
            <w:r w:rsidRPr="00B34733">
              <w:t>Texto de la Comisión</w:t>
            </w:r>
          </w:p>
        </w:tc>
        <w:tc>
          <w:tcPr>
            <w:tcW w:w="4876" w:type="dxa"/>
            <w:hideMark/>
          </w:tcPr>
          <w:p w14:paraId="096CEFD1" w14:textId="77777777" w:rsidR="006C3E5B" w:rsidRPr="00B34733" w:rsidRDefault="00B34733">
            <w:pPr>
              <w:pStyle w:val="AmColumnHeading"/>
            </w:pPr>
            <w:r w:rsidRPr="00B34733">
              <w:t>Enmienda</w:t>
            </w:r>
          </w:p>
        </w:tc>
      </w:tr>
      <w:tr w:rsidR="00B34733" w:rsidRPr="00B34733" w14:paraId="2F68ED5F" w14:textId="77777777" w:rsidTr="006C3E5B">
        <w:trPr>
          <w:jc w:val="center"/>
        </w:trPr>
        <w:tc>
          <w:tcPr>
            <w:tcW w:w="4876" w:type="dxa"/>
          </w:tcPr>
          <w:p w14:paraId="26FC5039" w14:textId="77777777" w:rsidR="006C3E5B" w:rsidRPr="00B34733" w:rsidRDefault="006C3E5B">
            <w:pPr>
              <w:pStyle w:val="Normal6a"/>
            </w:pPr>
          </w:p>
        </w:tc>
        <w:tc>
          <w:tcPr>
            <w:tcW w:w="4876" w:type="dxa"/>
            <w:hideMark/>
          </w:tcPr>
          <w:p w14:paraId="389E63D6" w14:textId="77777777" w:rsidR="006C3E5B" w:rsidRPr="00B34733" w:rsidRDefault="00B34733">
            <w:pPr>
              <w:pStyle w:val="Normal6a"/>
            </w:pPr>
            <w:r w:rsidRPr="00B34733">
              <w:rPr>
                <w:b/>
                <w:i/>
              </w:rPr>
              <w:t>2 bis.</w:t>
            </w:r>
            <w:r w:rsidRPr="00B34733">
              <w:tab/>
            </w:r>
            <w:r w:rsidRPr="00B34733">
              <w:rPr>
                <w:b/>
                <w:i/>
              </w:rPr>
              <w:t>A efectos del presente artículo, se considerarán «pruebas adecuadas» los siguientes documentos, entre otros:</w:t>
            </w:r>
          </w:p>
        </w:tc>
      </w:tr>
      <w:tr w:rsidR="00B34733" w:rsidRPr="00B34733" w14:paraId="4BFA2DB5" w14:textId="77777777" w:rsidTr="006C3E5B">
        <w:trPr>
          <w:jc w:val="center"/>
        </w:trPr>
        <w:tc>
          <w:tcPr>
            <w:tcW w:w="4876" w:type="dxa"/>
          </w:tcPr>
          <w:p w14:paraId="67672D2D" w14:textId="77777777" w:rsidR="006C3E5B" w:rsidRPr="00B34733" w:rsidRDefault="006C3E5B">
            <w:pPr>
              <w:pStyle w:val="Normal6a"/>
            </w:pPr>
          </w:p>
        </w:tc>
        <w:tc>
          <w:tcPr>
            <w:tcW w:w="4876" w:type="dxa"/>
            <w:hideMark/>
          </w:tcPr>
          <w:p w14:paraId="7C3D051D" w14:textId="77777777" w:rsidR="006C3E5B" w:rsidRPr="00B34733" w:rsidRDefault="00B34733">
            <w:pPr>
              <w:pStyle w:val="Normal6a"/>
            </w:pPr>
            <w:r w:rsidRPr="00B34733">
              <w:rPr>
                <w:b/>
                <w:i/>
              </w:rPr>
              <w:t>a) certificados de fábrica;</w:t>
            </w:r>
          </w:p>
        </w:tc>
      </w:tr>
      <w:tr w:rsidR="00B34733" w:rsidRPr="00B34733" w14:paraId="343F4F0A" w14:textId="77777777" w:rsidTr="006C3E5B">
        <w:trPr>
          <w:jc w:val="center"/>
        </w:trPr>
        <w:tc>
          <w:tcPr>
            <w:tcW w:w="4876" w:type="dxa"/>
          </w:tcPr>
          <w:p w14:paraId="57B8627A" w14:textId="77777777" w:rsidR="006C3E5B" w:rsidRPr="00B34733" w:rsidRDefault="006C3E5B">
            <w:pPr>
              <w:pStyle w:val="Normal6a"/>
            </w:pPr>
          </w:p>
        </w:tc>
        <w:tc>
          <w:tcPr>
            <w:tcW w:w="4876" w:type="dxa"/>
            <w:hideMark/>
          </w:tcPr>
          <w:p w14:paraId="57A6C779" w14:textId="77777777" w:rsidR="006C3E5B" w:rsidRPr="00B34733" w:rsidRDefault="00B34733">
            <w:pPr>
              <w:pStyle w:val="Normal6a"/>
            </w:pPr>
            <w:r w:rsidRPr="00B34733">
              <w:rPr>
                <w:b/>
                <w:i/>
              </w:rPr>
              <w:t>b) facturas;</w:t>
            </w:r>
          </w:p>
        </w:tc>
      </w:tr>
      <w:tr w:rsidR="00B34733" w:rsidRPr="00B34733" w14:paraId="1FA773F7" w14:textId="77777777" w:rsidTr="006C3E5B">
        <w:trPr>
          <w:jc w:val="center"/>
        </w:trPr>
        <w:tc>
          <w:tcPr>
            <w:tcW w:w="4876" w:type="dxa"/>
          </w:tcPr>
          <w:p w14:paraId="7BC8038D" w14:textId="77777777" w:rsidR="006C3E5B" w:rsidRPr="00B34733" w:rsidRDefault="006C3E5B">
            <w:pPr>
              <w:pStyle w:val="Normal6a"/>
            </w:pPr>
          </w:p>
        </w:tc>
        <w:tc>
          <w:tcPr>
            <w:tcW w:w="4876" w:type="dxa"/>
            <w:hideMark/>
          </w:tcPr>
          <w:p w14:paraId="433D3F05" w14:textId="77777777" w:rsidR="006C3E5B" w:rsidRPr="00B34733" w:rsidRDefault="00B34733">
            <w:pPr>
              <w:pStyle w:val="Normal6a"/>
            </w:pPr>
            <w:r w:rsidRPr="00B34733">
              <w:rPr>
                <w:b/>
                <w:i/>
              </w:rPr>
              <w:t>c) albaranes;</w:t>
            </w:r>
          </w:p>
        </w:tc>
      </w:tr>
      <w:tr w:rsidR="00B34733" w:rsidRPr="00B34733" w14:paraId="6DB9936F" w14:textId="77777777" w:rsidTr="006C3E5B">
        <w:trPr>
          <w:jc w:val="center"/>
        </w:trPr>
        <w:tc>
          <w:tcPr>
            <w:tcW w:w="4876" w:type="dxa"/>
          </w:tcPr>
          <w:p w14:paraId="761899B4" w14:textId="77777777" w:rsidR="006C3E5B" w:rsidRPr="00B34733" w:rsidRDefault="006C3E5B">
            <w:pPr>
              <w:pStyle w:val="Normal6a"/>
            </w:pPr>
          </w:p>
        </w:tc>
        <w:tc>
          <w:tcPr>
            <w:tcW w:w="4876" w:type="dxa"/>
            <w:hideMark/>
          </w:tcPr>
          <w:p w14:paraId="28CD7977" w14:textId="77777777" w:rsidR="006C3E5B" w:rsidRPr="00B34733" w:rsidRDefault="00B34733">
            <w:pPr>
              <w:pStyle w:val="Normal6a"/>
            </w:pPr>
            <w:r w:rsidRPr="00B34733">
              <w:rPr>
                <w:b/>
                <w:i/>
              </w:rPr>
              <w:t>d) certificados de calidad;</w:t>
            </w:r>
          </w:p>
        </w:tc>
      </w:tr>
      <w:tr w:rsidR="00B34733" w:rsidRPr="00B34733" w14:paraId="39A3F2F0" w14:textId="77777777" w:rsidTr="006C3E5B">
        <w:trPr>
          <w:jc w:val="center"/>
        </w:trPr>
        <w:tc>
          <w:tcPr>
            <w:tcW w:w="4876" w:type="dxa"/>
          </w:tcPr>
          <w:p w14:paraId="0359F4ED" w14:textId="77777777" w:rsidR="006C3E5B" w:rsidRPr="00B34733" w:rsidRDefault="006C3E5B">
            <w:pPr>
              <w:pStyle w:val="Normal6a"/>
            </w:pPr>
          </w:p>
        </w:tc>
        <w:tc>
          <w:tcPr>
            <w:tcW w:w="4876" w:type="dxa"/>
            <w:hideMark/>
          </w:tcPr>
          <w:p w14:paraId="2D15D548" w14:textId="77777777" w:rsidR="006C3E5B" w:rsidRPr="00B34733" w:rsidRDefault="00B34733">
            <w:pPr>
              <w:pStyle w:val="Normal6a"/>
            </w:pPr>
            <w:r w:rsidRPr="00B34733">
              <w:rPr>
                <w:b/>
                <w:i/>
              </w:rPr>
              <w:t xml:space="preserve">e) </w:t>
            </w:r>
            <w:r w:rsidRPr="00B34733">
              <w:rPr>
                <w:b/>
                <w:i/>
              </w:rPr>
              <w:t>declaraciones de los proveedores de larga duración;</w:t>
            </w:r>
          </w:p>
        </w:tc>
      </w:tr>
      <w:tr w:rsidR="00B34733" w:rsidRPr="00B34733" w14:paraId="119E0BB8" w14:textId="77777777" w:rsidTr="006C3E5B">
        <w:trPr>
          <w:jc w:val="center"/>
        </w:trPr>
        <w:tc>
          <w:tcPr>
            <w:tcW w:w="4876" w:type="dxa"/>
          </w:tcPr>
          <w:p w14:paraId="61ABBB79" w14:textId="77777777" w:rsidR="006C3E5B" w:rsidRPr="00B34733" w:rsidRDefault="006C3E5B">
            <w:pPr>
              <w:pStyle w:val="Normal6a"/>
            </w:pPr>
          </w:p>
        </w:tc>
        <w:tc>
          <w:tcPr>
            <w:tcW w:w="4876" w:type="dxa"/>
            <w:hideMark/>
          </w:tcPr>
          <w:p w14:paraId="14440C71" w14:textId="77777777" w:rsidR="006C3E5B" w:rsidRPr="00B34733" w:rsidRDefault="00B34733">
            <w:pPr>
              <w:pStyle w:val="Normal6a"/>
            </w:pPr>
            <w:r w:rsidRPr="00B34733">
              <w:rPr>
                <w:b/>
                <w:i/>
              </w:rPr>
              <w:t>f) documentos de contabilidad de costes y producción;</w:t>
            </w:r>
          </w:p>
        </w:tc>
      </w:tr>
      <w:tr w:rsidR="00B34733" w:rsidRPr="00B34733" w14:paraId="7ED8CFFF" w14:textId="77777777" w:rsidTr="006C3E5B">
        <w:trPr>
          <w:jc w:val="center"/>
        </w:trPr>
        <w:tc>
          <w:tcPr>
            <w:tcW w:w="4876" w:type="dxa"/>
          </w:tcPr>
          <w:p w14:paraId="77343BF3" w14:textId="77777777" w:rsidR="006C3E5B" w:rsidRPr="00B34733" w:rsidRDefault="006C3E5B">
            <w:pPr>
              <w:pStyle w:val="Normal6a"/>
            </w:pPr>
          </w:p>
        </w:tc>
        <w:tc>
          <w:tcPr>
            <w:tcW w:w="4876" w:type="dxa"/>
            <w:hideMark/>
          </w:tcPr>
          <w:p w14:paraId="29ECDCA1" w14:textId="77777777" w:rsidR="006C3E5B" w:rsidRPr="00B34733" w:rsidRDefault="00B34733">
            <w:pPr>
              <w:pStyle w:val="Normal6a"/>
            </w:pPr>
            <w:r w:rsidRPr="00B34733">
              <w:rPr>
                <w:b/>
                <w:i/>
              </w:rPr>
              <w:t>g) documentos aduaneros del país de exportación;</w:t>
            </w:r>
          </w:p>
        </w:tc>
      </w:tr>
      <w:tr w:rsidR="00B34733" w:rsidRPr="00B34733" w14:paraId="34C1FED1" w14:textId="77777777" w:rsidTr="006C3E5B">
        <w:trPr>
          <w:jc w:val="center"/>
        </w:trPr>
        <w:tc>
          <w:tcPr>
            <w:tcW w:w="4876" w:type="dxa"/>
          </w:tcPr>
          <w:p w14:paraId="5EB05CBA" w14:textId="77777777" w:rsidR="006C3E5B" w:rsidRPr="00B34733" w:rsidRDefault="006C3E5B">
            <w:pPr>
              <w:pStyle w:val="Normal6a"/>
            </w:pPr>
          </w:p>
        </w:tc>
        <w:tc>
          <w:tcPr>
            <w:tcW w:w="4876" w:type="dxa"/>
            <w:hideMark/>
          </w:tcPr>
          <w:p w14:paraId="2EE22569" w14:textId="77777777" w:rsidR="006C3E5B" w:rsidRPr="00B34733" w:rsidRDefault="00B34733">
            <w:pPr>
              <w:pStyle w:val="Normal6a"/>
            </w:pPr>
            <w:r w:rsidRPr="00B34733">
              <w:rPr>
                <w:b/>
                <w:i/>
              </w:rPr>
              <w:t>h) correspondencia comercial;</w:t>
            </w:r>
          </w:p>
        </w:tc>
      </w:tr>
      <w:tr w:rsidR="00B34733" w:rsidRPr="00B34733" w14:paraId="1DA2186C" w14:textId="77777777" w:rsidTr="006C3E5B">
        <w:trPr>
          <w:jc w:val="center"/>
        </w:trPr>
        <w:tc>
          <w:tcPr>
            <w:tcW w:w="4876" w:type="dxa"/>
          </w:tcPr>
          <w:p w14:paraId="11597152" w14:textId="77777777" w:rsidR="006C3E5B" w:rsidRPr="00B34733" w:rsidRDefault="006C3E5B">
            <w:pPr>
              <w:pStyle w:val="Normal6a"/>
            </w:pPr>
          </w:p>
        </w:tc>
        <w:tc>
          <w:tcPr>
            <w:tcW w:w="4876" w:type="dxa"/>
            <w:hideMark/>
          </w:tcPr>
          <w:p w14:paraId="2F5CFEA7" w14:textId="77777777" w:rsidR="006C3E5B" w:rsidRPr="00B34733" w:rsidRDefault="00B34733">
            <w:pPr>
              <w:pStyle w:val="Normal6a"/>
            </w:pPr>
            <w:r w:rsidRPr="00B34733">
              <w:rPr>
                <w:b/>
                <w:i/>
              </w:rPr>
              <w:t>i) descripciones de la producción; o</w:t>
            </w:r>
          </w:p>
        </w:tc>
      </w:tr>
      <w:tr w:rsidR="00B34733" w:rsidRPr="00B34733" w14:paraId="0188A619" w14:textId="77777777" w:rsidTr="006C3E5B">
        <w:trPr>
          <w:jc w:val="center"/>
        </w:trPr>
        <w:tc>
          <w:tcPr>
            <w:tcW w:w="4876" w:type="dxa"/>
          </w:tcPr>
          <w:p w14:paraId="6E8FB336" w14:textId="77777777" w:rsidR="006C3E5B" w:rsidRPr="00B34733" w:rsidRDefault="006C3E5B">
            <w:pPr>
              <w:pStyle w:val="Normal6a"/>
            </w:pPr>
          </w:p>
        </w:tc>
        <w:tc>
          <w:tcPr>
            <w:tcW w:w="4876" w:type="dxa"/>
            <w:hideMark/>
          </w:tcPr>
          <w:p w14:paraId="19DAFF81" w14:textId="77777777" w:rsidR="006C3E5B" w:rsidRPr="00B34733" w:rsidRDefault="00B34733">
            <w:pPr>
              <w:pStyle w:val="Normal6a"/>
            </w:pPr>
            <w:r w:rsidRPr="00B34733">
              <w:rPr>
                <w:b/>
                <w:i/>
              </w:rPr>
              <w:t xml:space="preserve">j) </w:t>
            </w:r>
            <w:r w:rsidRPr="00B34733">
              <w:rPr>
                <w:b/>
                <w:i/>
              </w:rPr>
              <w:t>declaraciones realizadas por el fabricante, si están directamente relacionadas con la partida de que se trate.</w:t>
            </w:r>
          </w:p>
        </w:tc>
      </w:tr>
    </w:tbl>
    <w:p w14:paraId="7258C354" w14:textId="77777777" w:rsidR="006C3E5B" w:rsidRPr="00B34733" w:rsidRDefault="00B34733" w:rsidP="006C3E5B">
      <w:pPr>
        <w:pStyle w:val="AmOrLang"/>
      </w:pPr>
      <w:r w:rsidRPr="00B34733">
        <w:t xml:space="preserve">Or. </w:t>
      </w:r>
      <w:r w:rsidRPr="00B34733">
        <w:rPr>
          <w:rStyle w:val="HideTWBExt"/>
        </w:rPr>
        <w:t>&lt;Original&gt;</w:t>
      </w:r>
      <w:r w:rsidRPr="00B34733">
        <w:rPr>
          <w:rStyle w:val="HideTWBInt"/>
        </w:rPr>
        <w:t>{EN}</w:t>
      </w:r>
      <w:r w:rsidRPr="00B34733">
        <w:t>en</w:t>
      </w:r>
      <w:r w:rsidRPr="00B34733">
        <w:rPr>
          <w:rStyle w:val="HideTWBExt"/>
        </w:rPr>
        <w:t>&lt;/Original&gt;</w:t>
      </w:r>
    </w:p>
    <w:p w14:paraId="524A5AD6" w14:textId="77777777" w:rsidR="006C3E5B" w:rsidRPr="00B34733" w:rsidRDefault="00B34733" w:rsidP="006C3E5B">
      <w:r w:rsidRPr="00B34733">
        <w:rPr>
          <w:rStyle w:val="HideTWBExt"/>
        </w:rPr>
        <w:t>&lt;/Amend&gt;</w:t>
      </w:r>
    </w:p>
    <w:p w14:paraId="098BA9B9" w14:textId="77777777" w:rsidR="006C3E5B" w:rsidRPr="00B34733" w:rsidRDefault="00B34733" w:rsidP="006C3E5B">
      <w:pPr>
        <w:pStyle w:val="AmNumberTabs"/>
      </w:pPr>
      <w:r w:rsidRPr="00B34733">
        <w:rPr>
          <w:rStyle w:val="HideTWBExt"/>
          <w:b w:val="0"/>
        </w:rPr>
        <w:t>&lt;Amend&gt;</w:t>
      </w:r>
      <w:r w:rsidRPr="00B34733">
        <w:t>Enmienda</w:t>
      </w:r>
      <w:r w:rsidRPr="00B34733">
        <w:tab/>
      </w:r>
      <w:r w:rsidRPr="00B34733">
        <w:tab/>
      </w:r>
      <w:r w:rsidRPr="00B34733">
        <w:rPr>
          <w:rStyle w:val="HideTWBExt"/>
          <w:b w:val="0"/>
        </w:rPr>
        <w:t>&lt;NumAm&gt;</w:t>
      </w:r>
      <w:r w:rsidRPr="00B34733">
        <w:t>15</w:t>
      </w:r>
      <w:r w:rsidRPr="00B34733">
        <w:rPr>
          <w:rStyle w:val="HideTWBExt"/>
          <w:b w:val="0"/>
        </w:rPr>
        <w:t>&lt;/NumAm&gt;</w:t>
      </w:r>
    </w:p>
    <w:p w14:paraId="4DFAD9D9" w14:textId="77777777" w:rsidR="006C3E5B" w:rsidRPr="00B34733" w:rsidRDefault="00B34733" w:rsidP="006C3E5B">
      <w:pPr>
        <w:pStyle w:val="NormalBold12b"/>
      </w:pPr>
      <w:r w:rsidRPr="00B34733">
        <w:rPr>
          <w:rStyle w:val="HideTWBExt"/>
          <w:b w:val="0"/>
        </w:rPr>
        <w:t>&lt;DocAmend&gt;</w:t>
      </w:r>
      <w:r w:rsidRPr="00B34733">
        <w:t>Propuesta de Reglamento</w:t>
      </w:r>
      <w:r w:rsidRPr="00B34733">
        <w:rPr>
          <w:rStyle w:val="HideTWBExt"/>
          <w:b w:val="0"/>
        </w:rPr>
        <w:t>&lt;/DocAmend&gt;</w:t>
      </w:r>
    </w:p>
    <w:p w14:paraId="2B844A27" w14:textId="77777777" w:rsidR="006C3E5B" w:rsidRPr="00B34733" w:rsidRDefault="00B34733" w:rsidP="006C3E5B">
      <w:pPr>
        <w:pStyle w:val="NormalBold"/>
      </w:pPr>
      <w:r w:rsidRPr="00B34733">
        <w:rPr>
          <w:rStyle w:val="HideTWBExt"/>
          <w:b w:val="0"/>
        </w:rPr>
        <w:t>&lt;Article&gt;</w:t>
      </w:r>
      <w:r w:rsidRPr="00B34733">
        <w:t>Artículo 3 – apartado 2 ter (nuevo)</w:t>
      </w:r>
      <w:r w:rsidRPr="00B3473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4733" w:rsidRPr="00B34733" w14:paraId="3E9F321F" w14:textId="77777777" w:rsidTr="006C3E5B">
        <w:trPr>
          <w:trHeight w:val="240"/>
          <w:jc w:val="center"/>
        </w:trPr>
        <w:tc>
          <w:tcPr>
            <w:tcW w:w="9752" w:type="dxa"/>
            <w:gridSpan w:val="2"/>
          </w:tcPr>
          <w:p w14:paraId="0D1D785D" w14:textId="77777777" w:rsidR="006C3E5B" w:rsidRPr="00B34733" w:rsidRDefault="006C3E5B"/>
        </w:tc>
      </w:tr>
      <w:tr w:rsidR="00B34733" w:rsidRPr="00B34733" w14:paraId="5F70833F" w14:textId="77777777" w:rsidTr="006C3E5B">
        <w:trPr>
          <w:trHeight w:val="240"/>
          <w:jc w:val="center"/>
        </w:trPr>
        <w:tc>
          <w:tcPr>
            <w:tcW w:w="4876" w:type="dxa"/>
            <w:hideMark/>
          </w:tcPr>
          <w:p w14:paraId="7C529AC9" w14:textId="77777777" w:rsidR="006C3E5B" w:rsidRPr="00B34733" w:rsidRDefault="00B34733">
            <w:pPr>
              <w:pStyle w:val="AmColumnHeading"/>
            </w:pPr>
            <w:r w:rsidRPr="00B34733">
              <w:t>Texto de la Comisión</w:t>
            </w:r>
          </w:p>
        </w:tc>
        <w:tc>
          <w:tcPr>
            <w:tcW w:w="4876" w:type="dxa"/>
            <w:hideMark/>
          </w:tcPr>
          <w:p w14:paraId="080914D2" w14:textId="77777777" w:rsidR="006C3E5B" w:rsidRPr="00B34733" w:rsidRDefault="00B34733">
            <w:pPr>
              <w:pStyle w:val="AmColumnHeading"/>
            </w:pPr>
            <w:r w:rsidRPr="00B34733">
              <w:t>Enmienda</w:t>
            </w:r>
          </w:p>
        </w:tc>
      </w:tr>
      <w:tr w:rsidR="00B34733" w:rsidRPr="00B34733" w14:paraId="32BDFF39" w14:textId="77777777" w:rsidTr="006C3E5B">
        <w:trPr>
          <w:jc w:val="center"/>
        </w:trPr>
        <w:tc>
          <w:tcPr>
            <w:tcW w:w="4876" w:type="dxa"/>
          </w:tcPr>
          <w:p w14:paraId="7A67E23F" w14:textId="77777777" w:rsidR="006C3E5B" w:rsidRPr="00B34733" w:rsidRDefault="006C3E5B">
            <w:pPr>
              <w:pStyle w:val="Normal6a"/>
            </w:pPr>
          </w:p>
        </w:tc>
        <w:tc>
          <w:tcPr>
            <w:tcW w:w="4876" w:type="dxa"/>
            <w:hideMark/>
          </w:tcPr>
          <w:p w14:paraId="7E5F8D55" w14:textId="77777777" w:rsidR="006C3E5B" w:rsidRPr="00B34733" w:rsidRDefault="00B34733">
            <w:pPr>
              <w:pStyle w:val="Normal6a"/>
            </w:pPr>
            <w:r w:rsidRPr="00B34733">
              <w:rPr>
                <w:b/>
                <w:i/>
              </w:rPr>
              <w:t>2 ter.</w:t>
            </w:r>
            <w:r w:rsidRPr="00B34733">
              <w:tab/>
            </w:r>
            <w:r w:rsidRPr="00B34733">
              <w:rPr>
                <w:b/>
                <w:i/>
              </w:rPr>
              <w:t>La Comisión podrá adoptar directrices sobre cómo aportar las pruebas adecuadas con el fin de limitar la carga administrativa y facilitar el cumplimiento por parte de las pymes.</w:t>
            </w:r>
          </w:p>
        </w:tc>
      </w:tr>
    </w:tbl>
    <w:p w14:paraId="3DF50599" w14:textId="77777777" w:rsidR="006C3E5B" w:rsidRPr="00B34733" w:rsidRDefault="00B34733" w:rsidP="006C3E5B">
      <w:pPr>
        <w:pStyle w:val="AmOrLang"/>
      </w:pPr>
      <w:r w:rsidRPr="00B34733">
        <w:t xml:space="preserve">Or. </w:t>
      </w:r>
      <w:r w:rsidRPr="00B34733">
        <w:rPr>
          <w:rStyle w:val="HideTWBExt"/>
        </w:rPr>
        <w:t>&lt;Original&gt;</w:t>
      </w:r>
      <w:r w:rsidRPr="00B34733">
        <w:rPr>
          <w:rStyle w:val="HideTWBInt"/>
        </w:rPr>
        <w:t>{EN}</w:t>
      </w:r>
      <w:r w:rsidRPr="00B34733">
        <w:t>en</w:t>
      </w:r>
      <w:r w:rsidRPr="00B34733">
        <w:rPr>
          <w:rStyle w:val="HideTWBExt"/>
        </w:rPr>
        <w:t>&lt;/Original&gt;</w:t>
      </w:r>
    </w:p>
    <w:p w14:paraId="7BE49AE4" w14:textId="77777777" w:rsidR="006C3E5B" w:rsidRPr="00B34733" w:rsidRDefault="00B34733" w:rsidP="006C3E5B">
      <w:r w:rsidRPr="00B34733">
        <w:rPr>
          <w:rStyle w:val="HideTWBExt"/>
        </w:rPr>
        <w:t>&lt;/Amend&gt;</w:t>
      </w:r>
    </w:p>
    <w:p w14:paraId="0C1714A4" w14:textId="77777777" w:rsidR="006C3E5B" w:rsidRPr="00B34733" w:rsidRDefault="00B34733" w:rsidP="006C3E5B">
      <w:pPr>
        <w:pStyle w:val="AmNumberTabs"/>
      </w:pPr>
      <w:r w:rsidRPr="00B34733">
        <w:rPr>
          <w:rStyle w:val="HideTWBExt"/>
          <w:b w:val="0"/>
        </w:rPr>
        <w:t>&lt;Amend&gt;</w:t>
      </w:r>
      <w:r w:rsidRPr="00B34733">
        <w:t>Enmienda</w:t>
      </w:r>
      <w:r w:rsidRPr="00B34733">
        <w:tab/>
      </w:r>
      <w:r w:rsidRPr="00B34733">
        <w:tab/>
      </w:r>
      <w:r w:rsidRPr="00B34733">
        <w:rPr>
          <w:rStyle w:val="HideTWBExt"/>
          <w:b w:val="0"/>
        </w:rPr>
        <w:t>&lt;NumAm&gt;</w:t>
      </w:r>
      <w:r w:rsidRPr="00B34733">
        <w:t>16</w:t>
      </w:r>
      <w:r w:rsidRPr="00B34733">
        <w:rPr>
          <w:rStyle w:val="HideTWBExt"/>
          <w:b w:val="0"/>
        </w:rPr>
        <w:t>&lt;/NumAm&gt;</w:t>
      </w:r>
    </w:p>
    <w:p w14:paraId="6C7F9C23" w14:textId="77777777" w:rsidR="006C3E5B" w:rsidRPr="00B34733" w:rsidRDefault="00B34733" w:rsidP="006C3E5B">
      <w:pPr>
        <w:pStyle w:val="NormalBold12b"/>
      </w:pPr>
      <w:r w:rsidRPr="00B34733">
        <w:rPr>
          <w:rStyle w:val="HideTWBExt"/>
          <w:b w:val="0"/>
        </w:rPr>
        <w:lastRenderedPageBreak/>
        <w:t>&lt;DocAmend&gt;</w:t>
      </w:r>
      <w:r w:rsidRPr="00B34733">
        <w:t>Propuesta de Reglamento</w:t>
      </w:r>
      <w:r w:rsidRPr="00B34733">
        <w:rPr>
          <w:rStyle w:val="HideTWBExt"/>
          <w:b w:val="0"/>
        </w:rPr>
        <w:t>&lt;/DocAmend&gt;</w:t>
      </w:r>
    </w:p>
    <w:p w14:paraId="7695CC45" w14:textId="77777777" w:rsidR="006C3E5B" w:rsidRPr="00B34733" w:rsidRDefault="00B34733" w:rsidP="006C3E5B">
      <w:pPr>
        <w:pStyle w:val="NormalBold"/>
      </w:pPr>
      <w:r w:rsidRPr="00B34733">
        <w:rPr>
          <w:rStyle w:val="HideTWBExt"/>
          <w:b w:val="0"/>
        </w:rPr>
        <w:t>&lt;Article&gt;</w:t>
      </w:r>
      <w:r w:rsidRPr="00B34733">
        <w:t>Artículo 3 – apartado 2 quater (nuevo)</w:t>
      </w:r>
      <w:r w:rsidRPr="00B3473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4733" w:rsidRPr="00B34733" w14:paraId="4DD510EC" w14:textId="77777777" w:rsidTr="006C3E5B">
        <w:trPr>
          <w:trHeight w:val="240"/>
          <w:jc w:val="center"/>
        </w:trPr>
        <w:tc>
          <w:tcPr>
            <w:tcW w:w="9752" w:type="dxa"/>
            <w:gridSpan w:val="2"/>
          </w:tcPr>
          <w:p w14:paraId="6BCA6016" w14:textId="77777777" w:rsidR="006C3E5B" w:rsidRPr="00B34733" w:rsidRDefault="006C3E5B"/>
        </w:tc>
      </w:tr>
      <w:tr w:rsidR="00B34733" w:rsidRPr="00B34733" w14:paraId="68D888A9" w14:textId="77777777" w:rsidTr="006C3E5B">
        <w:trPr>
          <w:trHeight w:val="240"/>
          <w:jc w:val="center"/>
        </w:trPr>
        <w:tc>
          <w:tcPr>
            <w:tcW w:w="4876" w:type="dxa"/>
            <w:hideMark/>
          </w:tcPr>
          <w:p w14:paraId="01F6FAFD" w14:textId="77777777" w:rsidR="006C3E5B" w:rsidRPr="00B34733" w:rsidRDefault="00B34733">
            <w:pPr>
              <w:pStyle w:val="AmColumnHeading"/>
            </w:pPr>
            <w:r w:rsidRPr="00B34733">
              <w:t>Texto de la Comisión</w:t>
            </w:r>
          </w:p>
        </w:tc>
        <w:tc>
          <w:tcPr>
            <w:tcW w:w="4876" w:type="dxa"/>
            <w:hideMark/>
          </w:tcPr>
          <w:p w14:paraId="7B0779CC" w14:textId="77777777" w:rsidR="006C3E5B" w:rsidRPr="00B34733" w:rsidRDefault="00B34733">
            <w:pPr>
              <w:pStyle w:val="AmColumnHeading"/>
            </w:pPr>
            <w:r w:rsidRPr="00B34733">
              <w:t>Enmienda</w:t>
            </w:r>
          </w:p>
        </w:tc>
      </w:tr>
      <w:tr w:rsidR="00B34733" w:rsidRPr="00B34733" w14:paraId="4CDD003F" w14:textId="77777777" w:rsidTr="006C3E5B">
        <w:trPr>
          <w:jc w:val="center"/>
        </w:trPr>
        <w:tc>
          <w:tcPr>
            <w:tcW w:w="4876" w:type="dxa"/>
          </w:tcPr>
          <w:p w14:paraId="55FFAE69" w14:textId="77777777" w:rsidR="006C3E5B" w:rsidRPr="00B34733" w:rsidRDefault="006C3E5B">
            <w:pPr>
              <w:pStyle w:val="Normal6a"/>
            </w:pPr>
          </w:p>
        </w:tc>
        <w:tc>
          <w:tcPr>
            <w:tcW w:w="4876" w:type="dxa"/>
            <w:hideMark/>
          </w:tcPr>
          <w:p w14:paraId="4CD2C504" w14:textId="77777777" w:rsidR="006C3E5B" w:rsidRPr="00B34733" w:rsidRDefault="00B34733">
            <w:pPr>
              <w:pStyle w:val="Normal6a"/>
            </w:pPr>
            <w:r w:rsidRPr="00B34733">
              <w:rPr>
                <w:b/>
                <w:i/>
              </w:rPr>
              <w:t>2 quater.</w:t>
            </w:r>
            <w:r w:rsidRPr="00B34733">
              <w:tab/>
            </w:r>
            <w:r w:rsidRPr="00B34733">
              <w:rPr>
                <w:b/>
                <w:i/>
              </w:rPr>
              <w:t>Las importaciones de productos cuyo país de «fusión y colada» del acero sea la Federación de Rusia o Bielorrusia no tendrán acceso al mercado de la Unión y no se beneficiarán de ningún contingente arancelario. Todos estos productos estarán sujetos a una prohibición automática en las fronteras exteriores de la Unión.</w:t>
            </w:r>
          </w:p>
        </w:tc>
      </w:tr>
    </w:tbl>
    <w:p w14:paraId="555F49E7" w14:textId="77777777" w:rsidR="006C3E5B" w:rsidRPr="00B34733" w:rsidRDefault="00B34733" w:rsidP="006C3E5B">
      <w:pPr>
        <w:pStyle w:val="AmOrLang"/>
      </w:pPr>
      <w:r w:rsidRPr="00B34733">
        <w:t xml:space="preserve">Or. </w:t>
      </w:r>
      <w:r w:rsidRPr="00B34733">
        <w:rPr>
          <w:rStyle w:val="HideTWBExt"/>
        </w:rPr>
        <w:t>&lt;Original&gt;</w:t>
      </w:r>
      <w:r w:rsidRPr="00B34733">
        <w:rPr>
          <w:rStyle w:val="HideTWBInt"/>
        </w:rPr>
        <w:t>{EN}</w:t>
      </w:r>
      <w:r w:rsidRPr="00B34733">
        <w:t>en</w:t>
      </w:r>
      <w:r w:rsidRPr="00B34733">
        <w:rPr>
          <w:rStyle w:val="HideTWBExt"/>
        </w:rPr>
        <w:t>&lt;/Original&gt;</w:t>
      </w:r>
    </w:p>
    <w:p w14:paraId="43A2F4AA" w14:textId="77777777" w:rsidR="006C3E5B" w:rsidRPr="00B34733" w:rsidRDefault="00B34733" w:rsidP="006C3E5B">
      <w:r w:rsidRPr="00B34733">
        <w:rPr>
          <w:rStyle w:val="HideTWBExt"/>
        </w:rPr>
        <w:t>&lt;/Amend&gt;</w:t>
      </w:r>
    </w:p>
    <w:p w14:paraId="5D90FE1D" w14:textId="77777777" w:rsidR="006C3E5B" w:rsidRPr="00B34733" w:rsidRDefault="00B34733" w:rsidP="006C3E5B">
      <w:pPr>
        <w:pStyle w:val="AmNumberTabs"/>
      </w:pPr>
      <w:r w:rsidRPr="00B34733">
        <w:rPr>
          <w:rStyle w:val="HideTWBExt"/>
          <w:b w:val="0"/>
        </w:rPr>
        <w:t>&lt;Amend&gt;</w:t>
      </w:r>
      <w:r w:rsidRPr="00B34733">
        <w:t>Enmienda</w:t>
      </w:r>
      <w:r w:rsidRPr="00B34733">
        <w:tab/>
      </w:r>
      <w:r w:rsidRPr="00B34733">
        <w:tab/>
      </w:r>
      <w:r w:rsidRPr="00B34733">
        <w:rPr>
          <w:rStyle w:val="HideTWBExt"/>
          <w:b w:val="0"/>
        </w:rPr>
        <w:t>&lt;NumAm&gt;</w:t>
      </w:r>
      <w:r w:rsidRPr="00B34733">
        <w:t>17</w:t>
      </w:r>
      <w:r w:rsidRPr="00B34733">
        <w:rPr>
          <w:rStyle w:val="HideTWBExt"/>
          <w:b w:val="0"/>
        </w:rPr>
        <w:t>&lt;/NumAm&gt;</w:t>
      </w:r>
    </w:p>
    <w:p w14:paraId="1E718F01" w14:textId="77777777" w:rsidR="006C3E5B" w:rsidRPr="00B34733" w:rsidRDefault="00B34733" w:rsidP="006C3E5B">
      <w:pPr>
        <w:pStyle w:val="NormalBold12b"/>
      </w:pPr>
      <w:r w:rsidRPr="00B34733">
        <w:rPr>
          <w:rStyle w:val="HideTWBExt"/>
          <w:b w:val="0"/>
        </w:rPr>
        <w:t>&lt;DocAmend&gt;</w:t>
      </w:r>
      <w:r w:rsidRPr="00B34733">
        <w:t>Propuesta de Reglamento</w:t>
      </w:r>
      <w:r w:rsidRPr="00B34733">
        <w:rPr>
          <w:rStyle w:val="HideTWBExt"/>
          <w:b w:val="0"/>
        </w:rPr>
        <w:t>&lt;/DocAmend&gt;</w:t>
      </w:r>
    </w:p>
    <w:p w14:paraId="0587E57F" w14:textId="77777777" w:rsidR="006C3E5B" w:rsidRPr="00B34733" w:rsidRDefault="00B34733" w:rsidP="006C3E5B">
      <w:pPr>
        <w:pStyle w:val="NormalBold"/>
      </w:pPr>
      <w:r w:rsidRPr="00B34733">
        <w:rPr>
          <w:rStyle w:val="HideTWBExt"/>
          <w:b w:val="0"/>
        </w:rPr>
        <w:t>&lt;Article&gt;</w:t>
      </w:r>
      <w:r w:rsidRPr="00B34733">
        <w:t>Artículo 9 – apartado 1</w:t>
      </w:r>
      <w:r w:rsidRPr="00B3473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4733" w:rsidRPr="00B34733" w14:paraId="2F9632B6" w14:textId="77777777" w:rsidTr="006C3E5B">
        <w:trPr>
          <w:trHeight w:val="240"/>
          <w:jc w:val="center"/>
        </w:trPr>
        <w:tc>
          <w:tcPr>
            <w:tcW w:w="9752" w:type="dxa"/>
            <w:gridSpan w:val="2"/>
          </w:tcPr>
          <w:p w14:paraId="497BDB3B" w14:textId="77777777" w:rsidR="006C3E5B" w:rsidRPr="00B34733" w:rsidRDefault="006C3E5B"/>
        </w:tc>
      </w:tr>
      <w:tr w:rsidR="00B34733" w:rsidRPr="00B34733" w14:paraId="13107845" w14:textId="77777777" w:rsidTr="006C3E5B">
        <w:trPr>
          <w:trHeight w:val="240"/>
          <w:jc w:val="center"/>
        </w:trPr>
        <w:tc>
          <w:tcPr>
            <w:tcW w:w="4876" w:type="dxa"/>
            <w:hideMark/>
          </w:tcPr>
          <w:p w14:paraId="30244683" w14:textId="77777777" w:rsidR="006C3E5B" w:rsidRPr="00B34733" w:rsidRDefault="00B34733">
            <w:pPr>
              <w:pStyle w:val="AmColumnHeading"/>
            </w:pPr>
            <w:r w:rsidRPr="00B34733">
              <w:t>Texto de la Comisión</w:t>
            </w:r>
          </w:p>
        </w:tc>
        <w:tc>
          <w:tcPr>
            <w:tcW w:w="4876" w:type="dxa"/>
            <w:hideMark/>
          </w:tcPr>
          <w:p w14:paraId="7AB1D39F" w14:textId="77777777" w:rsidR="006C3E5B" w:rsidRPr="00B34733" w:rsidRDefault="00B34733">
            <w:pPr>
              <w:pStyle w:val="AmColumnHeading"/>
            </w:pPr>
            <w:r w:rsidRPr="00B34733">
              <w:t>Enmienda</w:t>
            </w:r>
          </w:p>
        </w:tc>
      </w:tr>
      <w:tr w:rsidR="00B34733" w:rsidRPr="00B34733" w14:paraId="7AB0BD29" w14:textId="77777777" w:rsidTr="006C3E5B">
        <w:trPr>
          <w:jc w:val="center"/>
        </w:trPr>
        <w:tc>
          <w:tcPr>
            <w:tcW w:w="4876" w:type="dxa"/>
            <w:hideMark/>
          </w:tcPr>
          <w:p w14:paraId="79E2AC21" w14:textId="77777777" w:rsidR="006C3E5B" w:rsidRPr="00B34733" w:rsidRDefault="00B34733">
            <w:pPr>
              <w:pStyle w:val="Normal6a"/>
            </w:pPr>
            <w:r w:rsidRPr="00B34733">
              <w:t>1.</w:t>
            </w:r>
            <w:r w:rsidRPr="00B34733">
              <w:tab/>
              <w:t>A más tardar el [</w:t>
            </w:r>
            <w:r w:rsidRPr="00B34733">
              <w:rPr>
                <w:b/>
                <w:i/>
              </w:rPr>
              <w:t>Oficina de Publicaciones: insértese</w:t>
            </w:r>
            <w:r w:rsidRPr="00B34733">
              <w:t xml:space="preserve"> la fecha </w:t>
            </w:r>
            <w:r w:rsidRPr="00B34733">
              <w:rPr>
                <w:b/>
                <w:i/>
              </w:rPr>
              <w:t>correspondiente a 2 años después de la adopción</w:t>
            </w:r>
            <w:r w:rsidRPr="00B34733">
              <w:t xml:space="preserve"> del presente</w:t>
            </w:r>
            <w:r w:rsidRPr="00B34733">
              <w:rPr>
                <w:b/>
                <w:i/>
              </w:rPr>
              <w:t xml:space="preserve"> proyecto de</w:t>
            </w:r>
            <w:r w:rsidRPr="00B34733">
              <w:t xml:space="preserve"> Reglamento], la Comisión evaluará la necesidad de modificar la definición de los productos del presente Reglamento y podrá presentar una propuesta legislativa para modificar el presente Reglamento. Esta evaluación se llevará a cabo </w:t>
            </w:r>
            <w:r w:rsidRPr="00B34733">
              <w:rPr>
                <w:b/>
                <w:i/>
              </w:rPr>
              <w:t>periódicamente cada dos años a partir de la primera revisión</w:t>
            </w:r>
            <w:r w:rsidRPr="00B34733">
              <w:t>.</w:t>
            </w:r>
          </w:p>
        </w:tc>
        <w:tc>
          <w:tcPr>
            <w:tcW w:w="4876" w:type="dxa"/>
            <w:hideMark/>
          </w:tcPr>
          <w:p w14:paraId="07F26F9E" w14:textId="77777777" w:rsidR="006C3E5B" w:rsidRPr="00B34733" w:rsidRDefault="00B34733">
            <w:pPr>
              <w:pStyle w:val="Normal6a"/>
            </w:pPr>
            <w:r w:rsidRPr="00B34733">
              <w:t>1.</w:t>
            </w:r>
            <w:r w:rsidRPr="00B34733">
              <w:tab/>
              <w:t>A más tardar el [</w:t>
            </w:r>
            <w:r w:rsidRPr="00B34733">
              <w:rPr>
                <w:b/>
                <w:i/>
              </w:rPr>
              <w:t>un año después de</w:t>
            </w:r>
            <w:r w:rsidRPr="00B34733">
              <w:t xml:space="preserve"> la fecha </w:t>
            </w:r>
            <w:r w:rsidRPr="00B34733">
              <w:rPr>
                <w:b/>
                <w:i/>
              </w:rPr>
              <w:t>de entrada en vigor</w:t>
            </w:r>
            <w:r w:rsidRPr="00B34733">
              <w:t xml:space="preserve"> del presente Reglamento], la Comisión evaluará la necesidad de modificar la definición de los productos del presente Reglamento y podrá presentar una propuesta legislativa para modificar el presente Reglamento. Esta evaluación se llevará a cabo </w:t>
            </w:r>
            <w:r w:rsidRPr="00B34733">
              <w:rPr>
                <w:b/>
                <w:i/>
              </w:rPr>
              <w:t>anualmente</w:t>
            </w:r>
            <w:r w:rsidRPr="00B34733">
              <w:t>.</w:t>
            </w:r>
          </w:p>
        </w:tc>
      </w:tr>
    </w:tbl>
    <w:p w14:paraId="6955DA02" w14:textId="77777777" w:rsidR="006C3E5B" w:rsidRPr="00B34733" w:rsidRDefault="00B34733" w:rsidP="006C3E5B">
      <w:pPr>
        <w:pStyle w:val="AmOrLang"/>
      </w:pPr>
      <w:r w:rsidRPr="00B34733">
        <w:t xml:space="preserve">Or. </w:t>
      </w:r>
      <w:r w:rsidRPr="00B34733">
        <w:rPr>
          <w:rStyle w:val="HideTWBExt"/>
        </w:rPr>
        <w:t>&lt;Original&gt;</w:t>
      </w:r>
      <w:r w:rsidRPr="00B34733">
        <w:rPr>
          <w:rStyle w:val="HideTWBInt"/>
        </w:rPr>
        <w:t>{EN}</w:t>
      </w:r>
      <w:r w:rsidRPr="00B34733">
        <w:t>en</w:t>
      </w:r>
      <w:r w:rsidRPr="00B34733">
        <w:rPr>
          <w:rStyle w:val="HideTWBExt"/>
        </w:rPr>
        <w:t>&lt;/Original&gt;</w:t>
      </w:r>
    </w:p>
    <w:p w14:paraId="1D997258" w14:textId="77777777" w:rsidR="006C3E5B" w:rsidRPr="00B34733" w:rsidRDefault="00B34733" w:rsidP="006C3E5B">
      <w:r w:rsidRPr="00B34733">
        <w:rPr>
          <w:rStyle w:val="HideTWBExt"/>
        </w:rPr>
        <w:t>&lt;/Amend&gt;</w:t>
      </w:r>
    </w:p>
    <w:p w14:paraId="22C457DD" w14:textId="77777777" w:rsidR="006C3E5B" w:rsidRPr="00B34733" w:rsidRDefault="00B34733" w:rsidP="006C3E5B">
      <w:pPr>
        <w:pStyle w:val="AmNumberTabs"/>
      </w:pPr>
      <w:r w:rsidRPr="00B34733">
        <w:rPr>
          <w:rStyle w:val="HideTWBExt"/>
          <w:b w:val="0"/>
        </w:rPr>
        <w:t>&lt;Amend&gt;</w:t>
      </w:r>
      <w:r w:rsidRPr="00B34733">
        <w:t>Enmienda</w:t>
      </w:r>
      <w:r w:rsidRPr="00B34733">
        <w:tab/>
      </w:r>
      <w:r w:rsidRPr="00B34733">
        <w:tab/>
      </w:r>
      <w:r w:rsidRPr="00B34733">
        <w:rPr>
          <w:rStyle w:val="HideTWBExt"/>
          <w:b w:val="0"/>
        </w:rPr>
        <w:t>&lt;NumAm&gt;</w:t>
      </w:r>
      <w:r w:rsidRPr="00B34733">
        <w:t>18</w:t>
      </w:r>
      <w:r w:rsidRPr="00B34733">
        <w:rPr>
          <w:rStyle w:val="HideTWBExt"/>
          <w:b w:val="0"/>
        </w:rPr>
        <w:t>&lt;/NumAm&gt;</w:t>
      </w:r>
    </w:p>
    <w:p w14:paraId="616B6E1C" w14:textId="77777777" w:rsidR="006C3E5B" w:rsidRPr="00B34733" w:rsidRDefault="00B34733" w:rsidP="006C3E5B">
      <w:pPr>
        <w:pStyle w:val="NormalBold12b"/>
      </w:pPr>
      <w:r w:rsidRPr="00B34733">
        <w:rPr>
          <w:rStyle w:val="HideTWBExt"/>
          <w:b w:val="0"/>
        </w:rPr>
        <w:t>&lt;DocAmend&gt;</w:t>
      </w:r>
      <w:r w:rsidRPr="00B34733">
        <w:t>Propuesta de Reglamento</w:t>
      </w:r>
      <w:r w:rsidRPr="00B34733">
        <w:rPr>
          <w:rStyle w:val="HideTWBExt"/>
          <w:b w:val="0"/>
        </w:rPr>
        <w:t>&lt;/DocAmend&gt;</w:t>
      </w:r>
    </w:p>
    <w:p w14:paraId="716C042E" w14:textId="77777777" w:rsidR="006C3E5B" w:rsidRPr="00B34733" w:rsidRDefault="00B34733" w:rsidP="006C3E5B">
      <w:pPr>
        <w:pStyle w:val="NormalBold"/>
      </w:pPr>
      <w:r w:rsidRPr="00B34733">
        <w:rPr>
          <w:rStyle w:val="HideTWBExt"/>
          <w:b w:val="0"/>
        </w:rPr>
        <w:t>&lt;Article&gt;</w:t>
      </w:r>
      <w:r w:rsidRPr="00B34733">
        <w:t>Artículo 9 – apartado 1 bis (nuevo)</w:t>
      </w:r>
      <w:r w:rsidRPr="00B3473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4733" w:rsidRPr="00B34733" w14:paraId="2E555723" w14:textId="77777777" w:rsidTr="006C3E5B">
        <w:trPr>
          <w:trHeight w:val="240"/>
          <w:jc w:val="center"/>
        </w:trPr>
        <w:tc>
          <w:tcPr>
            <w:tcW w:w="9752" w:type="dxa"/>
            <w:gridSpan w:val="2"/>
          </w:tcPr>
          <w:p w14:paraId="57E95B03" w14:textId="77777777" w:rsidR="006C3E5B" w:rsidRPr="00B34733" w:rsidRDefault="006C3E5B"/>
        </w:tc>
      </w:tr>
      <w:tr w:rsidR="00B34733" w:rsidRPr="00B34733" w14:paraId="07BFEA46" w14:textId="77777777" w:rsidTr="006C3E5B">
        <w:trPr>
          <w:trHeight w:val="240"/>
          <w:jc w:val="center"/>
        </w:trPr>
        <w:tc>
          <w:tcPr>
            <w:tcW w:w="4876" w:type="dxa"/>
            <w:hideMark/>
          </w:tcPr>
          <w:p w14:paraId="1AFC936A" w14:textId="77777777" w:rsidR="006C3E5B" w:rsidRPr="00B34733" w:rsidRDefault="00B34733">
            <w:pPr>
              <w:pStyle w:val="AmColumnHeading"/>
            </w:pPr>
            <w:r w:rsidRPr="00B34733">
              <w:t>Texto de la Comisión</w:t>
            </w:r>
          </w:p>
        </w:tc>
        <w:tc>
          <w:tcPr>
            <w:tcW w:w="4876" w:type="dxa"/>
            <w:hideMark/>
          </w:tcPr>
          <w:p w14:paraId="66AFF7BD" w14:textId="77777777" w:rsidR="006C3E5B" w:rsidRPr="00B34733" w:rsidRDefault="00B34733">
            <w:pPr>
              <w:pStyle w:val="AmColumnHeading"/>
            </w:pPr>
            <w:r w:rsidRPr="00B34733">
              <w:t>Enmienda</w:t>
            </w:r>
          </w:p>
        </w:tc>
      </w:tr>
      <w:tr w:rsidR="00B34733" w:rsidRPr="00B34733" w14:paraId="3250589B" w14:textId="77777777" w:rsidTr="006C3E5B">
        <w:trPr>
          <w:jc w:val="center"/>
        </w:trPr>
        <w:tc>
          <w:tcPr>
            <w:tcW w:w="4876" w:type="dxa"/>
          </w:tcPr>
          <w:p w14:paraId="688B4662" w14:textId="77777777" w:rsidR="006C3E5B" w:rsidRPr="00B34733" w:rsidRDefault="006C3E5B">
            <w:pPr>
              <w:pStyle w:val="Normal6a"/>
            </w:pPr>
          </w:p>
        </w:tc>
        <w:tc>
          <w:tcPr>
            <w:tcW w:w="4876" w:type="dxa"/>
            <w:hideMark/>
          </w:tcPr>
          <w:p w14:paraId="42181E54" w14:textId="77777777" w:rsidR="006C3E5B" w:rsidRPr="00B34733" w:rsidRDefault="00B34733">
            <w:pPr>
              <w:pStyle w:val="Normal6a"/>
            </w:pPr>
            <w:r w:rsidRPr="00B34733">
              <w:rPr>
                <w:b/>
                <w:i/>
              </w:rPr>
              <w:t>1 bis.</w:t>
            </w:r>
            <w:r w:rsidRPr="00B34733">
              <w:tab/>
            </w:r>
            <w:r w:rsidRPr="00B34733">
              <w:rPr>
                <w:b/>
                <w:i/>
              </w:rPr>
              <w:t>La Comisión facilitará al Parlamento Europeo y al Consejo un informe anual sobre la aplicación y la ejecución del presente Reglamento. Dicho informe se hará público.</w:t>
            </w:r>
          </w:p>
        </w:tc>
      </w:tr>
    </w:tbl>
    <w:p w14:paraId="4F63EEDA" w14:textId="77777777" w:rsidR="006C3E5B" w:rsidRPr="00B34733" w:rsidRDefault="00B34733" w:rsidP="006C3E5B">
      <w:pPr>
        <w:pStyle w:val="AmOrLang"/>
      </w:pPr>
      <w:r w:rsidRPr="00B34733">
        <w:t xml:space="preserve">Or. </w:t>
      </w:r>
      <w:r w:rsidRPr="00B34733">
        <w:rPr>
          <w:rStyle w:val="HideTWBExt"/>
        </w:rPr>
        <w:t>&lt;Original&gt;</w:t>
      </w:r>
      <w:r w:rsidRPr="00B34733">
        <w:rPr>
          <w:rStyle w:val="HideTWBInt"/>
        </w:rPr>
        <w:t>{EN}</w:t>
      </w:r>
      <w:r w:rsidRPr="00B34733">
        <w:t>en</w:t>
      </w:r>
      <w:r w:rsidRPr="00B34733">
        <w:rPr>
          <w:rStyle w:val="HideTWBExt"/>
        </w:rPr>
        <w:t>&lt;/Original&gt;</w:t>
      </w:r>
    </w:p>
    <w:p w14:paraId="47CEF20B" w14:textId="77777777" w:rsidR="006C3E5B" w:rsidRPr="00B34733" w:rsidRDefault="00B34733" w:rsidP="006C3E5B">
      <w:r w:rsidRPr="00B34733">
        <w:rPr>
          <w:rStyle w:val="HideTWBExt"/>
        </w:rPr>
        <w:t>&lt;/Amend&gt;</w:t>
      </w:r>
    </w:p>
    <w:p w14:paraId="69286975" w14:textId="77777777" w:rsidR="006C3E5B" w:rsidRPr="00B34733" w:rsidRDefault="00B34733" w:rsidP="006C3E5B">
      <w:pPr>
        <w:pStyle w:val="AmNumberTabs"/>
      </w:pPr>
      <w:r w:rsidRPr="00B34733">
        <w:rPr>
          <w:rStyle w:val="HideTWBExt"/>
          <w:b w:val="0"/>
        </w:rPr>
        <w:t>&lt;Amend&gt;</w:t>
      </w:r>
      <w:r w:rsidRPr="00B34733">
        <w:t>Enmienda</w:t>
      </w:r>
      <w:r w:rsidRPr="00B34733">
        <w:tab/>
      </w:r>
      <w:r w:rsidRPr="00B34733">
        <w:tab/>
      </w:r>
      <w:r w:rsidRPr="00B34733">
        <w:rPr>
          <w:rStyle w:val="HideTWBExt"/>
          <w:b w:val="0"/>
        </w:rPr>
        <w:t>&lt;NumAm&gt;</w:t>
      </w:r>
      <w:r w:rsidRPr="00B34733">
        <w:t>19</w:t>
      </w:r>
      <w:r w:rsidRPr="00B34733">
        <w:rPr>
          <w:rStyle w:val="HideTWBExt"/>
          <w:b w:val="0"/>
        </w:rPr>
        <w:t>&lt;/NumAm&gt;</w:t>
      </w:r>
    </w:p>
    <w:p w14:paraId="4E62A90F" w14:textId="77777777" w:rsidR="006C3E5B" w:rsidRPr="00B34733" w:rsidRDefault="00B34733" w:rsidP="006C3E5B">
      <w:pPr>
        <w:pStyle w:val="NormalBold12b"/>
      </w:pPr>
      <w:r w:rsidRPr="00B34733">
        <w:rPr>
          <w:rStyle w:val="HideTWBExt"/>
          <w:b w:val="0"/>
        </w:rPr>
        <w:t>&lt;DocAmend&gt;</w:t>
      </w:r>
      <w:r w:rsidRPr="00B34733">
        <w:t>Propuesta de Reglamento</w:t>
      </w:r>
      <w:r w:rsidRPr="00B34733">
        <w:rPr>
          <w:rStyle w:val="HideTWBExt"/>
          <w:b w:val="0"/>
        </w:rPr>
        <w:t>&lt;/DocAmend&gt;</w:t>
      </w:r>
    </w:p>
    <w:p w14:paraId="39FC9272" w14:textId="77777777" w:rsidR="006C3E5B" w:rsidRPr="00B34733" w:rsidRDefault="00B34733" w:rsidP="006C3E5B">
      <w:pPr>
        <w:pStyle w:val="NormalBold"/>
      </w:pPr>
      <w:r w:rsidRPr="00B34733">
        <w:rPr>
          <w:rStyle w:val="HideTWBExt"/>
          <w:b w:val="0"/>
        </w:rPr>
        <w:t>&lt;Article&gt;</w:t>
      </w:r>
      <w:r w:rsidRPr="00B34733">
        <w:t>Artículo 9 – apartado 2</w:t>
      </w:r>
      <w:r w:rsidRPr="00B3473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4733" w:rsidRPr="00B34733" w14:paraId="51839B90" w14:textId="77777777" w:rsidTr="006C3E5B">
        <w:trPr>
          <w:trHeight w:val="240"/>
          <w:jc w:val="center"/>
        </w:trPr>
        <w:tc>
          <w:tcPr>
            <w:tcW w:w="9752" w:type="dxa"/>
            <w:gridSpan w:val="2"/>
          </w:tcPr>
          <w:p w14:paraId="298AEBC5" w14:textId="77777777" w:rsidR="006C3E5B" w:rsidRPr="00B34733" w:rsidRDefault="006C3E5B"/>
        </w:tc>
      </w:tr>
      <w:tr w:rsidR="00B34733" w:rsidRPr="00B34733" w14:paraId="2C9B8559" w14:textId="77777777" w:rsidTr="006C3E5B">
        <w:trPr>
          <w:trHeight w:val="240"/>
          <w:jc w:val="center"/>
        </w:trPr>
        <w:tc>
          <w:tcPr>
            <w:tcW w:w="4876" w:type="dxa"/>
            <w:hideMark/>
          </w:tcPr>
          <w:p w14:paraId="40F3C997" w14:textId="77777777" w:rsidR="006C3E5B" w:rsidRPr="00B34733" w:rsidRDefault="00B34733">
            <w:pPr>
              <w:pStyle w:val="AmColumnHeading"/>
            </w:pPr>
            <w:r w:rsidRPr="00B34733">
              <w:t>Texto de la Comisión</w:t>
            </w:r>
          </w:p>
        </w:tc>
        <w:tc>
          <w:tcPr>
            <w:tcW w:w="4876" w:type="dxa"/>
            <w:hideMark/>
          </w:tcPr>
          <w:p w14:paraId="63897D5F" w14:textId="77777777" w:rsidR="006C3E5B" w:rsidRPr="00B34733" w:rsidRDefault="00B34733">
            <w:pPr>
              <w:pStyle w:val="AmColumnHeading"/>
            </w:pPr>
            <w:r w:rsidRPr="00B34733">
              <w:t>Enmienda</w:t>
            </w:r>
          </w:p>
        </w:tc>
      </w:tr>
      <w:tr w:rsidR="00B34733" w:rsidRPr="00B34733" w14:paraId="67BC1894" w14:textId="77777777" w:rsidTr="006C3E5B">
        <w:trPr>
          <w:jc w:val="center"/>
        </w:trPr>
        <w:tc>
          <w:tcPr>
            <w:tcW w:w="4876" w:type="dxa"/>
            <w:hideMark/>
          </w:tcPr>
          <w:p w14:paraId="65576705" w14:textId="77777777" w:rsidR="006C3E5B" w:rsidRPr="00B34733" w:rsidRDefault="00B34733">
            <w:pPr>
              <w:pStyle w:val="Normal6a"/>
            </w:pPr>
            <w:r w:rsidRPr="00B34733">
              <w:t>2.</w:t>
            </w:r>
            <w:r w:rsidRPr="00B34733">
              <w:tab/>
              <w:t xml:space="preserve">Antes del </w:t>
            </w:r>
            <w:r w:rsidRPr="00B34733">
              <w:rPr>
                <w:b/>
                <w:i/>
              </w:rPr>
              <w:t>1 de julio de 2031</w:t>
            </w:r>
            <w:r w:rsidRPr="00B34733">
              <w:t xml:space="preserve"> y a continuación cada </w:t>
            </w:r>
            <w:r w:rsidRPr="00B34733">
              <w:rPr>
                <w:b/>
                <w:i/>
              </w:rPr>
              <w:t>cinco</w:t>
            </w:r>
            <w:r w:rsidRPr="00B34733">
              <w:t xml:space="preserve"> años, la Comisión evaluará la eficacia del presente Reglamento. Dicha evaluación tendrá en cuenta la persistencia de las circunstancias que justificaron la adopción del presente Reglamento y la situación de la industria siderúrgica de la Unión. Sobre la base de dicha evaluación, la Comisión podrá presentar una propuesta legislativa para modificar o derogar el presente Reglamento.</w:t>
            </w:r>
          </w:p>
        </w:tc>
        <w:tc>
          <w:tcPr>
            <w:tcW w:w="4876" w:type="dxa"/>
            <w:hideMark/>
          </w:tcPr>
          <w:p w14:paraId="651813CA" w14:textId="77777777" w:rsidR="006C3E5B" w:rsidRPr="00B34733" w:rsidRDefault="00B34733">
            <w:pPr>
              <w:pStyle w:val="Normal6a"/>
            </w:pPr>
            <w:r w:rsidRPr="00B34733">
              <w:t>2.</w:t>
            </w:r>
            <w:r w:rsidRPr="00B34733">
              <w:tab/>
              <w:t xml:space="preserve">Antes del </w:t>
            </w:r>
            <w:r w:rsidRPr="00B34733">
              <w:rPr>
                <w:b/>
                <w:i/>
              </w:rPr>
              <w:t>[dos años después de la fecha de entrada en vigor del presente Reglamento],</w:t>
            </w:r>
            <w:r w:rsidRPr="00B34733">
              <w:t xml:space="preserve"> y a continuación cada </w:t>
            </w:r>
            <w:r w:rsidRPr="00B34733">
              <w:rPr>
                <w:b/>
                <w:i/>
              </w:rPr>
              <w:t>dos</w:t>
            </w:r>
            <w:r w:rsidRPr="00B34733">
              <w:t xml:space="preserve"> años, la Comisión evaluará la eficacia del presente Reglamento. Dicha evaluación tendrá en cuenta la persistencia de las circunstancias que justificaron la adopción del presente Reglamento y la situación de la industria siderúrgica de la Unión</w:t>
            </w:r>
            <w:r w:rsidRPr="00B34733">
              <w:rPr>
                <w:b/>
                <w:i/>
              </w:rPr>
              <w:t>, incluidos los niveles de precios y la absorción de capacidad, así como las fases posteriores de la cadena de valor</w:t>
            </w:r>
            <w:r w:rsidRPr="00B34733">
              <w:t xml:space="preserve">. Sobre la base de dicha evaluación, la </w:t>
            </w:r>
            <w:r w:rsidRPr="00B34733">
              <w:t>Comisión podrá presentar una propuesta legislativa para modificar o derogar el presente Reglamento.</w:t>
            </w:r>
          </w:p>
        </w:tc>
      </w:tr>
    </w:tbl>
    <w:p w14:paraId="3607CAB2" w14:textId="77777777" w:rsidR="006C3E5B" w:rsidRPr="00B34733" w:rsidRDefault="00B34733" w:rsidP="006C3E5B">
      <w:pPr>
        <w:pStyle w:val="AmOrLang"/>
      </w:pPr>
      <w:r w:rsidRPr="00B34733">
        <w:t xml:space="preserve">Or. </w:t>
      </w:r>
      <w:r w:rsidRPr="00B34733">
        <w:rPr>
          <w:rStyle w:val="HideTWBExt"/>
        </w:rPr>
        <w:t>&lt;Original&gt;</w:t>
      </w:r>
      <w:r w:rsidRPr="00B34733">
        <w:rPr>
          <w:rStyle w:val="HideTWBInt"/>
        </w:rPr>
        <w:t>{EN}</w:t>
      </w:r>
      <w:r w:rsidRPr="00B34733">
        <w:t>en</w:t>
      </w:r>
      <w:r w:rsidRPr="00B34733">
        <w:rPr>
          <w:rStyle w:val="HideTWBExt"/>
        </w:rPr>
        <w:t>&lt;/Original&gt;</w:t>
      </w:r>
    </w:p>
    <w:p w14:paraId="63F7DBD7" w14:textId="77777777" w:rsidR="006C3E5B" w:rsidRPr="008D7CD6" w:rsidRDefault="00B34733" w:rsidP="006C3E5B">
      <w:r w:rsidRPr="00B34733">
        <w:rPr>
          <w:rStyle w:val="HideTWBExt"/>
        </w:rPr>
        <w:t>&lt;/Amend&gt;</w:t>
      </w:r>
    </w:p>
    <w:p w14:paraId="36B9A464" w14:textId="77777777" w:rsidR="00EF6177" w:rsidRPr="008D7CD6" w:rsidRDefault="00B34733" w:rsidP="009D6D7A">
      <w:r w:rsidRPr="00B34733">
        <w:rPr>
          <w:rStyle w:val="HideTWBExt"/>
        </w:rPr>
        <w:t>&lt;/RepeatBlock-Amend&gt;</w:t>
      </w:r>
      <w:bookmarkStart w:id="1" w:name="_Toc163033371"/>
      <w:bookmarkStart w:id="2" w:name="_Toc203408167"/>
    </w:p>
    <w:bookmarkEnd w:id="1"/>
    <w:bookmarkEnd w:id="2"/>
    <w:p w14:paraId="0AE46FA4" w14:textId="77777777" w:rsidR="00B91827" w:rsidRPr="008D7CD6" w:rsidRDefault="00B34733">
      <w:pPr>
        <w:widowControl/>
      </w:pPr>
      <w:r w:rsidRPr="008D7CD6">
        <w:br w:type="page"/>
      </w:r>
    </w:p>
    <w:p w14:paraId="04B6D9A8" w14:textId="77777777" w:rsidR="00EF6177" w:rsidRPr="008D7CD6" w:rsidRDefault="00B34733" w:rsidP="00EF6177">
      <w:pPr>
        <w:pStyle w:val="PageHeading"/>
        <w:rPr>
          <w:bCs/>
          <w:sz w:val="28"/>
          <w:szCs w:val="28"/>
        </w:rPr>
      </w:pPr>
      <w:bookmarkStart w:id="3" w:name="_Toc192752965"/>
      <w:bookmarkStart w:id="4" w:name="_Toc215663357"/>
      <w:r w:rsidRPr="008D7CD6">
        <w:lastRenderedPageBreak/>
        <w:t>EXPOSICIÓN DE MOTIVOS</w:t>
      </w:r>
      <w:bookmarkEnd w:id="4"/>
    </w:p>
    <w:p w14:paraId="75C8C564" w14:textId="77777777" w:rsidR="00CA19C7" w:rsidRPr="008D7CD6" w:rsidRDefault="00B34733" w:rsidP="00B91827">
      <w:pPr>
        <w:spacing w:after="120"/>
        <w:rPr>
          <w:szCs w:val="24"/>
        </w:rPr>
      </w:pPr>
      <w:r w:rsidRPr="008D7CD6">
        <w:t>La Unión Europea necesita un sector siderúrgico fuerte, competitivo y descarbonizado, ya que este sector es vital para la competitividad, la seguridad económica y la autonomía estratégica de la Unión. El sector siderúrgico también es esencial para los objetivos de descarbonización de la Unión, no solo para reducir su propia huella de carbono, sino que también constituye un insumo importante en el sector de las tecnologías ecológicas. Además, el acero es fundamental para reforzar la base industrial de la def</w:t>
      </w:r>
      <w:r w:rsidRPr="008D7CD6">
        <w:t xml:space="preserve">ensa europea. </w:t>
      </w:r>
    </w:p>
    <w:p w14:paraId="3249727C" w14:textId="2CE4DAE2" w:rsidR="00CA19C7" w:rsidRPr="008D7CD6" w:rsidRDefault="00B34733" w:rsidP="00B91827">
      <w:pPr>
        <w:spacing w:after="120"/>
        <w:rPr>
          <w:sz w:val="23"/>
          <w:szCs w:val="23"/>
        </w:rPr>
      </w:pPr>
      <w:r w:rsidRPr="008D7CD6">
        <w:t>Como la tercera mayor industria siderúrgica del mundo, y con producción de acero en más de veinte Estados miembros, los productores de acero de la Unión dan empleo a</w:t>
      </w:r>
      <w:r>
        <w:t> </w:t>
      </w:r>
      <w:r w:rsidRPr="008D7CD6">
        <w:t>300 000</w:t>
      </w:r>
      <w:r>
        <w:t xml:space="preserve"> </w:t>
      </w:r>
      <w:r w:rsidRPr="008D7CD6">
        <w:t>personas directamente y suman indirectamente</w:t>
      </w:r>
      <w:r>
        <w:t> </w:t>
      </w:r>
      <w:r w:rsidRPr="008D7CD6">
        <w:t>2,5</w:t>
      </w:r>
      <w:r>
        <w:t> </w:t>
      </w:r>
      <w:r w:rsidRPr="008D7CD6">
        <w:t>millones de puestos de trabajo. Desempeña un papel importante en muchas economías regionales.</w:t>
      </w:r>
    </w:p>
    <w:p w14:paraId="46B9BAEA" w14:textId="77777777" w:rsidR="00CA19C7" w:rsidRPr="008D7CD6" w:rsidRDefault="00B34733" w:rsidP="00B91827">
      <w:pPr>
        <w:spacing w:after="120"/>
        <w:rPr>
          <w:szCs w:val="24"/>
        </w:rPr>
      </w:pPr>
      <w:r w:rsidRPr="008D7CD6">
        <w:t>Sin embargo, los retos relacionados con el comercio a los que se enfrenta el sector siderúrgico de la Unión no hacen sino aumentar. Se prevé que en los próximos años siga aumentando el exceso de capacidad mundial, ya de por sí distorsionador, que genera un excedente de acero barato y una elevada presión de las importaciones en el mercado de la Unión y que se agrava aún más por la desviación del acero causada por las medidas de protección adoptadas por varios socios comerciales de la Unión. La producción sid</w:t>
      </w:r>
      <w:r w:rsidRPr="008D7CD6">
        <w:t xml:space="preserve">erúrgica de la Unión ha disminuido drásticamente en las últimas décadas, lo que ha dado lugar al cierre de instalaciones y al aumento de la brecha entre los niveles de producción y capacidad. El sector siderúrgico europeo no puede seguir siendo competitivo si la disminución de los niveles de beneficios no permite las inversiones necesarias en descarbonización. </w:t>
      </w:r>
    </w:p>
    <w:p w14:paraId="0536F9D8" w14:textId="77777777" w:rsidR="00CA19C7" w:rsidRPr="008D7CD6" w:rsidRDefault="00B34733" w:rsidP="00B34733">
      <w:pPr>
        <w:spacing w:after="120"/>
      </w:pPr>
      <w:r w:rsidRPr="008D7CD6">
        <w:t xml:space="preserve">Dado que las medidas de salvaguardia provisionales ya prorrogadas establecidas en julio de 2018 expirarán en junio de 2026, es esencial establecer un mecanismo sólido y basado en normas que permita la recuperación del sector, al tiempo que se aspira a reforzar las bases para un mayor libre comercio. La situación mundial del acero en general y la situación del sector siderúrgico europeo en particular dejan claro la necesidad de una medida sólida, eficaz y específica. En este contexto, </w:t>
      </w:r>
      <w:r w:rsidRPr="008D7CD6">
        <w:rPr>
          <w:b/>
        </w:rPr>
        <w:t>la ponente</w:t>
      </w:r>
      <w:r w:rsidRPr="008D7CD6">
        <w:t xml:space="preserve"> acoge favorablemente el proyecto de propuesta legislativa, que se anunció en el Plan de Acción para el Acero y los Metales de marzo de 2025. </w:t>
      </w:r>
      <w:r w:rsidRPr="008D7CD6">
        <w:rPr>
          <w:b/>
        </w:rPr>
        <w:t>La ponente</w:t>
      </w:r>
      <w:r w:rsidRPr="008D7CD6">
        <w:t xml:space="preserve"> también está plenamente de acuerdo con la valoración realizada por la presidenta Von der Leyen en su discurso sobre el estado de la Unión de septiembre de 2025 en relación con la necesidad estratégica de proteger a las industrias de la Unión de las prácticas comerciales desleales y de preservar unas condiciones de competencia equitativas a escala </w:t>
      </w:r>
      <w:r w:rsidRPr="008D7CD6">
        <w:t xml:space="preserve">mundial. </w:t>
      </w:r>
    </w:p>
    <w:p w14:paraId="291B7EEE" w14:textId="77777777" w:rsidR="00CA19C7" w:rsidRPr="008D7CD6" w:rsidRDefault="00B34733" w:rsidP="00B91827">
      <w:pPr>
        <w:spacing w:after="120"/>
      </w:pPr>
      <w:r w:rsidRPr="008D7CD6">
        <w:t xml:space="preserve">Por lo que se refiere al fondo de la propuesta, la </w:t>
      </w:r>
      <w:r w:rsidRPr="008D7CD6">
        <w:rPr>
          <w:b/>
        </w:rPr>
        <w:t>ponente</w:t>
      </w:r>
      <w:r w:rsidRPr="008D7CD6">
        <w:t xml:space="preserve"> acoge con satisfacción que se trate de un paso en la dirección correcta con respecto a la medida de salvaguardia en vigor. El mercado único debe seguir abierto al comercio basado en normas y, por lo tanto, la ponente apoya firmemente que los contingentes libres de aranceles sigan permitiendo un enfoque basado en el mercado, mientras que el exceso de capacidad y el consiguiente comercio desviado se gestionen con un nivel de derechos claro más allá de los contingentes. Para el cálculo del contingente </w:t>
      </w:r>
      <w:r w:rsidRPr="008D7CD6">
        <w:t xml:space="preserve">libre de aranceles, la </w:t>
      </w:r>
      <w:r w:rsidRPr="008D7CD6">
        <w:rPr>
          <w:b/>
        </w:rPr>
        <w:t>ponente</w:t>
      </w:r>
      <w:r w:rsidRPr="008D7CD6">
        <w:t xml:space="preserve"> considera que utilizar 2013 como año de referencia —antes de que el exceso de capacidad afectara gravemente a Europa— representa un valor de referencia equilibrado y coherente con la OMC. Con el fin de dotar de flexibilidad al sistema, debe permitirse la transferencia de los contingentes trimestrales no utilizados. La ponente hace hincapié en la importancia del requisito del país de «fusión y colada», que mejorará la trazabilidad de los productos, garantizará el origen auténti</w:t>
      </w:r>
      <w:r w:rsidRPr="008D7CD6">
        <w:t xml:space="preserve">co de los insumos de acero y reducirá el riesgo de elusión mediante transbordos o transformaciones mínimas. </w:t>
      </w:r>
    </w:p>
    <w:p w14:paraId="1EE1316D" w14:textId="4397E6E2" w:rsidR="00CA19C7" w:rsidRPr="008D7CD6" w:rsidRDefault="00B34733" w:rsidP="00B34733">
      <w:pPr>
        <w:spacing w:after="120"/>
      </w:pPr>
      <w:r w:rsidRPr="008D7CD6">
        <w:t>La medida propuesta para el acero requiere una evaluación periódica que permita ajustarla con el fin de garantizar su contribución eficaz al aumento de la producción en empresas altamente competitivas y va unida a los esfuerzos para delimitar los mercados de exportación y fomentar la cooperación para combatir el exceso de capacidad mundial junto a socios comerciales afines. No puede ser una herramienta para mantener viva una industria no competitiva, trasladando al mismo tiempo el problema a fases posterior</w:t>
      </w:r>
      <w:r w:rsidRPr="008D7CD6">
        <w:t>es de la cadena de valor. Una producción de acero competitiva también garantiza que la Unión no cree una dependencia poco saludable, lo cual es muy importante. La ponente acoge favorablemente las evaluaciones periódicas del ámbito de aplicación y considera que podrían realizarse con mayor frecuencia. Un informe anual es algo habitual en este tipo de instrumentos comerciales y permite a los colegisladores comprender cómo evoluciona la aplicación de las diferentes dimensiones del instrumento.</w:t>
      </w:r>
    </w:p>
    <w:p w14:paraId="55B468A1" w14:textId="77777777" w:rsidR="00CA19C7" w:rsidRPr="008D7CD6" w:rsidRDefault="00B34733" w:rsidP="00B91827">
      <w:pPr>
        <w:spacing w:after="120"/>
      </w:pPr>
      <w:r w:rsidRPr="008D7CD6">
        <w:t xml:space="preserve">En un momento en el que el sistema comercial multilateral está sometido a una presión constante, </w:t>
      </w:r>
      <w:r w:rsidRPr="008D7CD6">
        <w:rPr>
          <w:b/>
        </w:rPr>
        <w:t>la ponente</w:t>
      </w:r>
      <w:r w:rsidRPr="008D7CD6">
        <w:t xml:space="preserve"> acoge con especial satisfacción que la propuesta de Reglamento se haya diseñado para seguir cumpliendo plenamente las obligaciones de la OMC. </w:t>
      </w:r>
      <w:r w:rsidRPr="008D7CD6">
        <w:rPr>
          <w:b/>
        </w:rPr>
        <w:t>La ponente</w:t>
      </w:r>
      <w:r w:rsidRPr="008D7CD6">
        <w:t xml:space="preserve"> seguirá con gran atención las negociaciones que deben llevarse a cabo con los socios comerciales afectados, en particular aquellos con los que la Unión ha celebrado o está en proceso de celebrar acuerdos de libre comercio, a fin de garantizar la claridad jurídica, la previsibilidad y la integridad continua de la arquitectura de defensa comercial </w:t>
      </w:r>
      <w:r w:rsidRPr="008D7CD6">
        <w:t>de la Unión.</w:t>
      </w:r>
    </w:p>
    <w:p w14:paraId="051ED3CA" w14:textId="099351CB" w:rsidR="00CA19C7" w:rsidRPr="008D7CD6" w:rsidRDefault="00B34733" w:rsidP="00B34733">
      <w:pPr>
        <w:spacing w:before="120" w:after="120"/>
      </w:pPr>
      <w:r w:rsidRPr="008D7CD6">
        <w:rPr>
          <w:b/>
        </w:rPr>
        <w:t>La ponente</w:t>
      </w:r>
      <w:r w:rsidRPr="008D7CD6">
        <w:t xml:space="preserve"> también considera que debe tenerse debidamente en cuenta la situación específica </w:t>
      </w:r>
      <w:sdt>
        <w:sdtPr>
          <w:tag w:val="goog_rdk_1"/>
          <w:id w:val="-1162988836"/>
        </w:sdtPr>
        <w:sdtEndPr/>
        <w:sdtContent/>
      </w:sdt>
      <w:sdt>
        <w:sdtPr>
          <w:tag w:val="goog_rdk_2"/>
          <w:id w:val="1981819436"/>
        </w:sdtPr>
        <w:sdtEndPr/>
        <w:sdtContent/>
      </w:sdt>
      <w:r w:rsidRPr="008D7CD6">
        <w:t>de Ucrania como país candidato a la adhesión a la Unión. Por consiguiente,</w:t>
      </w:r>
      <w:sdt>
        <w:sdtPr>
          <w:tag w:val="goog_rdk_3"/>
          <w:id w:val="-2069927053"/>
        </w:sdtPr>
        <w:sdtEndPr/>
        <w:sdtContent/>
      </w:sdt>
      <w:sdt>
        <w:sdtPr>
          <w:tag w:val="goog_rdk_4"/>
          <w:id w:val="-1346164781"/>
        </w:sdtPr>
        <w:sdtEndPr/>
        <w:sdtContent/>
      </w:sdt>
      <w:r w:rsidRPr="008D7CD6">
        <w:t xml:space="preserve"> en consonancia con el compromiso de la Unión de apoyar la economía de Ucrania durante la guerra de agresión en curso, así como con el acuerdo político sobre el Reglamento (UE) 2025/1153, debe confirmarse que el artículo 1 no se aplicará a Ucrania. Del mismo modo, el Reglamento debe abordar cualquier posible laguna que pueda permitir la importación directa o indirecta de mercancías procedentes de Rusia, lo que seguiría financiando las continuas actividades hostiles rusas y socavando la paz y la estabilidad </w:t>
      </w:r>
      <w:r w:rsidRPr="008D7CD6">
        <w:t>europeas.</w:t>
      </w:r>
    </w:p>
    <w:p w14:paraId="0F35855B" w14:textId="77777777" w:rsidR="00CA19C7" w:rsidRPr="008D7CD6" w:rsidRDefault="00B34733" w:rsidP="00B91827">
      <w:pPr>
        <w:spacing w:after="120"/>
      </w:pPr>
      <w:r w:rsidRPr="008D7CD6">
        <w:t xml:space="preserve">Si bien debe permitirse que los colegisladores cumplan su cometido, debido a la magnitud de los retos a los que se enfrenta el sector siderúrgico y la urgencia de proporcionar seguridad jurídica y económica, </w:t>
      </w:r>
      <w:r w:rsidRPr="008D7CD6">
        <w:rPr>
          <w:b/>
        </w:rPr>
        <w:t>la ponente</w:t>
      </w:r>
      <w:r w:rsidRPr="008D7CD6">
        <w:t xml:space="preserve"> considera que el proceso democrático debe avanzar sin demora para que el Reglamento pueda entrar en vigor a tiempo.</w:t>
      </w:r>
    </w:p>
    <w:p w14:paraId="1349A67D" w14:textId="77777777" w:rsidR="00EF6177" w:rsidRPr="008D7CD6" w:rsidRDefault="00B34733">
      <w:pPr>
        <w:widowControl/>
        <w:rPr>
          <w:rFonts w:ascii="Arial" w:hAnsi="Arial" w:cs="Arial"/>
          <w:b/>
        </w:rPr>
      </w:pPr>
      <w:r w:rsidRPr="008D7CD6">
        <w:br w:type="page"/>
      </w:r>
    </w:p>
    <w:p w14:paraId="0B84C641" w14:textId="77777777" w:rsidR="00457217" w:rsidRPr="008D7CD6" w:rsidRDefault="00B34733" w:rsidP="00457217">
      <w:pPr>
        <w:pStyle w:val="PageHeading"/>
      </w:pPr>
      <w:bookmarkStart w:id="5" w:name="_Toc215663358"/>
      <w:r w:rsidRPr="008D7CD6">
        <w:t>ANEXO: ENTIDADES O PERSONAS</w:t>
      </w:r>
      <w:r w:rsidRPr="008D7CD6">
        <w:br/>
        <w:t>DE LAS QUE LA PONENTE HA RECIBIDO CONTRIBUCIONES</w:t>
      </w:r>
      <w:bookmarkEnd w:id="3"/>
      <w:bookmarkEnd w:id="5"/>
    </w:p>
    <w:p w14:paraId="7FB671F8" w14:textId="77777777" w:rsidR="00457217" w:rsidRPr="008D7CD6" w:rsidRDefault="00B34733" w:rsidP="00B34733">
      <w:pPr>
        <w:spacing w:before="9"/>
        <w:ind w:right="159"/>
        <w:rPr>
          <w:szCs w:val="24"/>
        </w:rPr>
      </w:pPr>
      <w:r w:rsidRPr="008D7CD6">
        <w:t>De conformidad con el artículo 8 del anexo I del Reglamento interno, la ponente declara haber recibido contribuciones de las siguientes entidades o personas durante la preparación del proyecto de informe, hasta su aprobación en comisión:</w:t>
      </w:r>
    </w:p>
    <w:p w14:paraId="153F2671" w14:textId="77777777" w:rsidR="00457217" w:rsidRPr="008D7CD6" w:rsidRDefault="00457217" w:rsidP="00457217">
      <w:pPr>
        <w:spacing w:line="200" w:lineRule="exact"/>
        <w:rPr>
          <w:szCs w:val="24"/>
        </w:rPr>
      </w:pPr>
    </w:p>
    <w:tbl>
      <w:tblPr>
        <w:tblW w:w="9105" w:type="dxa"/>
        <w:tblInd w:w="98" w:type="dxa"/>
        <w:tblCellMar>
          <w:left w:w="0" w:type="dxa"/>
          <w:right w:w="0" w:type="dxa"/>
        </w:tblCellMar>
        <w:tblLook w:val="04A0" w:firstRow="1" w:lastRow="0" w:firstColumn="1" w:lastColumn="0" w:noHBand="0" w:noVBand="1"/>
      </w:tblPr>
      <w:tblGrid>
        <w:gridCol w:w="9105"/>
      </w:tblGrid>
      <w:tr w:rsidR="00A75528" w:rsidRPr="008D7CD6" w14:paraId="0220C1E4" w14:textId="77777777" w:rsidTr="00457217">
        <w:trPr>
          <w:trHeight w:val="355"/>
        </w:trPr>
        <w:tc>
          <w:tcPr>
            <w:tcW w:w="9111" w:type="dxa"/>
            <w:tcBorders>
              <w:top w:val="single" w:sz="8" w:space="0" w:color="000000"/>
              <w:left w:val="single" w:sz="8" w:space="0" w:color="000000"/>
              <w:bottom w:val="single" w:sz="8" w:space="0" w:color="000000"/>
              <w:right w:val="single" w:sz="8" w:space="0" w:color="000000"/>
            </w:tcBorders>
            <w:hideMark/>
          </w:tcPr>
          <w:p w14:paraId="32B26D88" w14:textId="77777777" w:rsidR="00457217" w:rsidRPr="008D7CD6" w:rsidRDefault="00B34733" w:rsidP="00B34733">
            <w:pPr>
              <w:ind w:left="3300" w:right="3497"/>
              <w:rPr>
                <w:b/>
                <w:bCs/>
                <w:szCs w:val="24"/>
              </w:rPr>
            </w:pPr>
            <w:r w:rsidRPr="008D7CD6">
              <w:rPr>
                <w:b/>
              </w:rPr>
              <w:t>Entidad o persona</w:t>
            </w:r>
          </w:p>
        </w:tc>
      </w:tr>
      <w:tr w:rsidR="00A75528" w:rsidRPr="008D7CD6" w14:paraId="4AEB5E21"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3DBB063E" w14:textId="77777777" w:rsidR="00457217" w:rsidRPr="008D7CD6" w:rsidRDefault="00B34733" w:rsidP="00B34733">
            <w:pPr>
              <w:rPr>
                <w:szCs w:val="24"/>
              </w:rPr>
            </w:pPr>
            <w:r w:rsidRPr="008D7CD6">
              <w:t>Thyssenkrupp</w:t>
            </w:r>
          </w:p>
        </w:tc>
      </w:tr>
      <w:tr w:rsidR="00A75528" w:rsidRPr="008D7CD6" w14:paraId="4D6B4A06"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4286EE28" w14:textId="77777777" w:rsidR="00457217" w:rsidRPr="008D7CD6" w:rsidRDefault="00B34733" w:rsidP="00B34733">
            <w:pPr>
              <w:ind w:right="3497"/>
              <w:rPr>
                <w:szCs w:val="24"/>
              </w:rPr>
            </w:pPr>
            <w:r w:rsidRPr="008D7CD6">
              <w:t>Eurofer</w:t>
            </w:r>
          </w:p>
        </w:tc>
      </w:tr>
      <w:tr w:rsidR="00A75528" w:rsidRPr="008D7CD6" w14:paraId="7B82CFB1"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2FDE3ACE" w14:textId="38D5047D" w:rsidR="00457217" w:rsidRPr="008D7CD6" w:rsidRDefault="00B34733" w:rsidP="00B34733">
            <w:pPr>
              <w:rPr>
                <w:szCs w:val="24"/>
              </w:rPr>
            </w:pPr>
            <w:r w:rsidRPr="008D7CD6">
              <w:t>Jernkontoret</w:t>
            </w:r>
          </w:p>
        </w:tc>
      </w:tr>
      <w:tr w:rsidR="00A75528" w:rsidRPr="008D7CD6" w14:paraId="53A81E74"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6466B7DA" w14:textId="77777777" w:rsidR="00457217" w:rsidRPr="008D7CD6" w:rsidRDefault="00B34733" w:rsidP="00B34733">
            <w:pPr>
              <w:ind w:right="3497"/>
              <w:rPr>
                <w:szCs w:val="24"/>
              </w:rPr>
            </w:pPr>
            <w:r w:rsidRPr="008D7CD6">
              <w:rPr>
                <w:color w:val="000000"/>
              </w:rPr>
              <w:t>European Steel Processors Association</w:t>
            </w:r>
          </w:p>
        </w:tc>
      </w:tr>
      <w:tr w:rsidR="00A75528" w:rsidRPr="00B34733" w14:paraId="66EE762C"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2426288D" w14:textId="16B7EDA1" w:rsidR="00457217" w:rsidRPr="00B34733" w:rsidRDefault="00B34733" w:rsidP="00B34733">
            <w:pPr>
              <w:rPr>
                <w:b/>
                <w:bCs/>
                <w:szCs w:val="24"/>
                <w:lang w:val="en-GB"/>
              </w:rPr>
            </w:pPr>
            <w:r w:rsidRPr="00B34733">
              <w:rPr>
                <w:lang w:val="en-GB"/>
              </w:rPr>
              <w:t>Metal Packaging Europe External Affairs ASBL</w:t>
            </w:r>
          </w:p>
        </w:tc>
      </w:tr>
      <w:tr w:rsidR="00A75528" w:rsidRPr="008D7CD6" w14:paraId="3F7D1F3E"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653864BA" w14:textId="77777777" w:rsidR="00457217" w:rsidRPr="008D7CD6" w:rsidRDefault="00B34733" w:rsidP="00B34733">
            <w:pPr>
              <w:ind w:right="3497"/>
              <w:rPr>
                <w:rFonts w:ascii="Aptos" w:hAnsi="Aptos" w:cs="Aptos"/>
                <w:b/>
                <w:bCs/>
                <w:szCs w:val="24"/>
              </w:rPr>
            </w:pPr>
            <w:r w:rsidRPr="008D7CD6">
              <w:rPr>
                <w:color w:val="000000"/>
              </w:rPr>
              <w:t>Orgalim – Europe's Technology Industries</w:t>
            </w:r>
          </w:p>
        </w:tc>
      </w:tr>
      <w:tr w:rsidR="00A75528" w:rsidRPr="00B34733" w14:paraId="509616E9"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15B80B4C" w14:textId="78EC2798" w:rsidR="00457217" w:rsidRPr="00B34733" w:rsidRDefault="00B34733" w:rsidP="00B34733">
            <w:pPr>
              <w:rPr>
                <w:b/>
                <w:bCs/>
                <w:szCs w:val="24"/>
                <w:lang w:val="en-GB"/>
              </w:rPr>
            </w:pPr>
            <w:r w:rsidRPr="00B34733">
              <w:rPr>
                <w:lang w:val="en-GB"/>
              </w:rPr>
              <w:t>Kommerskollegium - National Board of Trade Sweden</w:t>
            </w:r>
          </w:p>
        </w:tc>
      </w:tr>
      <w:tr w:rsidR="00A75528" w:rsidRPr="00B34733" w14:paraId="0AC64C44"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0F6AAEF3" w14:textId="46E3D61A" w:rsidR="00457217" w:rsidRPr="00B34733" w:rsidRDefault="00B34733" w:rsidP="00B34733">
            <w:pPr>
              <w:rPr>
                <w:szCs w:val="24"/>
                <w:lang w:val="en-GB"/>
              </w:rPr>
            </w:pPr>
            <w:r w:rsidRPr="00B34733">
              <w:rPr>
                <w:lang w:val="en-GB"/>
              </w:rPr>
              <w:t>Permanent representation of Sweden to the EU</w:t>
            </w:r>
          </w:p>
        </w:tc>
      </w:tr>
      <w:tr w:rsidR="00A75528" w:rsidRPr="00B34733" w14:paraId="47BF522B"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65DF6F57" w14:textId="562AE6C4" w:rsidR="00457217" w:rsidRPr="00B34733" w:rsidRDefault="00B34733" w:rsidP="00B34733">
            <w:pPr>
              <w:rPr>
                <w:szCs w:val="24"/>
                <w:lang w:val="en-GB"/>
              </w:rPr>
            </w:pPr>
            <w:r w:rsidRPr="00B34733">
              <w:rPr>
                <w:lang w:val="en-GB"/>
              </w:rPr>
              <w:t>Permanent representation of Finland to the EU</w:t>
            </w:r>
          </w:p>
        </w:tc>
      </w:tr>
      <w:tr w:rsidR="00A75528" w:rsidRPr="00B34733" w14:paraId="1BB446DA"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10FB81EE" w14:textId="4D01B934" w:rsidR="00457217" w:rsidRPr="00B34733" w:rsidRDefault="00B34733" w:rsidP="00B34733">
            <w:pPr>
              <w:rPr>
                <w:szCs w:val="24"/>
                <w:lang w:val="en-GB"/>
              </w:rPr>
            </w:pPr>
            <w:r w:rsidRPr="00B34733">
              <w:rPr>
                <w:lang w:val="en-GB"/>
              </w:rPr>
              <w:t>Mission of Switzerland to the EU</w:t>
            </w:r>
          </w:p>
        </w:tc>
      </w:tr>
    </w:tbl>
    <w:p w14:paraId="6E0EE64B" w14:textId="77777777" w:rsidR="00457217" w:rsidRPr="00B34733" w:rsidRDefault="00457217" w:rsidP="00457217">
      <w:pPr>
        <w:spacing w:before="9" w:line="360" w:lineRule="auto"/>
        <w:rPr>
          <w:rFonts w:ascii="Aptos" w:eastAsiaTheme="minorHAnsi" w:hAnsi="Aptos" w:cs="Aptos"/>
          <w:szCs w:val="24"/>
          <w:lang w:val="en-GB" w:eastAsia="en-US"/>
          <w14:ligatures w14:val="standardContextual"/>
        </w:rPr>
      </w:pPr>
    </w:p>
    <w:p w14:paraId="4CA5C7ED" w14:textId="77777777" w:rsidR="00457217" w:rsidRPr="008D7CD6" w:rsidRDefault="00B34733" w:rsidP="00457217">
      <w:pPr>
        <w:spacing w:before="9" w:line="360" w:lineRule="auto"/>
        <w:rPr>
          <w:szCs w:val="24"/>
        </w:rPr>
      </w:pPr>
      <w:r w:rsidRPr="008D7CD6">
        <w:t>La lista anterior se elabora bajo la exclusiva responsabilidad de la ponente.</w:t>
      </w:r>
    </w:p>
    <w:p w14:paraId="0EF3B288" w14:textId="77777777" w:rsidR="00457217" w:rsidRPr="008D7CD6" w:rsidRDefault="00457217" w:rsidP="00457217">
      <w:pPr>
        <w:spacing w:line="200" w:lineRule="exact"/>
        <w:rPr>
          <w:szCs w:val="24"/>
        </w:rPr>
      </w:pPr>
    </w:p>
    <w:p w14:paraId="3614C04E" w14:textId="77777777" w:rsidR="00457217" w:rsidRPr="008D7CD6" w:rsidRDefault="00B34733" w:rsidP="00457217">
      <w:pPr>
        <w:rPr>
          <w:szCs w:val="24"/>
        </w:rPr>
      </w:pPr>
      <w:r w:rsidRPr="008D7CD6">
        <w:t xml:space="preserve">Cuando en la lista se identifique a personas físicas por su nombre o su función, o por ambos, la ponente declara haber puesto en conocimiento de dichas personas físicas el aviso de protección de datos del Parlamento Europeo n.º 484 </w:t>
      </w:r>
      <w:r w:rsidRPr="00B34733">
        <w:rPr>
          <w:color w:val="0000FF"/>
        </w:rPr>
        <w:t>(</w:t>
      </w:r>
      <w:hyperlink r:id="rId10" w:history="1">
        <w:r w:rsidRPr="00B34733">
          <w:rPr>
            <w:rStyle w:val="Hyperlink"/>
            <w:color w:val="0000FF"/>
          </w:rPr>
          <w:t>https://www.europarl.europa.eu/data-protect/index.do</w:t>
        </w:r>
      </w:hyperlink>
      <w:r w:rsidRPr="008D7CD6">
        <w:t>), en el que se establecen las condiciones aplicables al tratamiento de sus datos personales y los derechos vinculados a dicho tratamiento.</w:t>
      </w:r>
    </w:p>
    <w:p w14:paraId="55225351" w14:textId="77777777" w:rsidR="00DF5FE5" w:rsidRPr="008D7CD6" w:rsidRDefault="00DF5FE5" w:rsidP="00DF5FE5">
      <w:pPr>
        <w:spacing w:after="120"/>
        <w:jc w:val="center"/>
        <w:rPr>
          <w:b/>
        </w:rPr>
      </w:pPr>
    </w:p>
    <w:p w14:paraId="20E3223E" w14:textId="77777777" w:rsidR="00DF5FE5" w:rsidRPr="008D7CD6" w:rsidRDefault="00DF5FE5" w:rsidP="00DF5FE5">
      <w:pPr>
        <w:spacing w:after="120"/>
      </w:pPr>
    </w:p>
    <w:p w14:paraId="44A579DE" w14:textId="320D7096" w:rsidR="00DF5FE5" w:rsidRPr="008D7CD6" w:rsidRDefault="00DF5FE5" w:rsidP="00DF5FE5">
      <w:pPr>
        <w:rPr>
          <w:color w:val="000000"/>
        </w:rPr>
      </w:pPr>
    </w:p>
    <w:p w14:paraId="1B410F38" w14:textId="77777777" w:rsidR="00DF5FE5" w:rsidRPr="008D7CD6" w:rsidRDefault="00DF5FE5" w:rsidP="00DF5FE5">
      <w:pPr>
        <w:pStyle w:val="Olang"/>
        <w:rPr>
          <w:sz w:val="24"/>
          <w:szCs w:val="24"/>
          <w:lang w:val="es-ES_tradnl"/>
        </w:rPr>
      </w:pPr>
    </w:p>
    <w:p w14:paraId="29F19B75" w14:textId="77777777" w:rsidR="009C6D58" w:rsidRPr="00B34733" w:rsidRDefault="009C6D58" w:rsidP="00212B84">
      <w:pPr>
        <w:pStyle w:val="AmNumberTabs"/>
        <w:keepNext/>
        <w:rPr>
          <w:rStyle w:val="HideTWBExt"/>
        </w:rPr>
      </w:pPr>
    </w:p>
    <w:sectPr w:rsidR="009C6D58" w:rsidRPr="00B34733" w:rsidSect="00071A4E">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1D9D0" w14:textId="77777777" w:rsidR="00B34733" w:rsidRPr="008D7CD6" w:rsidRDefault="00B34733">
      <w:r w:rsidRPr="008D7CD6">
        <w:separator/>
      </w:r>
    </w:p>
  </w:endnote>
  <w:endnote w:type="continuationSeparator" w:id="0">
    <w:p w14:paraId="29180351" w14:textId="77777777" w:rsidR="00B34733" w:rsidRPr="008D7CD6" w:rsidRDefault="00B34733">
      <w:r w:rsidRPr="008D7C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5EC2D" w14:textId="77777777" w:rsidR="00071A4E" w:rsidRPr="008D7CD6" w:rsidRDefault="00071A4E" w:rsidP="00071A4E">
    <w:pPr>
      <w:pStyle w:val="EPFooter"/>
    </w:pPr>
    <w:r w:rsidRPr="008D7CD6">
      <w:t>PE</w:t>
    </w:r>
    <w:r w:rsidRPr="00B34733">
      <w:rPr>
        <w:rStyle w:val="HideTWBExt"/>
      </w:rPr>
      <w:t>&lt;NoPE&gt;</w:t>
    </w:r>
    <w:r w:rsidRPr="008D7CD6">
      <w:t>779.727</w:t>
    </w:r>
    <w:r w:rsidRPr="00B34733">
      <w:rPr>
        <w:rStyle w:val="HideTWBExt"/>
      </w:rPr>
      <w:t>&lt;/NoPE&gt;&lt;Version&gt;</w:t>
    </w:r>
    <w:r w:rsidRPr="008D7CD6">
      <w:t>v01-00</w:t>
    </w:r>
    <w:r w:rsidRPr="00B34733">
      <w:rPr>
        <w:rStyle w:val="HideTWBExt"/>
      </w:rPr>
      <w:t>&lt;/Version&gt;</w:t>
    </w:r>
    <w:r w:rsidRPr="008D7CD6">
      <w:tab/>
    </w:r>
    <w:r w:rsidRPr="008D7CD6">
      <w:fldChar w:fldCharType="begin"/>
    </w:r>
    <w:r w:rsidRPr="008D7CD6">
      <w:instrText xml:space="preserve"> PAGE  \* MERGEFORMAT </w:instrText>
    </w:r>
    <w:r w:rsidRPr="008D7CD6">
      <w:fldChar w:fldCharType="separate"/>
    </w:r>
    <w:r w:rsidRPr="008D7CD6">
      <w:rPr>
        <w:noProof/>
      </w:rPr>
      <w:t>1</w:t>
    </w:r>
    <w:r w:rsidRPr="008D7CD6">
      <w:fldChar w:fldCharType="end"/>
    </w:r>
    <w:r w:rsidRPr="008D7CD6">
      <w:t>/</w:t>
    </w:r>
    <w:fldSimple w:instr=" NUMPAGES  \* MERGEFORMAT ">
      <w:r w:rsidRPr="008D7CD6">
        <w:rPr>
          <w:noProof/>
        </w:rPr>
        <w:t>1</w:t>
      </w:r>
    </w:fldSimple>
    <w:r w:rsidRPr="008D7CD6">
      <w:tab/>
    </w:r>
    <w:r w:rsidRPr="00B34733">
      <w:rPr>
        <w:rStyle w:val="HideTWBExt"/>
      </w:rPr>
      <w:t>&lt;PathFdR&gt;</w:t>
    </w:r>
    <w:r w:rsidRPr="008D7CD6">
      <w:t>PR\1332449ES.docx</w:t>
    </w:r>
    <w:r w:rsidRPr="00B34733">
      <w:rPr>
        <w:rStyle w:val="HideTWBExt"/>
      </w:rPr>
      <w:t>&lt;/PathFdR&gt;</w:t>
    </w:r>
  </w:p>
  <w:p w14:paraId="565AD552" w14:textId="78925BC6" w:rsidR="00FB52FE" w:rsidRPr="008D7CD6" w:rsidRDefault="00071A4E" w:rsidP="00071A4E">
    <w:pPr>
      <w:pStyle w:val="EPFooter2"/>
    </w:pPr>
    <w:r w:rsidRPr="008D7CD6">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2AC9C" w14:textId="77777777" w:rsidR="00071A4E" w:rsidRPr="008D7CD6" w:rsidRDefault="00071A4E" w:rsidP="00071A4E">
    <w:pPr>
      <w:pStyle w:val="EPFooter"/>
    </w:pPr>
    <w:r w:rsidRPr="00B34733">
      <w:rPr>
        <w:rStyle w:val="HideTWBExt"/>
      </w:rPr>
      <w:t>&lt;PathFdR&gt;</w:t>
    </w:r>
    <w:r w:rsidRPr="008D7CD6">
      <w:t>PR\1332449ES.docx</w:t>
    </w:r>
    <w:r w:rsidRPr="00B34733">
      <w:rPr>
        <w:rStyle w:val="HideTWBExt"/>
      </w:rPr>
      <w:t>&lt;/PathFdR&gt;</w:t>
    </w:r>
    <w:r w:rsidRPr="008D7CD6">
      <w:tab/>
    </w:r>
    <w:r w:rsidRPr="008D7CD6">
      <w:fldChar w:fldCharType="begin"/>
    </w:r>
    <w:r w:rsidRPr="008D7CD6">
      <w:instrText xml:space="preserve"> PAGE  \* MERGEFORMAT </w:instrText>
    </w:r>
    <w:r w:rsidRPr="008D7CD6">
      <w:fldChar w:fldCharType="separate"/>
    </w:r>
    <w:r w:rsidRPr="008D7CD6">
      <w:rPr>
        <w:noProof/>
      </w:rPr>
      <w:t>1</w:t>
    </w:r>
    <w:r w:rsidRPr="008D7CD6">
      <w:fldChar w:fldCharType="end"/>
    </w:r>
    <w:r w:rsidRPr="008D7CD6">
      <w:t>/</w:t>
    </w:r>
    <w:fldSimple w:instr=" NUMPAGES  \* MERGEFORMAT ">
      <w:r w:rsidRPr="008D7CD6">
        <w:rPr>
          <w:noProof/>
        </w:rPr>
        <w:t>1</w:t>
      </w:r>
    </w:fldSimple>
    <w:r w:rsidRPr="008D7CD6">
      <w:tab/>
      <w:t>PE</w:t>
    </w:r>
    <w:r w:rsidRPr="00B34733">
      <w:rPr>
        <w:rStyle w:val="HideTWBExt"/>
      </w:rPr>
      <w:t>&lt;NoPE&gt;</w:t>
    </w:r>
    <w:r w:rsidRPr="008D7CD6">
      <w:t>779.727</w:t>
    </w:r>
    <w:r w:rsidRPr="00B34733">
      <w:rPr>
        <w:rStyle w:val="HideTWBExt"/>
      </w:rPr>
      <w:t>&lt;/NoPE&gt;&lt;Version&gt;</w:t>
    </w:r>
    <w:r w:rsidRPr="008D7CD6">
      <w:t>v01-00</w:t>
    </w:r>
    <w:r w:rsidRPr="00B34733">
      <w:rPr>
        <w:rStyle w:val="HideTWBExt"/>
      </w:rPr>
      <w:t>&lt;/Version&gt;</w:t>
    </w:r>
  </w:p>
  <w:p w14:paraId="5407F9A2" w14:textId="37FC2A68" w:rsidR="00FB52FE" w:rsidRPr="008D7CD6" w:rsidRDefault="00071A4E" w:rsidP="00071A4E">
    <w:pPr>
      <w:pStyle w:val="EPFooter2"/>
    </w:pPr>
    <w:r w:rsidRPr="008D7CD6">
      <w:tab/>
    </w:r>
    <w:r w:rsidRPr="008D7CD6">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3880F" w14:textId="77777777" w:rsidR="00071A4E" w:rsidRPr="008D7CD6" w:rsidRDefault="00071A4E" w:rsidP="00071A4E">
    <w:pPr>
      <w:pStyle w:val="EPFooter"/>
    </w:pPr>
    <w:r w:rsidRPr="00B34733">
      <w:rPr>
        <w:rStyle w:val="HideTWBExt"/>
      </w:rPr>
      <w:t>&lt;PathFdR&gt;</w:t>
    </w:r>
    <w:r w:rsidRPr="008D7CD6">
      <w:t>PR\1332449ES.docx</w:t>
    </w:r>
    <w:r w:rsidRPr="00B34733">
      <w:rPr>
        <w:rStyle w:val="HideTWBExt"/>
      </w:rPr>
      <w:t>&lt;/PathFdR&gt;</w:t>
    </w:r>
    <w:r w:rsidRPr="008D7CD6">
      <w:tab/>
    </w:r>
    <w:r w:rsidRPr="008D7CD6">
      <w:tab/>
      <w:t>PE</w:t>
    </w:r>
    <w:r w:rsidRPr="00B34733">
      <w:rPr>
        <w:rStyle w:val="HideTWBExt"/>
      </w:rPr>
      <w:t>&lt;NoPE&gt;</w:t>
    </w:r>
    <w:r w:rsidRPr="008D7CD6">
      <w:t>779.727</w:t>
    </w:r>
    <w:r w:rsidRPr="00B34733">
      <w:rPr>
        <w:rStyle w:val="HideTWBExt"/>
      </w:rPr>
      <w:t>&lt;/NoPE&gt;&lt;Version&gt;</w:t>
    </w:r>
    <w:r w:rsidRPr="008D7CD6">
      <w:t>v01-00</w:t>
    </w:r>
    <w:r w:rsidRPr="00B34733">
      <w:rPr>
        <w:rStyle w:val="HideTWBExt"/>
      </w:rPr>
      <w:t>&lt;/Version&gt;</w:t>
    </w:r>
  </w:p>
  <w:p w14:paraId="3F2C18AE" w14:textId="5D2D7036" w:rsidR="00FB52FE" w:rsidRPr="008D7CD6" w:rsidRDefault="00071A4E" w:rsidP="00071A4E">
    <w:pPr>
      <w:pStyle w:val="EPFooter2"/>
    </w:pPr>
    <w:r w:rsidRPr="008D7CD6">
      <w:t>ES</w:t>
    </w:r>
    <w:r w:rsidRPr="008D7CD6">
      <w:tab/>
    </w:r>
    <w:r w:rsidRPr="008D7CD6">
      <w:rPr>
        <w:b w:val="0"/>
        <w:i/>
        <w:color w:val="C0C0C0"/>
        <w:sz w:val="22"/>
      </w:rPr>
      <w:t>Unida en la diversidad</w:t>
    </w:r>
    <w:r w:rsidRPr="008D7CD6">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BE60F" w14:textId="77777777" w:rsidR="00B34733" w:rsidRPr="008D7CD6" w:rsidRDefault="00B34733">
      <w:r w:rsidRPr="008D7CD6">
        <w:separator/>
      </w:r>
    </w:p>
  </w:footnote>
  <w:footnote w:type="continuationSeparator" w:id="0">
    <w:p w14:paraId="384FB8EA" w14:textId="77777777" w:rsidR="00B34733" w:rsidRPr="008D7CD6" w:rsidRDefault="00B34733">
      <w:r w:rsidRPr="008D7CD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7BDFD" w14:textId="77777777" w:rsidR="00B34733" w:rsidRDefault="00B347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BFFE9" w14:textId="77777777" w:rsidR="00B34733" w:rsidRDefault="00B347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99599" w14:textId="77777777" w:rsidR="00B34733" w:rsidRDefault="00B347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012249105">
    <w:abstractNumId w:val="9"/>
  </w:num>
  <w:num w:numId="2" w16cid:durableId="482090733">
    <w:abstractNumId w:val="9"/>
  </w:num>
  <w:num w:numId="3" w16cid:durableId="1784616396">
    <w:abstractNumId w:val="7"/>
  </w:num>
  <w:num w:numId="4" w16cid:durableId="1071658609">
    <w:abstractNumId w:val="7"/>
  </w:num>
  <w:num w:numId="5" w16cid:durableId="634870255">
    <w:abstractNumId w:val="6"/>
  </w:num>
  <w:num w:numId="6" w16cid:durableId="937296233">
    <w:abstractNumId w:val="6"/>
  </w:num>
  <w:num w:numId="7" w16cid:durableId="354891801">
    <w:abstractNumId w:val="5"/>
  </w:num>
  <w:num w:numId="8" w16cid:durableId="712661011">
    <w:abstractNumId w:val="5"/>
  </w:num>
  <w:num w:numId="9" w16cid:durableId="1798447332">
    <w:abstractNumId w:val="4"/>
  </w:num>
  <w:num w:numId="10" w16cid:durableId="1359546041">
    <w:abstractNumId w:val="4"/>
  </w:num>
  <w:num w:numId="11" w16cid:durableId="286739100">
    <w:abstractNumId w:val="8"/>
  </w:num>
  <w:num w:numId="12" w16cid:durableId="433087332">
    <w:abstractNumId w:val="8"/>
  </w:num>
  <w:num w:numId="13" w16cid:durableId="1318221053">
    <w:abstractNumId w:val="3"/>
  </w:num>
  <w:num w:numId="14" w16cid:durableId="1989824097">
    <w:abstractNumId w:val="3"/>
  </w:num>
  <w:num w:numId="15" w16cid:durableId="410201177">
    <w:abstractNumId w:val="2"/>
  </w:num>
  <w:num w:numId="16" w16cid:durableId="165903694">
    <w:abstractNumId w:val="2"/>
  </w:num>
  <w:num w:numId="17" w16cid:durableId="558131492">
    <w:abstractNumId w:val="1"/>
  </w:num>
  <w:num w:numId="18" w16cid:durableId="1455444230">
    <w:abstractNumId w:val="1"/>
  </w:num>
  <w:num w:numId="19" w16cid:durableId="1298532633">
    <w:abstractNumId w:val="0"/>
  </w:num>
  <w:num w:numId="20" w16cid:durableId="520707089">
    <w:abstractNumId w:val="0"/>
  </w:num>
  <w:num w:numId="21" w16cid:durableId="479200254">
    <w:abstractNumId w:val="9"/>
  </w:num>
  <w:num w:numId="22" w16cid:durableId="1890142823">
    <w:abstractNumId w:val="7"/>
  </w:num>
  <w:num w:numId="23" w16cid:durableId="369846418">
    <w:abstractNumId w:val="6"/>
  </w:num>
  <w:num w:numId="24" w16cid:durableId="54746035">
    <w:abstractNumId w:val="5"/>
  </w:num>
  <w:num w:numId="25" w16cid:durableId="802769048">
    <w:abstractNumId w:val="4"/>
  </w:num>
  <w:num w:numId="26" w16cid:durableId="259485001">
    <w:abstractNumId w:val="8"/>
  </w:num>
  <w:num w:numId="27" w16cid:durableId="2120366802">
    <w:abstractNumId w:val="3"/>
  </w:num>
  <w:num w:numId="28" w16cid:durableId="857807">
    <w:abstractNumId w:val="2"/>
  </w:num>
  <w:num w:numId="29" w16cid:durableId="241305869">
    <w:abstractNumId w:val="1"/>
  </w:num>
  <w:num w:numId="30" w16cid:durableId="1069575964">
    <w:abstractNumId w:val="0"/>
  </w:num>
  <w:num w:numId="31" w16cid:durableId="486945398">
    <w:abstractNumId w:val="9"/>
  </w:num>
  <w:num w:numId="32" w16cid:durableId="1355037332">
    <w:abstractNumId w:val="7"/>
  </w:num>
  <w:num w:numId="33" w16cid:durableId="1854490311">
    <w:abstractNumId w:val="6"/>
  </w:num>
  <w:num w:numId="34" w16cid:durableId="763109996">
    <w:abstractNumId w:val="5"/>
  </w:num>
  <w:num w:numId="35" w16cid:durableId="2029478797">
    <w:abstractNumId w:val="4"/>
  </w:num>
  <w:num w:numId="36" w16cid:durableId="975767648">
    <w:abstractNumId w:val="8"/>
  </w:num>
  <w:num w:numId="37" w16cid:durableId="1539900070">
    <w:abstractNumId w:val="3"/>
  </w:num>
  <w:num w:numId="38" w16cid:durableId="171072705">
    <w:abstractNumId w:val="2"/>
  </w:num>
  <w:num w:numId="39" w16cid:durableId="1961260997">
    <w:abstractNumId w:val="1"/>
  </w:num>
  <w:num w:numId="40" w16cid:durableId="1300068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CJMNU" w:val="1"/>
    <w:docVar w:name="COMKEY" w:val="INTA"/>
    <w:docVar w:name="CopyToNetwork" w:val="-1"/>
    <w:docVar w:name="CVar" w:val="20"/>
    <w:docVar w:name="DOCDT" w:val="19/11/2025"/>
    <w:docVar w:name="DOCMNU" w:val=" 1"/>
    <w:docVar w:name="EPOJMNU" w:val=" 3"/>
    <w:docVar w:name="EPSTATMNU" w:val=" 1"/>
    <w:docVar w:name="EPSTATPLURMNU" w:val=" 1"/>
    <w:docVar w:name="EVABUDGMNU" w:val=" 2"/>
    <w:docVar w:name="iNoAmend" w:val="20"/>
    <w:docVar w:name="INSTITUTIONSMNU" w:val=" 1"/>
    <w:docVar w:name="JURI1MNU" w:val=" 1"/>
    <w:docVar w:name="JURI2MNU" w:val=" 2"/>
    <w:docVar w:name="LastEditedSection" w:val=" 1"/>
    <w:docVar w:name="ORLANGKEY" w:val="EN"/>
    <w:docVar w:name="ORLANGMNU"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95097 HideTWBExt;}{\*\cs18 \additive \v\f1\fs20\cf15 _x000d__x000a_\spriority0 \styrsid11295097 HideTWBInt;}{\s19\ql \li0\ri0\sa120\nowidctlpar\wrapdefault\aspalpha\aspnum\faauto\adjustright\rin0\lin0\itap0 \rtlch\fcs1 \af0\afs20\alang1025 \ltrch\fcs0 \fs24\lang2057\langfe2057\cgrid\langnp2057\langfenp2057 _x000d__x000a_\sbasedon0 \snext19 \spriority0 \styrsid11295097 Normal6a;}{\s20\ql \li0\ri0\nowidctlpar\wrapdefault\aspalpha\aspnum\faauto\adjustright\rin0\lin0\itap0 \rtlch\fcs1 \af0\afs20\alang1025 \ltrch\fcs0 \b\fs24\lang2057\langfe2057\cgrid\langnp2057\langfenp2057 _x000d__x000a_\sbasedon0 \snext20 \spriority0 \styrsid11295097 NormalBold;}{\s21\ql \li0\ri0\sa240\nowidctlpar\wrapdefault\aspalpha\aspnum\faauto\adjustright\rin0\lin0\itap0 \rtlch\fcs1 \af0\afs20\alang1025 \ltrch\fcs0 _x000d__x000a_\i\fs24\lang2057\langfe2057\cgrid\langnp2057\langfenp2057 \sbasedon0 \snext21 \spriority0 \styrsid11295097 AmJustText;}{\s22\qc \li0\ri0\sb240\sa240\nowidctlpar\wrapdefault\aspalpha\aspnum\faauto\adjustright\rin0\lin0\itap0 \rtlch\fcs1 _x000d__x000a_\af0\afs20\alang1025 \ltrch\fcs0 \i\fs24\lang2057\langfe2057\cgrid\langnp2057\langfenp2057 \sbasedon0 \snext22 \spriority0 \styrsid11295097 AmCrossRef;}{_x000d__x000a_\s23\qc \li0\ri0\sb240\sa240\keepn\nowidctlpar\wrapdefault\aspalpha\aspnum\faauto\adjustright\rin0\lin0\itap0 \rtlch\fcs1 \af0\afs20\alang1025 \ltrch\fcs0 \i\fs24\lang2057\langfe2057\cgrid\langnp2057\langfenp2057 _x000d__x000a_\sbasedon0 \snext21 \spriority0 \styrsid11295097 AmJustTitle;}{\s24\qr \li0\ri0\sb240\sa240\nowidctlpar\wrapdefault\aspalpha\aspnum\faauto\adjustright\rin0\lin0\itap0 \rtlch\fcs1 \af0\afs20\alang1025 \ltrch\fcs0 _x000d__x000a_\fs24\lang2057\langfe2057\cgrid\langnp2057\langfenp2057 \sbasedon0 \snext24 \spriority0 \styrsid11295097 AmOrLang;}{\s25\qc \li0\ri0\sa240\nowidctlpar\wrapdefault\aspalpha\aspnum\faauto\adjustright\rin0\lin0\itap0 \rtlch\fcs1 \af0\afs20\alang1025 _x000d__x000a_\ltrch\fcs0 \i\fs24\lang2057\langfe2057\cgrid\langnp2057\langfenp2057 \sbasedon0 \snext25 \spriority0 \styrsid1129509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295097 AmNumberTabs;}{\s27\ql \li0\ri0\sb240\nowidctlpar\wrapdefault\aspalpha\aspnum\faauto\adjustright\rin0\lin0\itap0 \rtlch\fcs1 _x000d__x000a_\af0\afs20\alang1025 \ltrch\fcs0 \b\fs24\lang2057\langfe2057\cgrid\langnp2057\langfenp2057 \sbasedon0 \snext27 \spriority0 \styrsid11295097 NormalBold12b;}}{\*\rsidtbl \rsid24658\rsid223860\rsid735077\rsid1718133\rsid2892074\rsid2964757\rsid3565327_x000d__x000a_\rsid4666813\rsid6641733\rsid7823322\rsid9636012\rsid10377208\rsid11215221\rsid11295097\rsid11549030\rsid11880089\rsid12154954\rsid14382809\rsid14424199\rsid15204470\rsid15285974\rsid15950462\rsid16324206\rsid16662270}{\mmathPr\mmathFont34\mbrkBin0_x000d__x000a_\mbrkBinSub0\msmallFrac0\mdispDef1\mlMargin0\mrMargin0\mdefJc1\mwrapIndent1440\mintLim0\mnaryLim1}{\info{\author WINGELINCKX Aurelie}{\operator WINGELINCKX Aurelie}{\creatim\yr2025\mo11\dy19\hr15\min52}{\revtim\yr2025\mo11\dy19\hr15\min52}{\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95097\newtblstyruls\nogrowautofit\usenormstyforlist\noindnmbrts\felnbrelev\nocxsptable\indrlsweleven\noafcnsttbl\afelev\utinl\hwelev\spltpgpar\notcvasp\notbrkcnstfrctbl\notvatxbx\krnprsnet\cachedcolbal _x000d__x000a_\nouicompat \fet0{\*\wgrffmtfilter 013f}\nofeaturethrottle1\ilfomacatclnup0{\*\template C:\\Users\\AWINGE~1\\AppData\\Local\\Temp\\Blank1.dotx}{\*\ftnsep \ltrpar \pard\plain \ltrpar_x000d__x000a_\ql \li0\ri0\widctlpar\wrapdefault\aspalpha\aspnum\faauto\adjustright\rin0\lin0\itap0 \rtlch\fcs1 \af0\afs20\alang1025 \ltrch\fcs0 \fs24\lang2057\langfe2057\cgrid\langnp2057\langfenp2057 {\rtlch\fcs1 \af0 \ltrch\fcs0 \insrsid2964757 \chftnsep _x000d__x000a_\par }}{\*\ftnsepc \ltrpar \pard\plain \ltrpar\ql \li0\ri0\widctlpar\wrapdefault\aspalpha\aspnum\faauto\adjustright\rin0\lin0\itap0 \rtlch\fcs1 \af0\afs20\alang1025 \ltrch\fcs0 \fs24\lang2057\langfe2057\cgrid\langnp2057\langfenp2057 {\rtlch\fcs1 \af0 _x000d__x000a_\ltrch\fcs0 \insrsid2964757 \chftnsepc _x000d__x000a_\par }}{\*\aftnsep \ltrpar \pard\plain \ltrpar\ql \li0\ri0\widctlpar\wrapdefault\aspalpha\aspnum\faauto\adjustright\rin0\lin0\itap0 \rtlch\fcs1 \af0\afs20\alang1025 \ltrch\fcs0 \fs24\lang2057\langfe2057\cgrid\langnp2057\langfenp2057 {\rtlch\fcs1 \af0 _x000d__x000a_\ltrch\fcs0 \insrsid2964757 \chftnsep _x000d__x000a_\par }}{\*\aftnsepc \ltrpar \pard\plain \ltrpar\ql \li0\ri0\widctlpar\wrapdefault\aspalpha\aspnum\faauto\adjustright\rin0\lin0\itap0 \rtlch\fcs1 \af0\afs20\alang1025 \ltrch\fcs0 \fs24\lang2057\langfe2057\cgrid\langnp2057\langfenp2057 {\rtlch\fcs1 \af0 _x000d__x000a_\ltrch\fcs0 \insrsid29647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1295097\charrsid11338453 {\*\bkmkstart restart}_x000d__x000a_\hich\af1\dbch\af31501\loch\f1 &lt;Amend&gt;}{\rtlch\fcs1 \af0 \ltrch\fcs0 \insrsid11295097\charrsid11338453 Amendment\tab \tab }{\rtlch\fcs1 \af0 \ltrch\fcs0 _x000d__x000a_\cs17\b0\v\fs20\cf9\lang1024\langfe1024\loch\af1\hich\af1\dbch\af31501\noproof\insrsid11295097\charrsid11338453 \hich\af1\dbch\af31501\loch\f1 &lt;NumAm&gt;}{\rtlch\fcs1 \af0 \ltrch\fcs0 \insrsid11295097\charrsid11338453 #}{\rtlch\fcs1 \af1 \ltrch\fcs0 _x000d__x000a_\cs18\v\f1\fs20\cf15\insrsid11295097\charrsid11338453 ENMIENDA@NRAM@}{\rtlch\fcs1 \af0 \ltrch\fcs0 \insrsid11295097\charrsid11338453 #}{\rtlch\fcs1 \af0 \ltrch\fcs0 _x000d__x000a_\cs17\b0\v\fs20\cf9\lang1024\langfe1024\loch\af1\hich\af1\dbch\af31501\noproof\insrsid11295097\charrsid11338453 \hich\af1\dbch\af31501\loch\f1 &lt;/NumAm&gt;}{\rtlch\fcs1 \af0 \ltrch\fcs0 \insrsid11295097\charrsid1133845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1295097\charrsid11338453 \hich\af1\dbch\af31501\loch\f1 &lt;DocAmend&gt;}{\rtlch\fcs1 \af0 \ltrch\fcs0 \insrsid11295097\charrsid11338453 _x000d__x000a_Proposal for a #}{\rtlch\fcs1 \af1 \ltrch\fcs0 \cs18\v\f1\fs20\cf15\insrsid11295097\charrsid11338453 MNU[DOC1][DOC2][DOC3]@DOCMSG@DOCMNU}{\rtlch\fcs1 \af0 \ltrch\fcs0 \insrsid11295097\charrsid11338453 ##}{\rtlch\fcs1 \af1 \ltrch\fcs0 _x000d__x000a_\cs18\v\f1\fs20\cf15\insrsid11295097\charrsid11338453 MNU[AMACTYES][NOTAPP]@CHOICE@AMACTMNU}{\rtlch\fcs1 \af0 \ltrch\fcs0 \insrsid11295097\charrsid11338453 #}{\rtlch\fcs1 \af0 \ltrch\fcs0 _x000d__x000a_\cs17\b0\v\fs20\cf9\lang1024\langfe1024\loch\af1\hich\af1\dbch\af31501\noproof\insrsid11295097\charrsid11338453 \hich\af1\dbch\af31501\loch\f1 &lt;/DocAmend&gt;}{\rtlch\fcs1 \af0 \ltrch\fcs0 \insrsid11295097\charrsid1133845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1295097\charrsid11338453 \hich\af1\dbch\af31501\loch\f1 &lt;Article&gt;}{\rtlch\fcs1 \af0 \ltrch\fcs0 \insrsid11295097\charrsid11338453 #}{\rtlch\fcs1 \af1 _x000d__x000a_\ltrch\fcs0 \cs18\v\f1\fs20\cf15\insrsid11295097\charrsid11338453 MNU[AMACTPARTYES][AMACTPARTNO]@CHOICE@AMACTMNU}{\rtlch\fcs1 \af0 \ltrch\fcs0 \insrsid11295097\charrsid11338453 #}{\rtlch\fcs1 \af0 \ltrch\fcs0 _x000d__x000a_\cs17\b0\v\fs20\cf9\lang1024\langfe1024\loch\af1\hich\af1\dbch\af31501\noproof\insrsid11295097\charrsid11338453 \hich\af1\dbch\af31501\loch\f1 &lt;/Article&gt;}{\rtlch\fcs1 \af0 \ltrch\fcs0 \insrsid11295097\charrsid1133845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1295097\charrsid11338453 \hich\af1\dbch\af31501\loch\f1 &lt;DocAmend2&gt;&lt;OptDel&gt;}{\rtlch\fcs1 \af0 \ltrch\fcs0 \insrsid11295097\charrsid11338453 #}{\rtlch\fcs1 _x000d__x000a_\af1 \ltrch\fcs0 \cs18\v\f1\fs20\cf15\insrsid11295097\charrsid11338453 MNU[OPTNRACTYES][NOTAPP]@CHOICE@AMACTMNU}{\rtlch\fcs1 \af0 \ltrch\fcs0 \insrsid11295097\charrsid11338453 #}{\rtlch\fcs1 \af0 \ltrch\fcs0 _x000d__x000a_\cs17\v\fs20\cf9\lang1024\langfe1024\loch\af1\hich\af1\dbch\af31501\noproof\insrsid11295097\charrsid11338453 \hich\af1\dbch\af31501\loch\f1 &lt;/OptDel&gt;&lt;/DocAmend2&gt;}{\rtlch\fcs1 \af0 \ltrch\fcs0 \insrsid11295097\charrsid11338453 _x000d__x000a_\par }\pard \ltrpar\ql \li0\ri0\widctlpar\wrapdefault\aspalpha\aspnum\faauto\adjustright\rin0\lin0\itap0\pararsid2517430 {\rtlch\fcs1 \af0 \ltrch\fcs0 \cs17\v\fs20\cf9\lang1024\langfe1024\loch\af1\hich\af1\dbch\af31501\noproof\insrsid11295097\charrsid11338453 _x000d__x000a_\hich\af1\dbch\af31501\loch\f1 &lt;Article2&gt;&lt;OptDel&gt;}{\rtlch\fcs1 \af0 \ltrch\fcs0 \insrsid11295097\charrsid11338453 #}{\rtlch\fcs1 \af1 \ltrch\fcs0 \cs18\v\f1\fs20\cf15\insrsid11295097\charrsid11338453 MNU[OPTACTPARTYES][NOTAPP]@CHOICE@AMACTMNU}{_x000d__x000a_\rtlch\fcs1 \af0 \ltrch\fcs0 \insrsid11295097\charrsid11338453 #}{\rtlch\fcs1 \af0 \ltrch\fcs0 \cs17\v\fs20\cf9\lang1024\langfe1024\loch\af1\hich\af1\dbch\af31501\noproof\insrsid11295097\charrsid11338453 \hich\af1\dbch\af31501\loch\f1 &lt;/OptDel&gt;&lt;/Article2&gt;_x000d__x000a_}{\rtlch\fcs1 \af0 \ltrch\fcs0 \insrsid11295097\charrsid1133845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1295097\charrsid11338453 \cell }\pard\plain \ltrpar\ql \li0\ri0\widctlpar\intbl\wrapdefault\aspalpha\aspnum\faauto\adjustright\rin0\lin0 \rtlch\fcs1 _x000d__x000a_\af0\afs20\alang1025 \ltrch\fcs0 \fs24\lang2057\langfe2057\cgrid\langnp2057\langfenp2057 {\rtlch\fcs1 \af0 \ltrch\fcs0 \insrsid11295097\charrsid1133845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1295097\charrsid11338453 #}{\rtlch\fcs1 \af1 \ltrch\fcs0 \cs18\v\f1\fs20\cf15\insrsid11295097\charrsid11338453 MNU[OPTLEFTAMACT][LEFTPROP]@CHOICE@AMACTMNU}{_x000d__x000a_\rtlch\fcs1 \af0 \ltrch\fcs0 \insrsid11295097\charrsid11338453 #\cell Amendment\cell }\pard\plain \ltrpar\ql \li0\ri0\widctlpar\intbl\wrapdefault\aspalpha\aspnum\faauto\adjustright\rin0\lin0 \rtlch\fcs1 \af0\afs20\alang1025 \ltrch\fcs0 _x000d__x000a_\fs24\lang2057\langfe2057\cgrid\langnp2057\langfenp2057 {\rtlch\fcs1 \af0 \ltrch\fcs0 \insrsid11295097\charrsid1133845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1295097\charrsid11338453 ##\cell ##}{\rtlch\fcs1 \af0\afs24 \ltrch\fcs0 \insrsid11295097\charrsid11338453 \cell }\pard\plain \ltrpar\ql \li0\ri0\widctlpar\intbl\wrapdefault\aspalpha\aspnum\faauto\adjustright\rin0\lin0 \rtlch\fcs1 _x000d__x000a_\af0\afs20\alang1025 \ltrch\fcs0 \fs24\lang2057\langfe2057\cgrid\langnp2057\langfenp2057 {\rtlch\fcs1 \af0 \ltrch\fcs0 \insrsid11295097\charrsid1133845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1295097\charrsid11338453 Or. }{\rtlch\fcs1 \af0 \ltrch\fcs0 \cs17\v\fs20\cf9\lang1024\langfe1024\loch\af1\hich\af1\dbch\af31501\noproof\insrsid11295097\charrsid11338453 \hich\af1\dbch\af31501\loch\f1 &lt;Original&gt;}{\rtlch\fcs1 \af0 \ltrch\fcs0 _x000d__x000a_\insrsid11295097\charrsid11338453 #}{\rtlch\fcs1 \af1 \ltrch\fcs0 \cs18\v\f1\fs20\cf15\insrsid11295097\charrsid11338453 MNU[ORLANGONE][ORLANGMORE]@CHOICE@ORLANGMNU}{\rtlch\fcs1 \af0 \ltrch\fcs0 \insrsid11295097\charrsid11338453 #}{\rtlch\fcs1 \af0 _x000d__x000a_\ltrch\fcs0 \cs17\v\fs20\cf9\lang1024\langfe1024\loch\af1\hich\af1\dbch\af31501\noproof\insrsid11295097\charrsid11338453 \hich\af1\dbch\af31501\loch\f1 &lt;/Original&gt;}{\rtlch\fcs1 \af0 \ltrch\fcs0 \insrsid11295097\charrsid1133845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295097\charrsid11338453 \hich\af1\dbch\af31501\loch\f1 &lt;OptDel&gt;}{\rtlch\fcs1 \af0 \ltrch\fcs0 \insrsid11295097\charrsid11338453 #}{_x000d__x000a_\rtlch\fcs1 \af1 \ltrch\fcs0 \cs18\v\f1\fs20\cf15\insrsid11295097\charrsid11338453 MNU[CROSSREFNO][CROSSREFYES]@CHOICE@}{\rtlch\fcs1 \af0 \ltrch\fcs0 \insrsid11295097\charrsid11338453 #}{\rtlch\fcs1 \af0 \ltrch\fcs0 _x000d__x000a_\cs17\i0\v\fs20\cf9\lang1024\langfe1024\loch\af1\hich\af1\dbch\af31501\noproof\insrsid11295097\charrsid11338453 \hich\af1\dbch\af31501\loch\f1 &lt;/OptDel&gt;}{\rtlch\fcs1 \af0 \ltrch\fcs0 \insrsid11295097\charrsid1133845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295097\charrsid11338453 \hich\af1\dbch\af31501\loch\f1 &lt;TitreJust&gt;}{\rtlch\fcs1 \af0 \ltrch\fcs0 \insrsid11295097\charrsid11338453 _x000d__x000a_Justification}{\rtlch\fcs1 \af0 \ltrch\fcs0 \cs17\i0\v\fs20\cf9\lang1024\langfe1024\loch\af1\hich\af1\dbch\af31501\noproof\insrsid11295097\charrsid11338453 \hich\af1\dbch\af31501\loch\f1 &lt;/TitreJust&gt;}{\rtlch\fcs1 \af0 \ltrch\fcs0 _x000d__x000a_\insrsid11295097\charrsid1133845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1295097\charrsid11338453 \hich\af1\dbch\af31501\loch\f1 &lt;OptDelPrev&gt;}{\rtlch\fcs1 \af0 \ltrch\fcs0 \insrsid11295097\charrsid11338453 #}{\rtlch\fcs1 \af1 _x000d__x000a_\ltrch\fcs0 \cs18\v\f1\fs20\cf15\insrsid11295097\charrsid11338453 MNU[TEXTJUSTYES][TEXTJUSTNO]@CHOICE@}{\rtlch\fcs1 \af0 \ltrch\fcs0 \insrsid11295097\charrsid11338453 #}{\rtlch\fcs1 \af0 \ltrch\fcs0 _x000d__x000a_\cs17\i0\v\fs20\cf9\lang1024\langfe1024\loch\af1\hich\af1\dbch\af31501\noproof\insrsid11295097\charrsid11338453 \hich\af1\dbch\af31501\loch\f1 &lt;/OptDelPrev&gt;}{\rtlch\fcs1 \af0 \ltrch\fcs0 \insrsid11295097\charrsid1133845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295097\charrsid1133845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8_x000d__x000a_1d2f645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2"/>
    <w:docVar w:name="TVTACTPART" w:val="X"/>
    <w:docVar w:name="TVTAMACTPART" w:val="X"/>
    <w:docVar w:name="TXTLANGUE" w:val="ES"/>
    <w:docVar w:name="TXTLANGUEMIN" w:val="es"/>
    <w:docVar w:name="TXTNRC" w:val="0245/2025"/>
    <w:docVar w:name="TXTNRCOD" w:val="2025/0726"/>
    <w:docVar w:name="TXTNRCOM" w:val="(2025)0726"/>
    <w:docVar w:name="TXTNRFIRSTAM" w:val="1"/>
    <w:docVar w:name="TXTNRLASTAM" w:val="20"/>
    <w:docVar w:name="TXTNRPE" w:val="779.727"/>
    <w:docVar w:name="TXTNRREG" w:val="X"/>
    <w:docVar w:name="TXTPEorAP" w:val="PE"/>
    <w:docVar w:name="TXTROUTE" w:val="PR\1332449ES.docx"/>
    <w:docVar w:name="TXTTITLE" w:val="addressing the negative trade-related effects of global overcapacity on the Union steel market"/>
    <w:docVar w:name="TXTVERSION" w:val="01-00"/>
  </w:docVars>
  <w:rsids>
    <w:rsidRoot w:val="00AD02D5"/>
    <w:rsid w:val="00011AAB"/>
    <w:rsid w:val="00012351"/>
    <w:rsid w:val="000139E5"/>
    <w:rsid w:val="000602E6"/>
    <w:rsid w:val="00071A4E"/>
    <w:rsid w:val="00084DD2"/>
    <w:rsid w:val="00084E89"/>
    <w:rsid w:val="0008504A"/>
    <w:rsid w:val="000B62B6"/>
    <w:rsid w:val="000B7489"/>
    <w:rsid w:val="000E460D"/>
    <w:rsid w:val="000F1096"/>
    <w:rsid w:val="000F41C8"/>
    <w:rsid w:val="00114A73"/>
    <w:rsid w:val="00114BA4"/>
    <w:rsid w:val="00120948"/>
    <w:rsid w:val="0012376A"/>
    <w:rsid w:val="00123DD5"/>
    <w:rsid w:val="001277AE"/>
    <w:rsid w:val="00142215"/>
    <w:rsid w:val="001449B2"/>
    <w:rsid w:val="001767E2"/>
    <w:rsid w:val="00187008"/>
    <w:rsid w:val="001B3829"/>
    <w:rsid w:val="001C31B5"/>
    <w:rsid w:val="001C5592"/>
    <w:rsid w:val="001C5B44"/>
    <w:rsid w:val="001C6FFC"/>
    <w:rsid w:val="001F7C7C"/>
    <w:rsid w:val="00212B84"/>
    <w:rsid w:val="002346B0"/>
    <w:rsid w:val="002667C3"/>
    <w:rsid w:val="002669B6"/>
    <w:rsid w:val="00281494"/>
    <w:rsid w:val="00290BED"/>
    <w:rsid w:val="002D13EE"/>
    <w:rsid w:val="002E33EE"/>
    <w:rsid w:val="002F40BB"/>
    <w:rsid w:val="002F4B02"/>
    <w:rsid w:val="00305CD9"/>
    <w:rsid w:val="00323EF8"/>
    <w:rsid w:val="003316DD"/>
    <w:rsid w:val="003506ED"/>
    <w:rsid w:val="00366A46"/>
    <w:rsid w:val="00370AC3"/>
    <w:rsid w:val="003824EE"/>
    <w:rsid w:val="00395C28"/>
    <w:rsid w:val="003A6B9D"/>
    <w:rsid w:val="003B4689"/>
    <w:rsid w:val="003C2068"/>
    <w:rsid w:val="003C37CF"/>
    <w:rsid w:val="004100B1"/>
    <w:rsid w:val="00426E47"/>
    <w:rsid w:val="00455743"/>
    <w:rsid w:val="00457217"/>
    <w:rsid w:val="00461601"/>
    <w:rsid w:val="0046423D"/>
    <w:rsid w:val="00491D61"/>
    <w:rsid w:val="004C0915"/>
    <w:rsid w:val="004D424E"/>
    <w:rsid w:val="004E42C8"/>
    <w:rsid w:val="004E733D"/>
    <w:rsid w:val="004F3FA5"/>
    <w:rsid w:val="0051271F"/>
    <w:rsid w:val="00512875"/>
    <w:rsid w:val="00521F46"/>
    <w:rsid w:val="00522F4C"/>
    <w:rsid w:val="005233AC"/>
    <w:rsid w:val="00551111"/>
    <w:rsid w:val="00551123"/>
    <w:rsid w:val="00556052"/>
    <w:rsid w:val="00570A6A"/>
    <w:rsid w:val="00586E50"/>
    <w:rsid w:val="005874C8"/>
    <w:rsid w:val="0059583D"/>
    <w:rsid w:val="005A42D9"/>
    <w:rsid w:val="005C2BEF"/>
    <w:rsid w:val="005D1A99"/>
    <w:rsid w:val="005D7609"/>
    <w:rsid w:val="005D7EE8"/>
    <w:rsid w:val="005F3DDA"/>
    <w:rsid w:val="00642325"/>
    <w:rsid w:val="006644D3"/>
    <w:rsid w:val="0069092A"/>
    <w:rsid w:val="006A2F5D"/>
    <w:rsid w:val="006C3E5B"/>
    <w:rsid w:val="006D6CEA"/>
    <w:rsid w:val="006E3477"/>
    <w:rsid w:val="006F7907"/>
    <w:rsid w:val="00704B45"/>
    <w:rsid w:val="007153C7"/>
    <w:rsid w:val="00717AC1"/>
    <w:rsid w:val="00743189"/>
    <w:rsid w:val="00743D33"/>
    <w:rsid w:val="00747B31"/>
    <w:rsid w:val="00766143"/>
    <w:rsid w:val="00775BAF"/>
    <w:rsid w:val="0078303A"/>
    <w:rsid w:val="0078542A"/>
    <w:rsid w:val="007868BE"/>
    <w:rsid w:val="00790098"/>
    <w:rsid w:val="007932B3"/>
    <w:rsid w:val="00793EA9"/>
    <w:rsid w:val="007D6F68"/>
    <w:rsid w:val="00823E6B"/>
    <w:rsid w:val="00825DB5"/>
    <w:rsid w:val="00826780"/>
    <w:rsid w:val="00837CCD"/>
    <w:rsid w:val="00852F28"/>
    <w:rsid w:val="00860FE1"/>
    <w:rsid w:val="008633CC"/>
    <w:rsid w:val="00865190"/>
    <w:rsid w:val="008719B9"/>
    <w:rsid w:val="00894923"/>
    <w:rsid w:val="00894ECE"/>
    <w:rsid w:val="00896BB4"/>
    <w:rsid w:val="008A7FB8"/>
    <w:rsid w:val="008D1F6E"/>
    <w:rsid w:val="008D7C88"/>
    <w:rsid w:val="008D7CD6"/>
    <w:rsid w:val="008F3E90"/>
    <w:rsid w:val="009022B8"/>
    <w:rsid w:val="00914537"/>
    <w:rsid w:val="00917CC4"/>
    <w:rsid w:val="00926BC2"/>
    <w:rsid w:val="009763DA"/>
    <w:rsid w:val="00980FA3"/>
    <w:rsid w:val="009975B3"/>
    <w:rsid w:val="009A216D"/>
    <w:rsid w:val="009A2BF2"/>
    <w:rsid w:val="009B4B93"/>
    <w:rsid w:val="009C6D58"/>
    <w:rsid w:val="009D6D7A"/>
    <w:rsid w:val="009F24BE"/>
    <w:rsid w:val="009F6C2F"/>
    <w:rsid w:val="009F767A"/>
    <w:rsid w:val="00A22533"/>
    <w:rsid w:val="00A26F46"/>
    <w:rsid w:val="00A33C6B"/>
    <w:rsid w:val="00A34FD3"/>
    <w:rsid w:val="00A36929"/>
    <w:rsid w:val="00A4311F"/>
    <w:rsid w:val="00A50548"/>
    <w:rsid w:val="00A60EE7"/>
    <w:rsid w:val="00A75528"/>
    <w:rsid w:val="00A910C9"/>
    <w:rsid w:val="00AA35B0"/>
    <w:rsid w:val="00AD02D5"/>
    <w:rsid w:val="00AD18C8"/>
    <w:rsid w:val="00AD7FA6"/>
    <w:rsid w:val="00AE4643"/>
    <w:rsid w:val="00AF0416"/>
    <w:rsid w:val="00AF3851"/>
    <w:rsid w:val="00B00C12"/>
    <w:rsid w:val="00B10CB4"/>
    <w:rsid w:val="00B13D6F"/>
    <w:rsid w:val="00B23B72"/>
    <w:rsid w:val="00B34733"/>
    <w:rsid w:val="00B42702"/>
    <w:rsid w:val="00B54699"/>
    <w:rsid w:val="00B54EAF"/>
    <w:rsid w:val="00B57B8B"/>
    <w:rsid w:val="00B7127A"/>
    <w:rsid w:val="00B71A3C"/>
    <w:rsid w:val="00B85407"/>
    <w:rsid w:val="00B91827"/>
    <w:rsid w:val="00B95702"/>
    <w:rsid w:val="00BA06C3"/>
    <w:rsid w:val="00BC6489"/>
    <w:rsid w:val="00BD480C"/>
    <w:rsid w:val="00C16F5A"/>
    <w:rsid w:val="00C20954"/>
    <w:rsid w:val="00C23324"/>
    <w:rsid w:val="00C42A41"/>
    <w:rsid w:val="00C47E74"/>
    <w:rsid w:val="00C57A72"/>
    <w:rsid w:val="00C72246"/>
    <w:rsid w:val="00C73602"/>
    <w:rsid w:val="00C85D0F"/>
    <w:rsid w:val="00CA19C7"/>
    <w:rsid w:val="00CB0C91"/>
    <w:rsid w:val="00CC08BE"/>
    <w:rsid w:val="00CC35DB"/>
    <w:rsid w:val="00CF60C8"/>
    <w:rsid w:val="00D141E7"/>
    <w:rsid w:val="00D30DE2"/>
    <w:rsid w:val="00D32924"/>
    <w:rsid w:val="00D36718"/>
    <w:rsid w:val="00D503A3"/>
    <w:rsid w:val="00D50F07"/>
    <w:rsid w:val="00D64870"/>
    <w:rsid w:val="00DA6ED0"/>
    <w:rsid w:val="00DC5011"/>
    <w:rsid w:val="00DF5FE5"/>
    <w:rsid w:val="00E171B6"/>
    <w:rsid w:val="00E62345"/>
    <w:rsid w:val="00E72695"/>
    <w:rsid w:val="00E80C41"/>
    <w:rsid w:val="00EA7A1E"/>
    <w:rsid w:val="00EB1753"/>
    <w:rsid w:val="00EB6CFF"/>
    <w:rsid w:val="00EE3996"/>
    <w:rsid w:val="00EF6177"/>
    <w:rsid w:val="00F0185B"/>
    <w:rsid w:val="00F07062"/>
    <w:rsid w:val="00F23CFC"/>
    <w:rsid w:val="00F433E2"/>
    <w:rsid w:val="00F45A6F"/>
    <w:rsid w:val="00F47269"/>
    <w:rsid w:val="00F904AE"/>
    <w:rsid w:val="00F90665"/>
    <w:rsid w:val="00F934F8"/>
    <w:rsid w:val="00FB52FE"/>
    <w:rsid w:val="00FC0A34"/>
    <w:rsid w:val="00FD1DEF"/>
    <w:rsid w:val="00FE3B3F"/>
    <w:rsid w:val="00FF5D2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B2D7EF"/>
  <w15:chartTrackingRefBased/>
  <w15:docId w15:val="{613AD57A-72B0-4386-8C5D-EB7C82AAA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qFormat/>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7127A"/>
    <w:pPr>
      <w:tabs>
        <w:tab w:val="right" w:pos="454"/>
        <w:tab w:val="left" w:pos="737"/>
      </w:tabs>
      <w:ind w:left="737" w:hanging="737"/>
    </w:pPr>
    <w:rPr>
      <w:snapToGrid w:val="0"/>
      <w:sz w:val="18"/>
      <w:lang w:eastAsia="en-US"/>
    </w:rPr>
  </w:style>
  <w:style w:type="paragraph" w:customStyle="1" w:styleId="Lgendetitre">
    <w:name w:val="Légende titre"/>
    <w:basedOn w:val="Normal"/>
    <w:rsid w:val="00B7127A"/>
    <w:pPr>
      <w:spacing w:before="240" w:after="240"/>
    </w:pPr>
    <w:rPr>
      <w:b/>
      <w:i/>
      <w:snapToGrid w:val="0"/>
      <w:lang w:eastAsia="en-US"/>
    </w:rPr>
  </w:style>
  <w:style w:type="paragraph" w:customStyle="1" w:styleId="Lgendestandard">
    <w:name w:val="Légende standard"/>
    <w:basedOn w:val="Normal"/>
    <w:rsid w:val="00B7127A"/>
    <w:rPr>
      <w:sz w:val="18"/>
    </w:rPr>
  </w:style>
  <w:style w:type="paragraph" w:customStyle="1" w:styleId="Default">
    <w:name w:val="Default"/>
    <w:rsid w:val="00CC08BE"/>
    <w:pPr>
      <w:autoSpaceDE w:val="0"/>
      <w:autoSpaceDN w:val="0"/>
      <w:adjustRightInd w:val="0"/>
    </w:pPr>
    <w:rPr>
      <w:color w:val="000000"/>
      <w:sz w:val="24"/>
      <w:szCs w:val="24"/>
    </w:rPr>
  </w:style>
  <w:style w:type="character" w:customStyle="1" w:styleId="Normal6Char">
    <w:name w:val="Normal6 Char"/>
    <w:basedOn w:val="DefaultParagraphFont"/>
    <w:link w:val="Normal6"/>
    <w:locked/>
    <w:rsid w:val="00D36718"/>
    <w:rPr>
      <w:sz w:val="24"/>
      <w:lang w:val="es-ES"/>
    </w:rPr>
  </w:style>
  <w:style w:type="paragraph" w:customStyle="1" w:styleId="Normal6">
    <w:name w:val="Normal6"/>
    <w:basedOn w:val="Normal"/>
    <w:link w:val="Normal6Char"/>
    <w:rsid w:val="00D36718"/>
    <w:pPr>
      <w:spacing w:after="120"/>
    </w:pPr>
    <w:rPr>
      <w:lang w:val="es-ES"/>
    </w:rPr>
  </w:style>
  <w:style w:type="character" w:customStyle="1" w:styleId="NormalBoldChar">
    <w:name w:val="NormalBold Char"/>
    <w:basedOn w:val="DefaultParagraphFont"/>
    <w:link w:val="NormalBold"/>
    <w:locked/>
    <w:rsid w:val="00D36718"/>
    <w:rPr>
      <w:b/>
      <w:sz w:val="24"/>
    </w:rPr>
  </w:style>
  <w:style w:type="paragraph" w:customStyle="1" w:styleId="ColumnHeading">
    <w:name w:val="ColumnHeading"/>
    <w:basedOn w:val="Normal"/>
    <w:rsid w:val="00D36718"/>
    <w:pPr>
      <w:spacing w:after="240"/>
      <w:jc w:val="center"/>
    </w:pPr>
    <w:rPr>
      <w:i/>
      <w:lang w:val="es-ES"/>
    </w:rPr>
  </w:style>
  <w:style w:type="paragraph" w:customStyle="1" w:styleId="AMNumberTabs0">
    <w:name w:val="AMNumberTabs"/>
    <w:basedOn w:val="Normal"/>
    <w:rsid w:val="00D367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Olang">
    <w:name w:val="Olang"/>
    <w:rsid w:val="00D36718"/>
    <w:pPr>
      <w:jc w:val="right"/>
    </w:pPr>
  </w:style>
  <w:style w:type="paragraph" w:styleId="Footer">
    <w:name w:val="footer"/>
    <w:basedOn w:val="Normal"/>
    <w:link w:val="FooterChar"/>
    <w:semiHidden/>
    <w:rsid w:val="00D36718"/>
    <w:pPr>
      <w:tabs>
        <w:tab w:val="center" w:pos="4513"/>
        <w:tab w:val="right" w:pos="9026"/>
      </w:tabs>
    </w:pPr>
  </w:style>
  <w:style w:type="character" w:customStyle="1" w:styleId="FooterChar">
    <w:name w:val="Footer Char"/>
    <w:basedOn w:val="DefaultParagraphFont"/>
    <w:link w:val="Footer"/>
    <w:semiHidden/>
    <w:rsid w:val="00D36718"/>
    <w:rPr>
      <w:sz w:val="24"/>
    </w:rPr>
  </w:style>
  <w:style w:type="character" w:styleId="Hyperlink">
    <w:name w:val="Hyperlink"/>
    <w:basedOn w:val="DefaultParagraphFont"/>
    <w:uiPriority w:val="99"/>
    <w:unhideWhenUsed/>
    <w:rsid w:val="00457217"/>
    <w:rPr>
      <w:color w:val="467886"/>
      <w:u w:val="single"/>
    </w:rPr>
  </w:style>
  <w:style w:type="paragraph" w:styleId="Revision">
    <w:name w:val="Revision"/>
    <w:hidden/>
    <w:uiPriority w:val="99"/>
    <w:semiHidden/>
    <w:rsid w:val="00E62345"/>
    <w:rPr>
      <w:sz w:val="24"/>
    </w:rPr>
  </w:style>
  <w:style w:type="character" w:styleId="CommentReference">
    <w:name w:val="annotation reference"/>
    <w:basedOn w:val="DefaultParagraphFont"/>
    <w:rsid w:val="0078542A"/>
    <w:rPr>
      <w:sz w:val="16"/>
      <w:szCs w:val="16"/>
    </w:rPr>
  </w:style>
  <w:style w:type="paragraph" w:styleId="CommentText">
    <w:name w:val="annotation text"/>
    <w:basedOn w:val="Normal"/>
    <w:link w:val="CommentTextChar"/>
    <w:rsid w:val="0078542A"/>
    <w:rPr>
      <w:sz w:val="20"/>
    </w:rPr>
  </w:style>
  <w:style w:type="character" w:customStyle="1" w:styleId="CommentTextChar">
    <w:name w:val="Comment Text Char"/>
    <w:basedOn w:val="DefaultParagraphFont"/>
    <w:link w:val="CommentText"/>
    <w:rsid w:val="0078542A"/>
  </w:style>
  <w:style w:type="paragraph" w:styleId="CommentSubject">
    <w:name w:val="annotation subject"/>
    <w:basedOn w:val="CommentText"/>
    <w:next w:val="CommentText"/>
    <w:link w:val="CommentSubjectChar"/>
    <w:semiHidden/>
    <w:unhideWhenUsed/>
    <w:rsid w:val="0078542A"/>
    <w:rPr>
      <w:b/>
      <w:bCs/>
    </w:rPr>
  </w:style>
  <w:style w:type="character" w:customStyle="1" w:styleId="CommentSubjectChar">
    <w:name w:val="Comment Subject Char"/>
    <w:basedOn w:val="CommentTextChar"/>
    <w:link w:val="CommentSubject"/>
    <w:semiHidden/>
    <w:rsid w:val="0078542A"/>
    <w:rPr>
      <w:b/>
      <w:bCs/>
    </w:rPr>
  </w:style>
  <w:style w:type="character" w:styleId="UnresolvedMention">
    <w:name w:val="Unresolved Mention"/>
    <w:basedOn w:val="DefaultParagraphFont"/>
    <w:uiPriority w:val="99"/>
    <w:semiHidden/>
    <w:unhideWhenUsed/>
    <w:rsid w:val="00A33C6B"/>
    <w:rPr>
      <w:color w:val="605E5C"/>
      <w:shd w:val="clear" w:color="auto" w:fill="E1DFDD"/>
    </w:rPr>
  </w:style>
  <w:style w:type="character" w:styleId="Emphasis">
    <w:name w:val="Emphasis"/>
    <w:basedOn w:val="DefaultParagraphFont"/>
    <w:uiPriority w:val="20"/>
    <w:qFormat/>
    <w:rsid w:val="00A33C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europarl.europa.eu/data-protect/index.do" TargetMode="External"/><Relationship Id="rId4" Type="http://schemas.openxmlformats.org/officeDocument/2006/relationships/settings" Target="settings.xml"/><Relationship Id="rId9" Type="http://schemas.openxmlformats.org/officeDocument/2006/relationships/hyperlink" Target="http://data.europa.eu/eli/reg/2025/1153/oj"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INGE~1\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18</Pages>
  <Words>4582</Words>
  <Characters>24382</Characters>
  <Application>Microsoft Office Word</Application>
  <DocSecurity>0</DocSecurity>
  <Lines>812</Lines>
  <Paragraphs>292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WINGELINCKX Aurelie</dc:creator>
  <cp:lastModifiedBy>DE LEON ESPINOSA Maria Inmaculada</cp:lastModifiedBy>
  <cp:revision>2</cp:revision>
  <cp:lastPrinted>2004-11-04T09:41:00Z</cp:lastPrinted>
  <dcterms:created xsi:type="dcterms:W3CDTF">2025-12-03T13:08:00Z</dcterms:created>
  <dcterms:modified xsi:type="dcterms:W3CDTF">2025-12-03T13:08:00Z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1332449</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10.2.0 Build [20251001]</vt:lpwstr>
  </property>
  <property fmtid="{D5CDD505-2E9C-101B-9397-08002B2CF9AE}" pid="9" name="FooterPath">
    <vt:lpwstr>PR\1332449ES.docx</vt:lpwstr>
  </property>
  <property fmtid="{D5CDD505-2E9C-101B-9397-08002B2CF9AE}" pid="10" name="LastEdited with">
    <vt:lpwstr>10.2.0 Build [20251118]</vt:lpwstr>
  </property>
  <property fmtid="{D5CDD505-2E9C-101B-9397-08002B2CF9AE}" pid="11" name="PE number">
    <vt:lpwstr>779.727</vt:lpwstr>
  </property>
  <property fmtid="{D5CDD505-2E9C-101B-9397-08002B2CF9AE}" pid="12" name="SendToEpades">
    <vt:lpwstr>OK - 2025/11/24 09:37</vt:lpwstr>
  </property>
  <property fmtid="{D5CDD505-2E9C-101B-9397-08002B2CF9AE}" pid="13" name="OriLang">
    <vt:lpwstr>EN</vt:lpwstr>
  </property>
  <property fmtid="{D5CDD505-2E9C-101B-9397-08002B2CF9AE}" pid="14" name="Bookout">
    <vt:lpwstr>OK - 2025/12/03 14:08</vt:lpwstr>
  </property>
</Properties>
</file>