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B13A1" w14:paraId="3F199133" w14:textId="77777777" w:rsidTr="00C85D0F">
        <w:trPr>
          <w:trHeight w:hRule="exact" w:val="1418"/>
        </w:trPr>
        <w:tc>
          <w:tcPr>
            <w:tcW w:w="6804" w:type="dxa"/>
            <w:shd w:val="clear" w:color="auto" w:fill="auto"/>
            <w:vAlign w:val="center"/>
          </w:tcPr>
          <w:p w14:paraId="2462FC0C" w14:textId="77777777" w:rsidR="00B13D6F" w:rsidRPr="000B4392" w:rsidRDefault="002E2283" w:rsidP="00C85D0F">
            <w:pPr>
              <w:pStyle w:val="EPName"/>
            </w:pPr>
            <w:r>
              <w:t>Parlement européen</w:t>
            </w:r>
          </w:p>
          <w:p w14:paraId="046C18A7" w14:textId="77777777" w:rsidR="00B13D6F" w:rsidRPr="000B4392" w:rsidRDefault="002E2283" w:rsidP="00C85D0F">
            <w:pPr>
              <w:pStyle w:val="EPTerm"/>
            </w:pPr>
            <w:r>
              <w:t>2024-2029</w:t>
            </w:r>
          </w:p>
        </w:tc>
        <w:tc>
          <w:tcPr>
            <w:tcW w:w="2268" w:type="dxa"/>
            <w:shd w:val="clear" w:color="auto" w:fill="auto"/>
          </w:tcPr>
          <w:p w14:paraId="41FA6C4D" w14:textId="77777777" w:rsidR="00B13D6F" w:rsidRPr="000B4392" w:rsidRDefault="002E2283" w:rsidP="00C85D0F">
            <w:pPr>
              <w:pStyle w:val="EPLogo"/>
            </w:pPr>
            <w:r w:rsidRPr="000B4392">
              <w:rPr>
                <w:noProof/>
                <w:lang w:eastAsia="ja-JP"/>
              </w:rPr>
              <w:drawing>
                <wp:inline distT="0" distB="0" distL="0" distR="0" wp14:anchorId="2E53FE59" wp14:editId="675166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2E43974" w14:textId="77777777" w:rsidR="00461601" w:rsidRPr="000B4392" w:rsidRDefault="00461601" w:rsidP="00461601">
      <w:pPr>
        <w:pStyle w:val="LineTop"/>
      </w:pPr>
    </w:p>
    <w:p w14:paraId="187CEE82" w14:textId="77777777" w:rsidR="00461601" w:rsidRPr="000B4392" w:rsidRDefault="002E2283" w:rsidP="00461601">
      <w:pPr>
        <w:pStyle w:val="EPBody"/>
      </w:pPr>
      <w:r>
        <w:rPr>
          <w:rStyle w:val="HideTWBExt"/>
        </w:rPr>
        <w:t>&lt;</w:t>
      </w:r>
      <w:r>
        <w:rPr>
          <w:rStyle w:val="HideTWBExt"/>
          <w:i w:val="0"/>
        </w:rPr>
        <w:t>Commission</w:t>
      </w:r>
      <w:r>
        <w:rPr>
          <w:rStyle w:val="HideTWBExt"/>
        </w:rPr>
        <w:t>&gt;</w:t>
      </w:r>
      <w:r>
        <w:rPr>
          <w:rStyle w:val="HideTWBInt"/>
          <w:color w:val="auto"/>
        </w:rPr>
        <w:t>{INTA}</w:t>
      </w:r>
      <w:r>
        <w:t>Commission du commerce international</w:t>
      </w:r>
      <w:r>
        <w:rPr>
          <w:rStyle w:val="HideTWBExt"/>
        </w:rPr>
        <w:t>&lt;/</w:t>
      </w:r>
      <w:r>
        <w:rPr>
          <w:rStyle w:val="HideTWBExt"/>
          <w:i w:val="0"/>
        </w:rPr>
        <w:t>Commission</w:t>
      </w:r>
      <w:r>
        <w:rPr>
          <w:rStyle w:val="HideTWBExt"/>
        </w:rPr>
        <w:t>&gt;</w:t>
      </w:r>
    </w:p>
    <w:p w14:paraId="0BD6C320" w14:textId="77777777" w:rsidR="00461601" w:rsidRPr="000B4392" w:rsidRDefault="00461601" w:rsidP="00461601">
      <w:pPr>
        <w:pStyle w:val="LineBottom"/>
      </w:pPr>
    </w:p>
    <w:p w14:paraId="49086A8E" w14:textId="77777777" w:rsidR="00793EA9" w:rsidRPr="000B4392" w:rsidRDefault="002E2283">
      <w:pPr>
        <w:pStyle w:val="CoverReference"/>
      </w:pPr>
      <w:r>
        <w:rPr>
          <w:rStyle w:val="HideTWBExt"/>
          <w:b w:val="0"/>
        </w:rPr>
        <w:t>&lt;RefProc&gt;</w:t>
      </w:r>
      <w:r>
        <w:t>2025/0726</w:t>
      </w:r>
      <w:r>
        <w:rPr>
          <w:rStyle w:val="HideTWBExt"/>
          <w:b w:val="0"/>
        </w:rPr>
        <w:t>&lt;/RefProc&gt;&lt;RefTypeProc&gt;</w:t>
      </w:r>
      <w:r>
        <w:t>(COD)</w:t>
      </w:r>
      <w:r>
        <w:rPr>
          <w:rStyle w:val="HideTWBExt"/>
          <w:b w:val="0"/>
        </w:rPr>
        <w:t>&lt;/RefTypeProc&gt;</w:t>
      </w:r>
    </w:p>
    <w:p w14:paraId="62ECB1CF" w14:textId="77777777" w:rsidR="00793EA9" w:rsidRPr="000B4392" w:rsidRDefault="002E2283">
      <w:pPr>
        <w:pStyle w:val="CoverDate"/>
      </w:pPr>
      <w:r>
        <w:rPr>
          <w:rStyle w:val="HideTWBExt"/>
        </w:rPr>
        <w:t>&lt;Date&gt;</w:t>
      </w:r>
      <w:r>
        <w:rPr>
          <w:rStyle w:val="HideTWBInt"/>
          <w:color w:val="auto"/>
        </w:rPr>
        <w:t>{19/11/2025}</w:t>
      </w:r>
      <w:r>
        <w:t>24.11.2025</w:t>
      </w:r>
      <w:r>
        <w:rPr>
          <w:rStyle w:val="HideTWBExt"/>
        </w:rPr>
        <w:t>&lt;/Date&gt;</w:t>
      </w:r>
    </w:p>
    <w:p w14:paraId="2D6E4571" w14:textId="77777777" w:rsidR="00793EA9" w:rsidRPr="000B4392" w:rsidRDefault="002E2283">
      <w:pPr>
        <w:pStyle w:val="CoverDocType"/>
      </w:pPr>
      <w:r>
        <w:rPr>
          <w:rStyle w:val="HideTWBExt"/>
          <w:b w:val="0"/>
        </w:rPr>
        <w:t>&lt;RefProcLect&gt;</w:t>
      </w:r>
      <w:r>
        <w:t>***I</w:t>
      </w:r>
      <w:r>
        <w:rPr>
          <w:rStyle w:val="HideTWBExt"/>
          <w:b w:val="0"/>
        </w:rPr>
        <w:t>&lt;/RefProcLect&gt;</w:t>
      </w:r>
    </w:p>
    <w:p w14:paraId="7A6AC176" w14:textId="77777777" w:rsidR="00793EA9" w:rsidRPr="000B4392" w:rsidRDefault="002E2283">
      <w:pPr>
        <w:pStyle w:val="CoverDocType24a"/>
      </w:pPr>
      <w:r>
        <w:rPr>
          <w:rStyle w:val="HideTWBExt"/>
          <w:b w:val="0"/>
        </w:rPr>
        <w:t>&lt;TitreType&gt;</w:t>
      </w:r>
      <w:r>
        <w:t xml:space="preserve">PROJET DE </w:t>
      </w:r>
      <w:r>
        <w:t>RAPPORT</w:t>
      </w:r>
      <w:r>
        <w:rPr>
          <w:rStyle w:val="HideTWBExt"/>
          <w:b w:val="0"/>
        </w:rPr>
        <w:t>&lt;/TitreType&gt;</w:t>
      </w:r>
    </w:p>
    <w:p w14:paraId="6C8CBBA8" w14:textId="77777777" w:rsidR="00793EA9" w:rsidRPr="000B4392" w:rsidRDefault="002E2283">
      <w:pPr>
        <w:pStyle w:val="CoverNormal"/>
      </w:pPr>
      <w:r>
        <w:rPr>
          <w:rStyle w:val="HideTWBExt"/>
        </w:rPr>
        <w:t>&lt;Titre&gt;</w:t>
      </w:r>
      <w:r>
        <w:t>sur la proposition de règlement du Parlement européen et du Conseil visant à remédier aux effets commerciaux négatifs de la surcapacité mondiale sur le marché de l’acier de l’Union</w:t>
      </w:r>
      <w:r>
        <w:rPr>
          <w:rStyle w:val="HideTWBExt"/>
        </w:rPr>
        <w:t>&lt;/Titre&gt;</w:t>
      </w:r>
    </w:p>
    <w:p w14:paraId="6E081C88" w14:textId="77777777" w:rsidR="00793EA9" w:rsidRPr="000B4392" w:rsidRDefault="002E2283">
      <w:pPr>
        <w:pStyle w:val="CoverNormal24a"/>
      </w:pPr>
      <w:r>
        <w:rPr>
          <w:rStyle w:val="HideTWBExt"/>
        </w:rPr>
        <w:t>&lt;DocRef&gt;</w:t>
      </w:r>
      <w:r>
        <w:t>(COM(2025)0726 – C10</w:t>
      </w:r>
      <w:r>
        <w:noBreakHyphen/>
        <w:t>0245/2025 – 2025/0726(COD))</w:t>
      </w:r>
      <w:r>
        <w:rPr>
          <w:rStyle w:val="HideTWBExt"/>
        </w:rPr>
        <w:t>&lt;/DocRef&gt;</w:t>
      </w:r>
    </w:p>
    <w:p w14:paraId="483B7B07" w14:textId="77777777" w:rsidR="00793EA9" w:rsidRPr="000B4392" w:rsidRDefault="002E2283">
      <w:pPr>
        <w:pStyle w:val="CoverNormal24a"/>
      </w:pPr>
      <w:r>
        <w:rPr>
          <w:rStyle w:val="HideTWBExt"/>
        </w:rPr>
        <w:t>&lt;Commission&gt;</w:t>
      </w:r>
      <w:r>
        <w:rPr>
          <w:rStyle w:val="HideTWBInt"/>
          <w:color w:val="auto"/>
        </w:rPr>
        <w:t>{INTA}</w:t>
      </w:r>
      <w:r>
        <w:t>Commission du commerce international</w:t>
      </w:r>
      <w:r>
        <w:rPr>
          <w:rStyle w:val="HideTWBExt"/>
        </w:rPr>
        <w:t>&lt;/Commission&gt;</w:t>
      </w:r>
    </w:p>
    <w:p w14:paraId="2CEB8B7E" w14:textId="77777777" w:rsidR="00793EA9" w:rsidRPr="000B4392" w:rsidRDefault="002E2283">
      <w:pPr>
        <w:pStyle w:val="CoverNormal24a"/>
      </w:pPr>
      <w:r>
        <w:t xml:space="preserve">Rapporteure: </w:t>
      </w:r>
      <w:r>
        <w:rPr>
          <w:rStyle w:val="HideTWBExt"/>
        </w:rPr>
        <w:t>&lt;Depute&gt;</w:t>
      </w:r>
      <w:r>
        <w:t>Karin Karlsbro</w:t>
      </w:r>
      <w:r>
        <w:rPr>
          <w:rStyle w:val="HideTWBExt"/>
        </w:rPr>
        <w:t>&lt;/Depute&gt;</w:t>
      </w:r>
    </w:p>
    <w:p w14:paraId="63533358" w14:textId="77777777" w:rsidR="001C5B44" w:rsidRPr="000B4392" w:rsidRDefault="001C5B44" w:rsidP="001C5B44">
      <w:pPr>
        <w:pStyle w:val="CoverNormal"/>
      </w:pPr>
    </w:p>
    <w:p w14:paraId="09E59741" w14:textId="4581DC63" w:rsidR="00B7127A" w:rsidRPr="000B4392" w:rsidRDefault="002E2283" w:rsidP="00894923">
      <w:r>
        <w:br w:type="page"/>
      </w:r>
      <w:r w:rsidR="00392DEB">
        <w:lastRenderedPageBreak/>
        <w:fldChar w:fldCharType="begin"/>
      </w:r>
      <w:r>
        <w:instrText xml:space="preserve"> TITLE  \* MERGEFORMAT </w:instrText>
      </w:r>
      <w:r w:rsidR="00392DEB">
        <w:fldChar w:fldCharType="separate"/>
      </w:r>
      <w:r>
        <w:t>PR_COD_1amCom</w:t>
      </w:r>
      <w:r w:rsidR="00392DEB">
        <w:fldChar w:fldCharType="end"/>
      </w:r>
    </w:p>
    <w:p w14:paraId="47E85BC0" w14:textId="77777777" w:rsidR="00B7127A" w:rsidRPr="000B4392" w:rsidRDefault="00B7127A" w:rsidP="00894923"/>
    <w:p w14:paraId="3814A500" w14:textId="77777777" w:rsidR="00B7127A" w:rsidRPr="000B4392" w:rsidRDefault="00B7127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B13A1" w14:paraId="356B2A6E" w14:textId="77777777">
        <w:tc>
          <w:tcPr>
            <w:tcW w:w="5811" w:type="dxa"/>
          </w:tcPr>
          <w:p w14:paraId="0B0AB916" w14:textId="77777777" w:rsidR="00B7127A" w:rsidRPr="000B4392" w:rsidRDefault="002E2283" w:rsidP="00894923">
            <w:pPr>
              <w:pStyle w:val="Lgendetitre"/>
            </w:pPr>
            <w:r>
              <w:t>Légende des signes utilisés</w:t>
            </w:r>
          </w:p>
        </w:tc>
      </w:tr>
      <w:tr w:rsidR="00EB13A1" w14:paraId="368067C8" w14:textId="77777777" w:rsidTr="007452CB">
        <w:trPr>
          <w:cantSplit/>
          <w:trHeight w:val="1807"/>
        </w:trPr>
        <w:tc>
          <w:tcPr>
            <w:tcW w:w="5811" w:type="dxa"/>
            <w:tcBorders>
              <w:bottom w:val="single" w:sz="4" w:space="0" w:color="auto"/>
            </w:tcBorders>
          </w:tcPr>
          <w:p w14:paraId="6B478298" w14:textId="77777777" w:rsidR="00874715" w:rsidRPr="0078703C" w:rsidRDefault="002E2283" w:rsidP="00874715">
            <w:pPr>
              <w:pStyle w:val="Lgendesigne"/>
            </w:pPr>
            <w:r>
              <w:tab/>
              <w:t>*</w:t>
            </w:r>
            <w:r>
              <w:tab/>
              <w:t>Procédure de consultation</w:t>
            </w:r>
            <w:r>
              <w:tab/>
            </w:r>
          </w:p>
          <w:p w14:paraId="3169E9BF" w14:textId="77777777" w:rsidR="00874715" w:rsidRPr="0078703C" w:rsidRDefault="002E2283" w:rsidP="00874715">
            <w:pPr>
              <w:pStyle w:val="Lgendesigne"/>
            </w:pPr>
            <w:r>
              <w:tab/>
              <w:t>***</w:t>
            </w:r>
            <w:r>
              <w:tab/>
            </w:r>
            <w:r>
              <w:t>Procédure d’approbation</w:t>
            </w:r>
          </w:p>
          <w:p w14:paraId="473906D9" w14:textId="77777777" w:rsidR="00874715" w:rsidRPr="0078703C" w:rsidRDefault="002E2283" w:rsidP="00874715">
            <w:pPr>
              <w:pStyle w:val="Lgendesigne"/>
            </w:pPr>
            <w:r>
              <w:tab/>
              <w:t>***I</w:t>
            </w:r>
            <w:r>
              <w:tab/>
              <w:t>Procédure législative ordinaire (première lecture)</w:t>
            </w:r>
          </w:p>
          <w:p w14:paraId="71C89117" w14:textId="77777777" w:rsidR="00874715" w:rsidRPr="0078703C" w:rsidRDefault="002E2283" w:rsidP="00874715">
            <w:pPr>
              <w:pStyle w:val="Lgendesigne"/>
            </w:pPr>
            <w:r>
              <w:tab/>
              <w:t>***II</w:t>
            </w:r>
            <w:r>
              <w:tab/>
              <w:t>Procédure législative ordinaire (deuxième lecture)</w:t>
            </w:r>
          </w:p>
          <w:p w14:paraId="36730C87" w14:textId="77777777" w:rsidR="00874715" w:rsidRPr="0078703C" w:rsidRDefault="002E2283" w:rsidP="00874715">
            <w:pPr>
              <w:pStyle w:val="Lgendesigne"/>
            </w:pPr>
            <w:r>
              <w:tab/>
              <w:t>***III</w:t>
            </w:r>
            <w:r>
              <w:tab/>
              <w:t>Procédure législative ordinaire (troisième lecture)</w:t>
            </w:r>
            <w:r>
              <w:br/>
            </w:r>
          </w:p>
          <w:p w14:paraId="76B4638B" w14:textId="77777777" w:rsidR="00874715" w:rsidRPr="0078703C" w:rsidRDefault="002E2283" w:rsidP="00874715">
            <w:pPr>
              <w:pStyle w:val="Lgendestandard"/>
            </w:pPr>
            <w:r>
              <w:t>(La procédure indiquée est fondée sur la base juridique proposée par le projet d’acte.)</w:t>
            </w:r>
          </w:p>
          <w:p w14:paraId="015BB6CC" w14:textId="77777777" w:rsidR="00B7127A" w:rsidRPr="000B4392" w:rsidRDefault="00B7127A" w:rsidP="00B54EAF">
            <w:pPr>
              <w:pStyle w:val="Lgendestandard"/>
            </w:pPr>
          </w:p>
        </w:tc>
      </w:tr>
    </w:tbl>
    <w:p w14:paraId="771A3BEB" w14:textId="77777777" w:rsidR="00B7127A" w:rsidRPr="000B4392" w:rsidRDefault="00B7127A" w:rsidP="00894923"/>
    <w:p w14:paraId="4479B0FD" w14:textId="77777777" w:rsidR="00B7127A" w:rsidRPr="000B4392" w:rsidRDefault="00B7127A" w:rsidP="00894923"/>
    <w:p w14:paraId="0B87B540" w14:textId="77777777" w:rsidR="00B7127A" w:rsidRPr="000B4392" w:rsidRDefault="00B7127A" w:rsidP="00894923"/>
    <w:p w14:paraId="70411BD5" w14:textId="77777777" w:rsidR="00B7127A" w:rsidRPr="000B4392" w:rsidRDefault="00B7127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B13A1" w14:paraId="7D78027A" w14:textId="77777777">
        <w:tc>
          <w:tcPr>
            <w:tcW w:w="5811" w:type="dxa"/>
          </w:tcPr>
          <w:p w14:paraId="0CD5B471" w14:textId="77777777" w:rsidR="00B7127A" w:rsidRPr="000B4392" w:rsidRDefault="002E2283" w:rsidP="00894923">
            <w:pPr>
              <w:pStyle w:val="Lgendetitre"/>
            </w:pPr>
            <w:r>
              <w:t>Amendements à un projet d’acte</w:t>
            </w:r>
          </w:p>
        </w:tc>
      </w:tr>
      <w:tr w:rsidR="00EB13A1" w14:paraId="4CA264FB" w14:textId="77777777" w:rsidTr="00554250">
        <w:trPr>
          <w:trHeight w:val="4496"/>
        </w:trPr>
        <w:tc>
          <w:tcPr>
            <w:tcW w:w="5811" w:type="dxa"/>
          </w:tcPr>
          <w:p w14:paraId="000401B4" w14:textId="77777777" w:rsidR="00874715" w:rsidRDefault="002E2283" w:rsidP="00874715">
            <w:pPr>
              <w:pStyle w:val="Lgendestandard"/>
              <w:rPr>
                <w:szCs w:val="18"/>
              </w:rPr>
            </w:pPr>
            <w:r>
              <w:rPr>
                <w:b/>
              </w:rPr>
              <w:t>Amendements du Parlement présentés en deux colonnes</w:t>
            </w:r>
          </w:p>
          <w:p w14:paraId="34C201C6" w14:textId="77777777" w:rsidR="00874715" w:rsidRDefault="00874715" w:rsidP="00874715">
            <w:pPr>
              <w:pStyle w:val="Lgendestandard"/>
              <w:rPr>
                <w:szCs w:val="18"/>
              </w:rPr>
            </w:pPr>
          </w:p>
          <w:p w14:paraId="11CAE94B" w14:textId="77777777" w:rsidR="00874715" w:rsidRDefault="002E2283" w:rsidP="00874715">
            <w:pPr>
              <w:pStyle w:val="Lgendestandard"/>
              <w:rPr>
                <w:szCs w:val="18"/>
              </w:rPr>
            </w:pPr>
            <w:r>
              <w:t xml:space="preserve">Les suppressions sont signalées par des </w:t>
            </w:r>
            <w:r>
              <w:rPr>
                <w:b/>
                <w:i/>
              </w:rPr>
              <w:t>italiques gras</w:t>
            </w:r>
            <w:r>
              <w:t xml:space="preserve"> dans la colonne de gauche. </w:t>
            </w:r>
            <w:r>
              <w:t xml:space="preserve">Les remplacements sont signalés par des </w:t>
            </w:r>
            <w:r>
              <w:rPr>
                <w:b/>
                <w:i/>
              </w:rPr>
              <w:t xml:space="preserve">italiques gras </w:t>
            </w:r>
            <w:r>
              <w:t>dans les deux colonnes. Le texte nouveau est signalé par des</w:t>
            </w:r>
            <w:r>
              <w:rPr>
                <w:b/>
                <w:i/>
              </w:rPr>
              <w:t xml:space="preserve"> italiques gras</w:t>
            </w:r>
            <w:r>
              <w:t xml:space="preserve"> dans la colonne de droite.</w:t>
            </w:r>
          </w:p>
          <w:p w14:paraId="306493D0" w14:textId="77777777" w:rsidR="00874715" w:rsidRPr="0078703C" w:rsidRDefault="00874715" w:rsidP="00874715">
            <w:pPr>
              <w:pStyle w:val="Lgendestandard"/>
            </w:pPr>
          </w:p>
          <w:p w14:paraId="1D875F2E" w14:textId="77777777" w:rsidR="00874715" w:rsidRDefault="002E2283" w:rsidP="00874715">
            <w:pPr>
              <w:pStyle w:val="Lgendestandard"/>
            </w:pPr>
            <w:r>
              <w:t xml:space="preserve">Les première et deuxième lignes de l’en-tête de chaque amendement identifient le passage </w:t>
            </w:r>
            <w:r>
              <w:t xml:space="preserve">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 </w:t>
            </w:r>
          </w:p>
          <w:p w14:paraId="6D5B23EA" w14:textId="77777777" w:rsidR="00874715" w:rsidRDefault="00874715" w:rsidP="00874715">
            <w:pPr>
              <w:pStyle w:val="Lgendestandard"/>
            </w:pPr>
          </w:p>
          <w:p w14:paraId="5C7DB30B" w14:textId="77777777" w:rsidR="00874715" w:rsidRPr="00DF243B" w:rsidRDefault="002E2283" w:rsidP="00874715">
            <w:pPr>
              <w:pStyle w:val="Lgendestandard"/>
              <w:rPr>
                <w:b/>
                <w:szCs w:val="18"/>
              </w:rPr>
            </w:pPr>
            <w:r>
              <w:rPr>
                <w:b/>
              </w:rPr>
              <w:t>Amendements du Parlement prenant la forme d’un texte consolidé</w:t>
            </w:r>
          </w:p>
          <w:p w14:paraId="5D4A85EF" w14:textId="77777777" w:rsidR="00874715" w:rsidRDefault="00874715" w:rsidP="00874715">
            <w:pPr>
              <w:pStyle w:val="Lgendestandard"/>
              <w:rPr>
                <w:szCs w:val="18"/>
              </w:rPr>
            </w:pPr>
          </w:p>
          <w:p w14:paraId="0F0112F8" w14:textId="77777777" w:rsidR="00874715" w:rsidRDefault="002E2283" w:rsidP="00874715">
            <w:pPr>
              <w:pStyle w:val="Lgendestandard"/>
              <w:rPr>
                <w:szCs w:val="18"/>
              </w:rPr>
            </w:pPr>
            <w:r>
              <w:rPr>
                <w:color w:val="000000"/>
              </w:rPr>
              <w:t xml:space="preserve">Les parties de textes nouvelles sont indiquées en </w:t>
            </w:r>
            <w:r>
              <w:rPr>
                <w:b/>
                <w:i/>
                <w:color w:val="000000"/>
              </w:rPr>
              <w:t>italiques gras</w:t>
            </w:r>
            <w:r>
              <w:t xml:space="preserve">. Les parties de texte supprimées sont </w:t>
            </w:r>
            <w:r>
              <w:rPr>
                <w:color w:val="000000"/>
              </w:rPr>
              <w:t xml:space="preserve">indiquées par le symbole </w:t>
            </w:r>
            <w:r>
              <w:t xml:space="preserve">▌ ou barrées. Les remplacements sont signalés en indiquant en </w:t>
            </w:r>
            <w:r>
              <w:rPr>
                <w:b/>
                <w:i/>
              </w:rPr>
              <w:t xml:space="preserve">italiques gras </w:t>
            </w:r>
            <w:r>
              <w:t xml:space="preserve">le texte nouveau et en effaçant ou en barrant le texte remplacé. </w:t>
            </w:r>
          </w:p>
          <w:p w14:paraId="37417236" w14:textId="77777777" w:rsidR="00874715" w:rsidRPr="0078703C" w:rsidRDefault="002E2283" w:rsidP="00874715">
            <w:pPr>
              <w:pStyle w:val="Lgendestandard"/>
            </w:pPr>
            <w:r>
              <w:t>Par exception, les modifications de nature strictement technique apportées par les services en vue de l’élaboration du texte final ne sont pas marquées.</w:t>
            </w:r>
          </w:p>
          <w:p w14:paraId="64C74B58" w14:textId="77777777" w:rsidR="00B7127A" w:rsidRPr="000B4392" w:rsidRDefault="00B7127A" w:rsidP="0069092A">
            <w:pPr>
              <w:pStyle w:val="Lgendestandard"/>
            </w:pPr>
          </w:p>
        </w:tc>
      </w:tr>
    </w:tbl>
    <w:p w14:paraId="0D08CE3F" w14:textId="77777777" w:rsidR="00B7127A" w:rsidRPr="000B4392" w:rsidRDefault="00B7127A" w:rsidP="00894923"/>
    <w:p w14:paraId="25DD114B" w14:textId="77777777" w:rsidR="00793EA9" w:rsidRPr="000B4392" w:rsidRDefault="00793EA9" w:rsidP="00012351">
      <w:pPr>
        <w:widowControl/>
        <w:tabs>
          <w:tab w:val="center" w:pos="4677"/>
        </w:tabs>
      </w:pPr>
    </w:p>
    <w:p w14:paraId="2CED2BE3" w14:textId="77777777" w:rsidR="00793EA9" w:rsidRPr="000B4392" w:rsidRDefault="002E2283">
      <w:pPr>
        <w:pStyle w:val="TOCHeading"/>
      </w:pPr>
      <w:r>
        <w:br w:type="page"/>
      </w:r>
      <w:r>
        <w:lastRenderedPageBreak/>
        <w:t>SOMMAIRE</w:t>
      </w:r>
    </w:p>
    <w:p w14:paraId="21B95B70" w14:textId="77777777" w:rsidR="00793EA9" w:rsidRPr="000B4392" w:rsidRDefault="002E2283">
      <w:pPr>
        <w:pStyle w:val="TOCPage"/>
      </w:pPr>
      <w:r>
        <w:t>Page</w:t>
      </w:r>
    </w:p>
    <w:p w14:paraId="030025B2" w14:textId="28DD8542" w:rsidR="002E2283" w:rsidRDefault="002E2283">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B4392">
        <w:rPr>
          <w:b/>
        </w:rPr>
        <w:fldChar w:fldCharType="begin"/>
      </w:r>
      <w:r w:rsidRPr="000B4392">
        <w:rPr>
          <w:b/>
        </w:rPr>
        <w:instrText xml:space="preserve"> TOC \t "PageHeading</w:instrText>
      </w:r>
      <w:r>
        <w:rPr>
          <w:b/>
        </w:rPr>
        <w:instrText>;</w:instrText>
      </w:r>
      <w:r w:rsidRPr="000B4392">
        <w:rPr>
          <w:b/>
        </w:rPr>
        <w:instrText xml:space="preserve">1" </w:instrText>
      </w:r>
      <w:r w:rsidRPr="000B4392">
        <w:rPr>
          <w:b/>
        </w:rPr>
        <w:fldChar w:fldCharType="separate"/>
      </w:r>
      <w:r>
        <w:rPr>
          <w:noProof/>
        </w:rPr>
        <w:t>PROJET DE RÉSOLUTION LÉGISLATIVE DU PARLEMENT EUROPÉEN</w:t>
      </w:r>
      <w:r>
        <w:rPr>
          <w:noProof/>
        </w:rPr>
        <w:tab/>
      </w:r>
      <w:r>
        <w:rPr>
          <w:noProof/>
        </w:rPr>
        <w:fldChar w:fldCharType="begin"/>
      </w:r>
      <w:r>
        <w:rPr>
          <w:noProof/>
        </w:rPr>
        <w:instrText xml:space="preserve"> PAGEREF _Toc215560274 \h </w:instrText>
      </w:r>
      <w:r>
        <w:rPr>
          <w:noProof/>
        </w:rPr>
      </w:r>
      <w:r>
        <w:rPr>
          <w:noProof/>
        </w:rPr>
        <w:fldChar w:fldCharType="separate"/>
      </w:r>
      <w:r>
        <w:rPr>
          <w:noProof/>
        </w:rPr>
        <w:t>5</w:t>
      </w:r>
      <w:r>
        <w:rPr>
          <w:noProof/>
        </w:rPr>
        <w:fldChar w:fldCharType="end"/>
      </w:r>
    </w:p>
    <w:p w14:paraId="37B2DF87" w14:textId="29E6CFC9" w:rsidR="002E2283" w:rsidRDefault="002E228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EXPOSÉ DES MOTIFS</w:t>
      </w:r>
      <w:r>
        <w:rPr>
          <w:noProof/>
        </w:rPr>
        <w:tab/>
      </w:r>
      <w:r>
        <w:rPr>
          <w:noProof/>
        </w:rPr>
        <w:fldChar w:fldCharType="begin"/>
      </w:r>
      <w:r>
        <w:rPr>
          <w:noProof/>
        </w:rPr>
        <w:instrText xml:space="preserve"> PAGEREF _Toc215560275 \h </w:instrText>
      </w:r>
      <w:r>
        <w:rPr>
          <w:noProof/>
        </w:rPr>
      </w:r>
      <w:r>
        <w:rPr>
          <w:noProof/>
        </w:rPr>
        <w:fldChar w:fldCharType="separate"/>
      </w:r>
      <w:r>
        <w:rPr>
          <w:noProof/>
        </w:rPr>
        <w:t>16</w:t>
      </w:r>
      <w:r>
        <w:rPr>
          <w:noProof/>
        </w:rPr>
        <w:fldChar w:fldCharType="end"/>
      </w:r>
    </w:p>
    <w:p w14:paraId="64360AEB" w14:textId="18A288BA" w:rsidR="002E2283" w:rsidRDefault="002E228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ENTITÉS OU PERSONNES DONT LA RAPPORTEURE A REÇU DES CONTRIBUTIONS</w:t>
      </w:r>
      <w:r>
        <w:rPr>
          <w:noProof/>
        </w:rPr>
        <w:tab/>
      </w:r>
      <w:r>
        <w:rPr>
          <w:noProof/>
        </w:rPr>
        <w:fldChar w:fldCharType="begin"/>
      </w:r>
      <w:r>
        <w:rPr>
          <w:noProof/>
        </w:rPr>
        <w:instrText xml:space="preserve"> PAGEREF _Toc215560276 \h </w:instrText>
      </w:r>
      <w:r>
        <w:rPr>
          <w:noProof/>
        </w:rPr>
      </w:r>
      <w:r>
        <w:rPr>
          <w:noProof/>
        </w:rPr>
        <w:fldChar w:fldCharType="separate"/>
      </w:r>
      <w:r>
        <w:rPr>
          <w:noProof/>
        </w:rPr>
        <w:t>18</w:t>
      </w:r>
      <w:r>
        <w:rPr>
          <w:noProof/>
        </w:rPr>
        <w:fldChar w:fldCharType="end"/>
      </w:r>
    </w:p>
    <w:p w14:paraId="36F1BA98" w14:textId="084DD827" w:rsidR="002346B0" w:rsidRPr="002E2283" w:rsidRDefault="002E2283" w:rsidP="00C23324">
      <w:r w:rsidRPr="000B4392">
        <w:rPr>
          <w:b/>
        </w:rPr>
        <w:fldChar w:fldCharType="end"/>
      </w:r>
    </w:p>
    <w:p w14:paraId="72901C80" w14:textId="77777777" w:rsidR="00793EA9" w:rsidRPr="000B4392" w:rsidRDefault="002E2283">
      <w:pPr>
        <w:pStyle w:val="PageHeading"/>
      </w:pPr>
      <w:r w:rsidRPr="002E2283">
        <w:br w:type="page"/>
      </w:r>
      <w:r w:rsidRPr="002E2283">
        <w:lastRenderedPageBreak/>
        <w:br w:type="page"/>
      </w:r>
      <w:bookmarkStart w:id="0" w:name="_Toc215560274"/>
      <w:r>
        <w:lastRenderedPageBreak/>
        <w:t>PROJET DE RÉSOLUTION LÉGISLATIVE DU PARLEMENT EUROPÉEN</w:t>
      </w:r>
      <w:bookmarkEnd w:id="0"/>
    </w:p>
    <w:p w14:paraId="1DA25F0D" w14:textId="77777777" w:rsidR="00793EA9" w:rsidRPr="000B4392" w:rsidRDefault="002E2283">
      <w:pPr>
        <w:pStyle w:val="NormalBold"/>
      </w:pPr>
      <w:r>
        <w:t xml:space="preserve">sur la proposition de règlement du Parlement européen et du Conseil visant à remédier aux effets commerciaux négatifs de la surcapacité mondiale sur le marché de l’acier de </w:t>
      </w:r>
      <w:r>
        <w:t>l’Union</w:t>
      </w:r>
    </w:p>
    <w:p w14:paraId="792535A2" w14:textId="77777777" w:rsidR="00793EA9" w:rsidRPr="000B4392" w:rsidRDefault="002E2283">
      <w:pPr>
        <w:pStyle w:val="NormalBold12a"/>
      </w:pPr>
      <w:r>
        <w:t>(COM(2025)0726 – C10</w:t>
      </w:r>
      <w:r>
        <w:noBreakHyphen/>
        <w:t>0245/2025 – 2025/0726(COD))</w:t>
      </w:r>
    </w:p>
    <w:p w14:paraId="238785BC" w14:textId="77777777" w:rsidR="00793EA9" w:rsidRPr="000B4392" w:rsidRDefault="002E2283" w:rsidP="00A910C9">
      <w:pPr>
        <w:pStyle w:val="NormalBold"/>
      </w:pPr>
      <w:r>
        <w:t>(Procédure législative ordinaire: première lecture)</w:t>
      </w:r>
    </w:p>
    <w:p w14:paraId="212236C5" w14:textId="77777777" w:rsidR="00793EA9" w:rsidRPr="000B4392" w:rsidRDefault="002E2283" w:rsidP="00A910C9">
      <w:pPr>
        <w:pStyle w:val="EPComma"/>
      </w:pPr>
      <w:r>
        <w:rPr>
          <w:i/>
        </w:rPr>
        <w:t>Le Parlement européen</w:t>
      </w:r>
      <w:r>
        <w:t>,</w:t>
      </w:r>
    </w:p>
    <w:p w14:paraId="389BE342" w14:textId="77777777" w:rsidR="00793EA9" w:rsidRPr="000B4392" w:rsidRDefault="002E2283">
      <w:pPr>
        <w:pStyle w:val="NormalHanging12a"/>
      </w:pPr>
      <w:r>
        <w:t>–</w:t>
      </w:r>
      <w:r>
        <w:tab/>
        <w:t>vu la proposition de la Commission au Parlement européen et au Conseil (COM(2025)0726),</w:t>
      </w:r>
    </w:p>
    <w:p w14:paraId="4F6A1D96" w14:textId="77777777" w:rsidR="00793EA9" w:rsidRPr="000B4392" w:rsidRDefault="002E2283">
      <w:pPr>
        <w:pStyle w:val="NormalHanging12a"/>
      </w:pPr>
      <w:r>
        <w:t>–</w:t>
      </w:r>
      <w:r>
        <w:tab/>
        <w:t>vu l’article 294, paragraphe 2, et l’article 207, paragraphe 2, du traité sur le fonctionnement de l’Union européenne, conformément auxquels la proposition lui a été présentée par la Commission (C10</w:t>
      </w:r>
      <w:r>
        <w:noBreakHyphen/>
        <w:t>0245/2025),</w:t>
      </w:r>
    </w:p>
    <w:p w14:paraId="34FDEFB1" w14:textId="77777777" w:rsidR="00AD7FA6" w:rsidRPr="000B4392" w:rsidRDefault="002E2283" w:rsidP="00B71A3C">
      <w:pPr>
        <w:pStyle w:val="NormalHanging12a"/>
      </w:pPr>
      <w:r>
        <w:t>–</w:t>
      </w:r>
      <w:r>
        <w:tab/>
        <w:t>vu l’article 294, paragraphe 3, du traité sur le fonctionnement de l’Union européenne,</w:t>
      </w:r>
    </w:p>
    <w:p w14:paraId="0CE117DF" w14:textId="77777777" w:rsidR="00793EA9" w:rsidRPr="000B4392" w:rsidRDefault="002E2283">
      <w:pPr>
        <w:pStyle w:val="NormalHanging12a"/>
      </w:pPr>
      <w:r>
        <w:t>–</w:t>
      </w:r>
      <w:r>
        <w:tab/>
        <w:t>vu l’article 60 de son règlement intérieur,</w:t>
      </w:r>
    </w:p>
    <w:p w14:paraId="325D6CD3" w14:textId="77777777" w:rsidR="006A2F5D" w:rsidRPr="000B4392" w:rsidRDefault="002E2283" w:rsidP="00281494">
      <w:pPr>
        <w:pStyle w:val="NormalHanging12a"/>
      </w:pPr>
      <w:r>
        <w:t>–</w:t>
      </w:r>
      <w:r>
        <w:tab/>
        <w:t>vu l’avis de la commission de l’industrie, de la recherche et de l’énergie,</w:t>
      </w:r>
    </w:p>
    <w:p w14:paraId="4524B7F0" w14:textId="77777777" w:rsidR="006A2F5D" w:rsidRPr="000B4392" w:rsidRDefault="002E2283" w:rsidP="006A2F5D">
      <w:pPr>
        <w:pStyle w:val="NormalHanging12a"/>
      </w:pPr>
      <w:r>
        <w:t>–</w:t>
      </w:r>
      <w:r>
        <w:tab/>
        <w:t>vu le rapport de la commission du commerce international (A10</w:t>
      </w:r>
      <w:r>
        <w:noBreakHyphen/>
        <w:t>0000/2025),</w:t>
      </w:r>
    </w:p>
    <w:p w14:paraId="2CB1517F" w14:textId="77777777" w:rsidR="009F6C2F" w:rsidRPr="000B4392" w:rsidRDefault="002E2283" w:rsidP="009F6C2F">
      <w:pPr>
        <w:pStyle w:val="NormalHanging12a"/>
      </w:pPr>
      <w:r>
        <w:t>1.</w:t>
      </w:r>
      <w:r>
        <w:tab/>
        <w:t>arrête la position en première lecture figurant ci-après;</w:t>
      </w:r>
    </w:p>
    <w:p w14:paraId="299050C7" w14:textId="77777777" w:rsidR="00281494" w:rsidRPr="000B4392" w:rsidRDefault="002E2283" w:rsidP="00281494">
      <w:pPr>
        <w:pStyle w:val="NormalHanging12a"/>
      </w:pPr>
      <w:r>
        <w:t>2.</w:t>
      </w:r>
      <w:r>
        <w:tab/>
        <w:t>demande à la Commission de le saisir à nouveau, si elle remplace, modifie de manière substantielle ou entend modifier de manière substantielle sa proposition;</w:t>
      </w:r>
    </w:p>
    <w:p w14:paraId="20779B64" w14:textId="77777777" w:rsidR="00281494" w:rsidRPr="000B4392" w:rsidRDefault="002E2283" w:rsidP="00281494">
      <w:pPr>
        <w:pStyle w:val="NormalHanging12a"/>
      </w:pPr>
      <w:r>
        <w:t>3.</w:t>
      </w:r>
      <w:r>
        <w:tab/>
        <w:t>charge sa Présidente de transmettre la position du Parlement au Conseil et à la Commission ainsi qu’aux parlements nationaux.</w:t>
      </w:r>
    </w:p>
    <w:p w14:paraId="27910E8A" w14:textId="77777777" w:rsidR="00F45A6F" w:rsidRPr="000B4392" w:rsidRDefault="00F45A6F" w:rsidP="009F6C2F">
      <w:pPr>
        <w:pStyle w:val="NormalHanging12a"/>
      </w:pPr>
    </w:p>
    <w:p w14:paraId="02E79B5A" w14:textId="77777777" w:rsidR="00F45A6F" w:rsidRPr="000B4392" w:rsidRDefault="002E2283">
      <w:pPr>
        <w:widowControl/>
      </w:pPr>
      <w:r>
        <w:br w:type="page"/>
      </w:r>
    </w:p>
    <w:p w14:paraId="0A3F8FA9" w14:textId="77777777" w:rsidR="00F45A6F" w:rsidRPr="000B4392" w:rsidRDefault="00F45A6F" w:rsidP="00F45A6F"/>
    <w:p w14:paraId="4376F035" w14:textId="77777777" w:rsidR="00F45A6F" w:rsidRPr="000B4392" w:rsidRDefault="002E2283" w:rsidP="00F45A6F">
      <w:pPr>
        <w:pStyle w:val="AmNumberTabs"/>
      </w:pPr>
      <w:r>
        <w:rPr>
          <w:rStyle w:val="HideTWBExt"/>
        </w:rPr>
        <w:t>&lt;RepeatBlock-Amend&gt;&lt;Amend&gt;</w:t>
      </w:r>
      <w:r>
        <w:t>Amendement</w:t>
      </w:r>
      <w:r>
        <w:tab/>
      </w:r>
      <w:r>
        <w:tab/>
      </w:r>
      <w:r>
        <w:rPr>
          <w:rStyle w:val="HideTWBExt"/>
        </w:rPr>
        <w:t>&lt;NumAm&gt;</w:t>
      </w:r>
      <w:r>
        <w:t>1</w:t>
      </w:r>
      <w:r>
        <w:rPr>
          <w:rStyle w:val="HideTWBExt"/>
        </w:rPr>
        <w:t>&lt;/NumAm&gt;</w:t>
      </w:r>
    </w:p>
    <w:p w14:paraId="44E9F95C" w14:textId="77777777" w:rsidR="00F45A6F" w:rsidRPr="000B4392" w:rsidRDefault="002E2283" w:rsidP="00F45A6F">
      <w:pPr>
        <w:pStyle w:val="NormalBold12b"/>
      </w:pPr>
      <w:r>
        <w:rPr>
          <w:rStyle w:val="HideTWBExt"/>
        </w:rPr>
        <w:t>&lt;DocAmend&gt;</w:t>
      </w:r>
      <w:r>
        <w:t>Proposition de règlement</w:t>
      </w:r>
      <w:r>
        <w:rPr>
          <w:rStyle w:val="HideTWBExt"/>
        </w:rPr>
        <w:t>&lt;/DocAmend&gt;</w:t>
      </w:r>
    </w:p>
    <w:p w14:paraId="5F10205A" w14:textId="77777777" w:rsidR="00F45A6F" w:rsidRPr="000B4392" w:rsidRDefault="002E2283" w:rsidP="00F45A6F">
      <w:pPr>
        <w:pStyle w:val="NormalBold"/>
      </w:pPr>
      <w:r>
        <w:rPr>
          <w:rStyle w:val="HideTWBExt"/>
        </w:rPr>
        <w:t>&lt;Article&gt;</w:t>
      </w:r>
      <w:r>
        <w:t>Considérant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4A12BCAC" w14:textId="77777777" w:rsidTr="00F45A6F">
        <w:trPr>
          <w:trHeight w:val="240"/>
          <w:jc w:val="center"/>
        </w:trPr>
        <w:tc>
          <w:tcPr>
            <w:tcW w:w="9752" w:type="dxa"/>
            <w:gridSpan w:val="2"/>
          </w:tcPr>
          <w:p w14:paraId="08B6060C" w14:textId="77777777" w:rsidR="00F45A6F" w:rsidRPr="000B4392" w:rsidRDefault="00F45A6F"/>
        </w:tc>
      </w:tr>
      <w:tr w:rsidR="00EB13A1" w14:paraId="3CC1D8EE" w14:textId="77777777" w:rsidTr="00F45A6F">
        <w:trPr>
          <w:trHeight w:val="240"/>
          <w:jc w:val="center"/>
        </w:trPr>
        <w:tc>
          <w:tcPr>
            <w:tcW w:w="4876" w:type="dxa"/>
            <w:hideMark/>
          </w:tcPr>
          <w:p w14:paraId="4BDCE2CF" w14:textId="77777777" w:rsidR="00F45A6F" w:rsidRPr="000B4392" w:rsidRDefault="002E2283">
            <w:pPr>
              <w:pStyle w:val="AmColumnHeading"/>
            </w:pPr>
            <w:r>
              <w:t>Texte proposé par la Commission</w:t>
            </w:r>
          </w:p>
        </w:tc>
        <w:tc>
          <w:tcPr>
            <w:tcW w:w="4876" w:type="dxa"/>
            <w:hideMark/>
          </w:tcPr>
          <w:p w14:paraId="73F5EE3F" w14:textId="77777777" w:rsidR="00F45A6F" w:rsidRPr="000B4392" w:rsidRDefault="002E2283">
            <w:pPr>
              <w:pStyle w:val="AmColumnHeading"/>
            </w:pPr>
            <w:r>
              <w:t>Amendement</w:t>
            </w:r>
          </w:p>
        </w:tc>
      </w:tr>
      <w:tr w:rsidR="00EB13A1" w14:paraId="7BAB54A8" w14:textId="77777777" w:rsidTr="00F45A6F">
        <w:trPr>
          <w:jc w:val="center"/>
        </w:trPr>
        <w:tc>
          <w:tcPr>
            <w:tcW w:w="4876" w:type="dxa"/>
            <w:hideMark/>
          </w:tcPr>
          <w:p w14:paraId="73ABE79E" w14:textId="77777777" w:rsidR="00F45A6F" w:rsidRPr="000B4392" w:rsidRDefault="002E2283">
            <w:pPr>
              <w:pStyle w:val="Normal6a"/>
            </w:pPr>
            <w:r>
              <w:t>(15)</w:t>
            </w:r>
            <w:r>
              <w:tab/>
              <w:t xml:space="preserve">Au titre du </w:t>
            </w:r>
            <w:r>
              <w:t>règlement d’exécution (UE) 2019/159, le droit hors contingent est fixé à 25 %; cependant, compte tenu du niveau des droits de douane sur d’autres marchés clés du secteur sidérurgique, il convient de fixer le niveau de droit hors contingent à 50 % afin de réduire au minimum le risque de détournement des flux commerciaux. Ce droit viendrait s’ajouter à d’autres droits applicables aux catégories de produits couvertes par le présent règlement.</w:t>
            </w:r>
          </w:p>
        </w:tc>
        <w:tc>
          <w:tcPr>
            <w:tcW w:w="4876" w:type="dxa"/>
            <w:hideMark/>
          </w:tcPr>
          <w:p w14:paraId="24E18B57" w14:textId="77777777" w:rsidR="00F45A6F" w:rsidRPr="000B4392" w:rsidRDefault="002E2283">
            <w:pPr>
              <w:pStyle w:val="Normal6a"/>
            </w:pPr>
            <w:r>
              <w:t>(15)</w:t>
            </w:r>
            <w:r>
              <w:tab/>
              <w:t>Au titre du règlement d’exécution (UE) 2019/159, le droit hors contingent est fixé à 25 %; cependant, compte tenu du niveau des droits de douane sur d’autres marchés clés du secteur sidérurgique, il convient de fixer le niveau de droit hors contingent à 50 % afin de réduire au minimum le risque de détournement des flux commerciaux</w:t>
            </w:r>
            <w:r>
              <w:rPr>
                <w:b/>
                <w:i/>
              </w:rPr>
              <w:t xml:space="preserve"> et de permettre d’augmenter les capacités de production</w:t>
            </w:r>
            <w:r>
              <w:t>. Ce droit viendrait s’ajouter à d’autres droits applicables aux catégories de produits couvertes par le présent règlement.</w:t>
            </w:r>
          </w:p>
        </w:tc>
      </w:tr>
    </w:tbl>
    <w:p w14:paraId="76DB98E1" w14:textId="77777777" w:rsidR="00F45A6F" w:rsidRPr="000B4392" w:rsidRDefault="002E2283" w:rsidP="00F45A6F">
      <w:pPr>
        <w:pStyle w:val="AmOrLang"/>
      </w:pPr>
      <w:r w:rsidRPr="000B4392">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6184E6A6" w14:textId="77777777" w:rsidR="00F45A6F" w:rsidRPr="000B4392" w:rsidRDefault="002E2283" w:rsidP="00F45A6F">
      <w:r>
        <w:rPr>
          <w:rStyle w:val="HideTWBExt"/>
        </w:rPr>
        <w:t>&lt;/Amend&gt;</w:t>
      </w:r>
    </w:p>
    <w:p w14:paraId="42915256" w14:textId="77777777" w:rsidR="00F45A6F" w:rsidRPr="000B4392" w:rsidRDefault="00F45A6F" w:rsidP="00F45A6F"/>
    <w:p w14:paraId="5C107386" w14:textId="77777777" w:rsidR="00F45A6F" w:rsidRPr="000B4392" w:rsidRDefault="002E2283" w:rsidP="00F45A6F">
      <w:pPr>
        <w:pStyle w:val="AmNumberTabs"/>
      </w:pPr>
      <w:r>
        <w:rPr>
          <w:rStyle w:val="HideTWBExt"/>
        </w:rPr>
        <w:t>&lt;Amend&gt;</w:t>
      </w:r>
      <w:r>
        <w:t>Amendement</w:t>
      </w:r>
      <w:r>
        <w:tab/>
      </w:r>
      <w:r>
        <w:tab/>
      </w:r>
      <w:r>
        <w:rPr>
          <w:rStyle w:val="HideTWBExt"/>
        </w:rPr>
        <w:t>&lt;NumAm&gt;</w:t>
      </w:r>
      <w:r>
        <w:t>2</w:t>
      </w:r>
      <w:r>
        <w:rPr>
          <w:rStyle w:val="HideTWBExt"/>
        </w:rPr>
        <w:t>&lt;/NumAm&gt;</w:t>
      </w:r>
    </w:p>
    <w:p w14:paraId="7E2CC40D" w14:textId="77777777" w:rsidR="00F45A6F" w:rsidRPr="000B4392" w:rsidRDefault="002E2283" w:rsidP="00F45A6F">
      <w:pPr>
        <w:pStyle w:val="NormalBold12b"/>
      </w:pPr>
      <w:r>
        <w:rPr>
          <w:rStyle w:val="HideTWBExt"/>
        </w:rPr>
        <w:t>&lt;DocAmend&gt;</w:t>
      </w:r>
      <w:r>
        <w:t>Proposition de règlement</w:t>
      </w:r>
      <w:r>
        <w:rPr>
          <w:rStyle w:val="HideTWBExt"/>
        </w:rPr>
        <w:t>&lt;/DocAmend&gt;</w:t>
      </w:r>
    </w:p>
    <w:p w14:paraId="166A27E7" w14:textId="77777777" w:rsidR="00F45A6F" w:rsidRPr="000B4392" w:rsidRDefault="002E2283" w:rsidP="00F45A6F">
      <w:pPr>
        <w:pStyle w:val="NormalBold"/>
      </w:pPr>
      <w:r>
        <w:rPr>
          <w:rStyle w:val="HideTWBExt"/>
        </w:rPr>
        <w:t>&lt;Article&gt;</w:t>
      </w:r>
      <w:r>
        <w:t>Considérant 16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1350768A" w14:textId="77777777" w:rsidTr="00F45A6F">
        <w:trPr>
          <w:trHeight w:val="240"/>
          <w:jc w:val="center"/>
        </w:trPr>
        <w:tc>
          <w:tcPr>
            <w:tcW w:w="9752" w:type="dxa"/>
            <w:gridSpan w:val="2"/>
          </w:tcPr>
          <w:p w14:paraId="01898218" w14:textId="77777777" w:rsidR="00F45A6F" w:rsidRPr="000B4392" w:rsidRDefault="00F45A6F"/>
        </w:tc>
      </w:tr>
      <w:tr w:rsidR="00EB13A1" w14:paraId="6338AC58" w14:textId="77777777" w:rsidTr="00F45A6F">
        <w:trPr>
          <w:trHeight w:val="240"/>
          <w:jc w:val="center"/>
        </w:trPr>
        <w:tc>
          <w:tcPr>
            <w:tcW w:w="4876" w:type="dxa"/>
            <w:hideMark/>
          </w:tcPr>
          <w:p w14:paraId="10E038DF" w14:textId="77777777" w:rsidR="00F45A6F" w:rsidRPr="000B4392" w:rsidRDefault="002E2283">
            <w:pPr>
              <w:pStyle w:val="AmColumnHeading"/>
            </w:pPr>
            <w:r>
              <w:t>Texte proposé par la Commission</w:t>
            </w:r>
          </w:p>
        </w:tc>
        <w:tc>
          <w:tcPr>
            <w:tcW w:w="4876" w:type="dxa"/>
            <w:hideMark/>
          </w:tcPr>
          <w:p w14:paraId="04F26C7D" w14:textId="77777777" w:rsidR="00F45A6F" w:rsidRPr="000B4392" w:rsidRDefault="002E2283">
            <w:pPr>
              <w:pStyle w:val="AmColumnHeading"/>
            </w:pPr>
            <w:r>
              <w:t>Amendement</w:t>
            </w:r>
          </w:p>
        </w:tc>
      </w:tr>
      <w:tr w:rsidR="00EB13A1" w14:paraId="0931960E" w14:textId="77777777" w:rsidTr="00F45A6F">
        <w:trPr>
          <w:jc w:val="center"/>
        </w:trPr>
        <w:tc>
          <w:tcPr>
            <w:tcW w:w="4876" w:type="dxa"/>
          </w:tcPr>
          <w:p w14:paraId="1038A59E" w14:textId="77777777" w:rsidR="00F45A6F" w:rsidRPr="000B4392" w:rsidRDefault="00F45A6F">
            <w:pPr>
              <w:pStyle w:val="Normal6a"/>
            </w:pPr>
          </w:p>
        </w:tc>
        <w:tc>
          <w:tcPr>
            <w:tcW w:w="4876" w:type="dxa"/>
            <w:hideMark/>
          </w:tcPr>
          <w:p w14:paraId="683660EF" w14:textId="77777777" w:rsidR="00F45A6F" w:rsidRPr="000B4392" w:rsidRDefault="002E2283">
            <w:pPr>
              <w:pStyle w:val="Normal6a"/>
            </w:pPr>
            <w:r>
              <w:rPr>
                <w:b/>
                <w:i/>
              </w:rPr>
              <w:t>(16 bis)</w:t>
            </w:r>
            <w:r>
              <w:tab/>
            </w:r>
            <w:r>
              <w:rPr>
                <w:b/>
                <w:i/>
              </w:rPr>
              <w:t xml:space="preserve">Le présent règlement devrait être mis en œuvre dans le plein respect des obligations qui incombent à l’Union dans le cadre de l’OMC. La mesure vise à remédier aux distorsions du commerce provoquées par la surcapacité mondiale et devrait s’entendre comme un instrument visant à rétablir les conditions d’un commerce plus ouvert et davantage fondé sur des règles à l’avenir. L’objectif à long terme de l’Union est de faire en sorte que cet instrument facilite une plus grande libéralisation dès que les </w:t>
            </w:r>
            <w:r>
              <w:rPr>
                <w:b/>
                <w:i/>
              </w:rPr>
              <w:lastRenderedPageBreak/>
              <w:t>conditions</w:t>
            </w:r>
            <w:r>
              <w:rPr>
                <w:b/>
                <w:i/>
              </w:rPr>
              <w:t xml:space="preserve"> du marché se seront normalisées.</w:t>
            </w:r>
          </w:p>
        </w:tc>
      </w:tr>
    </w:tbl>
    <w:p w14:paraId="4E5659C6" w14:textId="77777777" w:rsidR="00F45A6F" w:rsidRPr="000B4392" w:rsidRDefault="002E2283" w:rsidP="00F45A6F">
      <w:pPr>
        <w:pStyle w:val="AmOrLang"/>
      </w:pPr>
      <w:r w:rsidRPr="000B4392">
        <w:lastRenderedPageBreak/>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61BECDBB" w14:textId="77777777" w:rsidR="00F45A6F" w:rsidRPr="000B4392" w:rsidRDefault="002E2283" w:rsidP="00F45A6F">
      <w:r>
        <w:rPr>
          <w:rStyle w:val="HideTWBExt"/>
        </w:rPr>
        <w:t>&lt;/Amend&gt;</w:t>
      </w:r>
    </w:p>
    <w:p w14:paraId="6FE75FBD" w14:textId="77777777" w:rsidR="00F45A6F" w:rsidRPr="000B4392" w:rsidRDefault="00F45A6F" w:rsidP="00F45A6F"/>
    <w:p w14:paraId="1A50C994" w14:textId="77777777" w:rsidR="00F45A6F" w:rsidRPr="000B4392" w:rsidRDefault="002E2283" w:rsidP="00F45A6F">
      <w:pPr>
        <w:pStyle w:val="AmNumberTabs"/>
      </w:pPr>
      <w:r>
        <w:rPr>
          <w:rStyle w:val="HideTWBExt"/>
        </w:rPr>
        <w:t>&lt;Amend&gt;</w:t>
      </w:r>
      <w:r>
        <w:t>Amendement</w:t>
      </w:r>
      <w:r>
        <w:tab/>
      </w:r>
      <w:r>
        <w:tab/>
      </w:r>
      <w:r>
        <w:rPr>
          <w:rStyle w:val="HideTWBExt"/>
        </w:rPr>
        <w:t>&lt;NumAm&gt;</w:t>
      </w:r>
      <w:r>
        <w:t>3</w:t>
      </w:r>
      <w:r>
        <w:rPr>
          <w:rStyle w:val="HideTWBExt"/>
        </w:rPr>
        <w:t>&lt;/NumAm&gt;</w:t>
      </w:r>
    </w:p>
    <w:p w14:paraId="2851E63E" w14:textId="77777777" w:rsidR="00F45A6F" w:rsidRPr="000B4392" w:rsidRDefault="002E2283" w:rsidP="00F45A6F">
      <w:pPr>
        <w:pStyle w:val="NormalBold12b"/>
      </w:pPr>
      <w:r>
        <w:rPr>
          <w:rStyle w:val="HideTWBExt"/>
        </w:rPr>
        <w:t>&lt;DocAmend&gt;</w:t>
      </w:r>
      <w:r>
        <w:t>Proposition de règlement</w:t>
      </w:r>
      <w:r>
        <w:rPr>
          <w:rStyle w:val="HideTWBExt"/>
        </w:rPr>
        <w:t>&lt;/DocAmend&gt;</w:t>
      </w:r>
    </w:p>
    <w:p w14:paraId="68FAAA31" w14:textId="77777777" w:rsidR="00F45A6F" w:rsidRPr="000B4392" w:rsidRDefault="002E2283" w:rsidP="00F45A6F">
      <w:pPr>
        <w:pStyle w:val="NormalBold"/>
      </w:pPr>
      <w:r>
        <w:rPr>
          <w:rStyle w:val="HideTWBExt"/>
        </w:rPr>
        <w:t>&lt;Article&gt;</w:t>
      </w:r>
      <w:r>
        <w:t>Considérant 20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48C12AD0" w14:textId="77777777" w:rsidTr="00F45A6F">
        <w:trPr>
          <w:trHeight w:val="240"/>
          <w:jc w:val="center"/>
        </w:trPr>
        <w:tc>
          <w:tcPr>
            <w:tcW w:w="9752" w:type="dxa"/>
            <w:gridSpan w:val="2"/>
          </w:tcPr>
          <w:p w14:paraId="7360198D" w14:textId="77777777" w:rsidR="00F45A6F" w:rsidRPr="000B4392" w:rsidRDefault="00F45A6F"/>
        </w:tc>
      </w:tr>
      <w:tr w:rsidR="00EB13A1" w14:paraId="2D1AE44D" w14:textId="77777777" w:rsidTr="00F45A6F">
        <w:trPr>
          <w:trHeight w:val="240"/>
          <w:jc w:val="center"/>
        </w:trPr>
        <w:tc>
          <w:tcPr>
            <w:tcW w:w="4876" w:type="dxa"/>
            <w:hideMark/>
          </w:tcPr>
          <w:p w14:paraId="35943951" w14:textId="77777777" w:rsidR="00F45A6F" w:rsidRPr="000B4392" w:rsidRDefault="002E2283">
            <w:pPr>
              <w:pStyle w:val="AmColumnHeading"/>
            </w:pPr>
            <w:r>
              <w:t>Texte proposé par la Commission</w:t>
            </w:r>
          </w:p>
        </w:tc>
        <w:tc>
          <w:tcPr>
            <w:tcW w:w="4876" w:type="dxa"/>
            <w:hideMark/>
          </w:tcPr>
          <w:p w14:paraId="1267A468" w14:textId="77777777" w:rsidR="00F45A6F" w:rsidRPr="000B4392" w:rsidRDefault="002E2283">
            <w:pPr>
              <w:pStyle w:val="AmColumnHeading"/>
            </w:pPr>
            <w:r>
              <w:t>Amendement</w:t>
            </w:r>
          </w:p>
        </w:tc>
      </w:tr>
      <w:tr w:rsidR="00EB13A1" w14:paraId="5FFA9106" w14:textId="77777777" w:rsidTr="00F45A6F">
        <w:trPr>
          <w:jc w:val="center"/>
        </w:trPr>
        <w:tc>
          <w:tcPr>
            <w:tcW w:w="4876" w:type="dxa"/>
          </w:tcPr>
          <w:p w14:paraId="7BB5327D" w14:textId="77777777" w:rsidR="00F45A6F" w:rsidRPr="000B4392" w:rsidRDefault="00F45A6F">
            <w:pPr>
              <w:pStyle w:val="Normal6a"/>
            </w:pPr>
          </w:p>
        </w:tc>
        <w:tc>
          <w:tcPr>
            <w:tcW w:w="4876" w:type="dxa"/>
            <w:hideMark/>
          </w:tcPr>
          <w:p w14:paraId="715EE16A" w14:textId="77777777" w:rsidR="00F45A6F" w:rsidRPr="000B4392" w:rsidRDefault="002E2283">
            <w:pPr>
              <w:pStyle w:val="Normal6a"/>
            </w:pPr>
            <w:r>
              <w:rPr>
                <w:b/>
                <w:i/>
              </w:rPr>
              <w:t>(20 bis)</w:t>
            </w:r>
            <w:r>
              <w:tab/>
            </w:r>
            <w:r>
              <w:rPr>
                <w:b/>
                <w:i/>
              </w:rPr>
              <w:t xml:space="preserve">Afin d’assurer la continuité et d’éviter les </w:t>
            </w:r>
            <w:r>
              <w:rPr>
                <w:b/>
                <w:i/>
              </w:rPr>
              <w:t>ruptures d’approvisionnement, il conviendrait d’autoriser le report au trimestre suivant des volumes des contingents tarifaires inutilisés au cours d’un trimestre, ce qui conférerait la flexibilité opérationnelle nécessaire tout en maintenant l’efficacité globale de la mesure.</w:t>
            </w:r>
          </w:p>
        </w:tc>
      </w:tr>
    </w:tbl>
    <w:p w14:paraId="2A9A7437" w14:textId="77777777" w:rsidR="00F45A6F" w:rsidRPr="000B4392" w:rsidRDefault="002E2283" w:rsidP="00F45A6F">
      <w:pPr>
        <w:pStyle w:val="AmOrLang"/>
      </w:pPr>
      <w:r w:rsidRPr="000B4392">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02691E14" w14:textId="77777777" w:rsidR="00F45A6F" w:rsidRPr="000B4392" w:rsidRDefault="002E2283" w:rsidP="00F45A6F">
      <w:r>
        <w:rPr>
          <w:rStyle w:val="HideTWBExt"/>
        </w:rPr>
        <w:t>&lt;/Amend&gt;</w:t>
      </w:r>
    </w:p>
    <w:p w14:paraId="15B38C4E" w14:textId="77777777" w:rsidR="00F45A6F" w:rsidRPr="000B4392" w:rsidRDefault="00F45A6F" w:rsidP="00F45A6F"/>
    <w:p w14:paraId="241A582B" w14:textId="77777777" w:rsidR="00F45A6F" w:rsidRPr="000B4392" w:rsidRDefault="002E2283" w:rsidP="00F45A6F">
      <w:pPr>
        <w:pStyle w:val="AmNumberTabs"/>
      </w:pPr>
      <w:r>
        <w:rPr>
          <w:rStyle w:val="HideTWBExt"/>
        </w:rPr>
        <w:t>&lt;Amend&gt;</w:t>
      </w:r>
      <w:r>
        <w:t>Amendement</w:t>
      </w:r>
      <w:r>
        <w:tab/>
      </w:r>
      <w:r>
        <w:tab/>
      </w:r>
      <w:r>
        <w:rPr>
          <w:rStyle w:val="HideTWBExt"/>
        </w:rPr>
        <w:t>&lt;NumAm&gt;</w:t>
      </w:r>
      <w:r>
        <w:t>4</w:t>
      </w:r>
      <w:r>
        <w:rPr>
          <w:rStyle w:val="HideTWBExt"/>
        </w:rPr>
        <w:t>&lt;/NumAm&gt;</w:t>
      </w:r>
    </w:p>
    <w:p w14:paraId="21B52D35" w14:textId="77777777" w:rsidR="00F45A6F" w:rsidRPr="000B4392" w:rsidRDefault="002E2283" w:rsidP="00F45A6F">
      <w:pPr>
        <w:pStyle w:val="NormalBold12b"/>
      </w:pPr>
      <w:r>
        <w:rPr>
          <w:rStyle w:val="HideTWBExt"/>
        </w:rPr>
        <w:t>&lt;DocAmend&gt;</w:t>
      </w:r>
      <w:r>
        <w:t>Proposition de règlement</w:t>
      </w:r>
      <w:r>
        <w:rPr>
          <w:rStyle w:val="HideTWBExt"/>
        </w:rPr>
        <w:t>&lt;/DocAmend&gt;</w:t>
      </w:r>
    </w:p>
    <w:p w14:paraId="3E941DF3" w14:textId="77777777" w:rsidR="00F45A6F" w:rsidRPr="000B4392" w:rsidRDefault="002E2283" w:rsidP="00F45A6F">
      <w:pPr>
        <w:pStyle w:val="NormalBold"/>
      </w:pPr>
      <w:r>
        <w:rPr>
          <w:rStyle w:val="HideTWBExt"/>
        </w:rPr>
        <w:t>&lt;Article&gt;</w:t>
      </w:r>
      <w:r>
        <w:t>Considérant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6A24B0AE" w14:textId="77777777" w:rsidTr="00F45A6F">
        <w:trPr>
          <w:trHeight w:val="240"/>
          <w:jc w:val="center"/>
        </w:trPr>
        <w:tc>
          <w:tcPr>
            <w:tcW w:w="9752" w:type="dxa"/>
            <w:gridSpan w:val="2"/>
          </w:tcPr>
          <w:p w14:paraId="534DC8FF" w14:textId="77777777" w:rsidR="00F45A6F" w:rsidRPr="000B4392" w:rsidRDefault="00F45A6F"/>
        </w:tc>
      </w:tr>
      <w:tr w:rsidR="00EB13A1" w14:paraId="069190E6" w14:textId="77777777" w:rsidTr="00F45A6F">
        <w:trPr>
          <w:trHeight w:val="240"/>
          <w:jc w:val="center"/>
        </w:trPr>
        <w:tc>
          <w:tcPr>
            <w:tcW w:w="4876" w:type="dxa"/>
            <w:hideMark/>
          </w:tcPr>
          <w:p w14:paraId="1C9AFF72" w14:textId="77777777" w:rsidR="00F45A6F" w:rsidRPr="000B4392" w:rsidRDefault="002E2283">
            <w:pPr>
              <w:pStyle w:val="AmColumnHeading"/>
            </w:pPr>
            <w:r>
              <w:t>Texte proposé par la Commission</w:t>
            </w:r>
          </w:p>
        </w:tc>
        <w:tc>
          <w:tcPr>
            <w:tcW w:w="4876" w:type="dxa"/>
            <w:hideMark/>
          </w:tcPr>
          <w:p w14:paraId="0146720A" w14:textId="77777777" w:rsidR="00F45A6F" w:rsidRPr="000B4392" w:rsidRDefault="002E2283">
            <w:pPr>
              <w:pStyle w:val="AmColumnHeading"/>
            </w:pPr>
            <w:r>
              <w:t>Amendement</w:t>
            </w:r>
          </w:p>
        </w:tc>
      </w:tr>
      <w:tr w:rsidR="00EB13A1" w14:paraId="6FF92A41" w14:textId="77777777" w:rsidTr="00F45A6F">
        <w:trPr>
          <w:jc w:val="center"/>
        </w:trPr>
        <w:tc>
          <w:tcPr>
            <w:tcW w:w="4876" w:type="dxa"/>
            <w:hideMark/>
          </w:tcPr>
          <w:p w14:paraId="197081ED" w14:textId="77777777" w:rsidR="00F45A6F" w:rsidRPr="000B4392" w:rsidRDefault="002E2283">
            <w:pPr>
              <w:pStyle w:val="Normal6a"/>
            </w:pPr>
            <w:r>
              <w:t>(21)</w:t>
            </w:r>
            <w:r>
              <w:tab/>
              <w:t xml:space="preserve">Afin de garantir que </w:t>
            </w:r>
            <w:r>
              <w:t xml:space="preserve">la mesure est efficace pour lutter contre les effets de la surcapacité mondiale, et compte tenu des spécificités des produits sidérurgiques et des techniques modernes de production et d’approvisionnement, il est important d’identifier le pays de «fusion et coulée». Le pays de «fusion et coulée» désigne l’endroit d’origine où l’on produit d’abord l’acier et le fer bruts sous forme liquide, dans un four à fonte d’acier ou de fer, avant de les couler pour qu’ils prennent </w:t>
            </w:r>
            <w:r>
              <w:lastRenderedPageBreak/>
              <w:t>leur état solide primaire. Cet état sol</w:t>
            </w:r>
            <w:r>
              <w:t>ide primaire peut constituer soit un produit semi-fini, y compris, entre autres, des brames, des billettes ou des lingots, soit un produit fini en acier. Demander la preuve que le pays est bien le pays de «fusion et coulée» permettra d’éviter que l’acier produit dans certains pays contribuant à la surcapacité mondiale n’entre indûment sur le marché de l’Union après avoir été transformé dans d’autres pays, et d’accroître la transparence de la chaîne d’approvisionnement intérieure pour les importations d’acie</w:t>
            </w:r>
            <w:r>
              <w:t>r.</w:t>
            </w:r>
          </w:p>
        </w:tc>
        <w:tc>
          <w:tcPr>
            <w:tcW w:w="4876" w:type="dxa"/>
            <w:hideMark/>
          </w:tcPr>
          <w:p w14:paraId="0C35332E" w14:textId="77777777" w:rsidR="00F45A6F" w:rsidRPr="000B4392" w:rsidRDefault="002E2283">
            <w:pPr>
              <w:pStyle w:val="Normal6a"/>
            </w:pPr>
            <w:r>
              <w:lastRenderedPageBreak/>
              <w:t>(21)</w:t>
            </w:r>
            <w:r>
              <w:tab/>
              <w:t xml:space="preserve">Afin de garantir que la mesure est efficace pour lutter contre les effets de la surcapacité mondiale, et compte tenu des spécificités des produits sidérurgiques et des techniques modernes de production et d’approvisionnement, il est important d’identifier le pays de «fusion et coulée». Le pays de «fusion et coulée» désigne l’endroit d’origine où l’on produit d’abord l’acier et le fer bruts sous forme liquide, dans un four à fonte d’acier ou de fer, avant de les couler pour qu’ils prennent </w:t>
            </w:r>
            <w:r>
              <w:lastRenderedPageBreak/>
              <w:t xml:space="preserve">leur état solide </w:t>
            </w:r>
            <w:r>
              <w:t>primaire. Cet état solide primaire peut constituer soit un produit semi-fini, y compris, entre autres, des brames, des billettes ou des lingots, soit un produit fini en acier. Demander la preuve que le pays est bien le pays de «fusion et coulée» permettra d’éviter que l’acier produit dans certains pays contribuant à la surcapacité mondiale n’entre indûment sur le marché de l’Union après avoir été transformé dans d’autres pays, et d’accroître la transparence de la chaîne d’approvisionnement intérieure pour l</w:t>
            </w:r>
            <w:r>
              <w:t xml:space="preserve">es importations d’acier. </w:t>
            </w:r>
            <w:r>
              <w:rPr>
                <w:b/>
                <w:i/>
              </w:rPr>
              <w:t>Il conviendrait de demander cette preuve d’une manière qui limiterait autant que possible la charge administrative et qui permettrait aux petites et moyennes entreprises (PME) de se conformer plus facilement à leurs obligations.</w:t>
            </w:r>
          </w:p>
        </w:tc>
      </w:tr>
    </w:tbl>
    <w:p w14:paraId="44D6FB00" w14:textId="77777777" w:rsidR="00F45A6F" w:rsidRPr="000B4392" w:rsidRDefault="002E2283" w:rsidP="00F45A6F">
      <w:pPr>
        <w:pStyle w:val="AmOrLang"/>
      </w:pPr>
      <w:r w:rsidRPr="000B4392">
        <w:lastRenderedPageBreak/>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066816EE" w14:textId="77777777" w:rsidR="00F45A6F" w:rsidRPr="000B4392" w:rsidRDefault="002E2283" w:rsidP="00F45A6F">
      <w:r>
        <w:rPr>
          <w:rStyle w:val="HideTWBExt"/>
        </w:rPr>
        <w:t>&lt;/Amend&gt;</w:t>
      </w:r>
    </w:p>
    <w:p w14:paraId="62445976" w14:textId="77777777" w:rsidR="00F45A6F" w:rsidRPr="000B4392" w:rsidRDefault="00F45A6F" w:rsidP="00F45A6F"/>
    <w:p w14:paraId="7328FC20" w14:textId="77777777" w:rsidR="00F45A6F" w:rsidRPr="000B4392" w:rsidRDefault="002E2283" w:rsidP="00F45A6F">
      <w:pPr>
        <w:pStyle w:val="AmNumberTabs"/>
      </w:pPr>
      <w:r>
        <w:rPr>
          <w:rStyle w:val="HideTWBExt"/>
        </w:rPr>
        <w:t>&lt;Amend&gt;</w:t>
      </w:r>
      <w:r>
        <w:t>Amendement</w:t>
      </w:r>
      <w:r>
        <w:tab/>
      </w:r>
      <w:r>
        <w:tab/>
      </w:r>
      <w:r>
        <w:rPr>
          <w:rStyle w:val="HideTWBExt"/>
        </w:rPr>
        <w:t>&lt;NumAm&gt;</w:t>
      </w:r>
      <w:r>
        <w:t>5</w:t>
      </w:r>
      <w:r>
        <w:rPr>
          <w:rStyle w:val="HideTWBExt"/>
        </w:rPr>
        <w:t>&lt;/NumAm&gt;</w:t>
      </w:r>
    </w:p>
    <w:p w14:paraId="065D45EC" w14:textId="77777777" w:rsidR="00F45A6F" w:rsidRPr="000B4392" w:rsidRDefault="002E2283" w:rsidP="00F45A6F">
      <w:pPr>
        <w:pStyle w:val="NormalBold12b"/>
      </w:pPr>
      <w:r>
        <w:rPr>
          <w:rStyle w:val="HideTWBExt"/>
        </w:rPr>
        <w:t>&lt;DocAmend&gt;</w:t>
      </w:r>
      <w:r>
        <w:t>Proposition de règlement</w:t>
      </w:r>
      <w:r>
        <w:rPr>
          <w:rStyle w:val="HideTWBExt"/>
        </w:rPr>
        <w:t>&lt;/DocAmend&gt;</w:t>
      </w:r>
    </w:p>
    <w:p w14:paraId="43503099" w14:textId="77777777" w:rsidR="00F45A6F" w:rsidRPr="000B4392" w:rsidRDefault="002E2283" w:rsidP="00F45A6F">
      <w:pPr>
        <w:pStyle w:val="NormalBold"/>
      </w:pPr>
      <w:r>
        <w:rPr>
          <w:rStyle w:val="HideTWBExt"/>
        </w:rPr>
        <w:t>&lt;Article&gt;</w:t>
      </w:r>
      <w:r>
        <w:t>Considérant 21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221AB248" w14:textId="77777777" w:rsidTr="00F45A6F">
        <w:trPr>
          <w:trHeight w:val="240"/>
          <w:jc w:val="center"/>
        </w:trPr>
        <w:tc>
          <w:tcPr>
            <w:tcW w:w="9752" w:type="dxa"/>
            <w:gridSpan w:val="2"/>
          </w:tcPr>
          <w:p w14:paraId="76652A75" w14:textId="77777777" w:rsidR="00F45A6F" w:rsidRPr="000B4392" w:rsidRDefault="00F45A6F"/>
        </w:tc>
      </w:tr>
      <w:tr w:rsidR="00EB13A1" w14:paraId="3957E0ED" w14:textId="77777777" w:rsidTr="00F45A6F">
        <w:trPr>
          <w:trHeight w:val="240"/>
          <w:jc w:val="center"/>
        </w:trPr>
        <w:tc>
          <w:tcPr>
            <w:tcW w:w="4876" w:type="dxa"/>
            <w:hideMark/>
          </w:tcPr>
          <w:p w14:paraId="75363DA8" w14:textId="77777777" w:rsidR="00F45A6F" w:rsidRPr="000B4392" w:rsidRDefault="002E2283">
            <w:pPr>
              <w:pStyle w:val="AmColumnHeading"/>
            </w:pPr>
            <w:r>
              <w:t>Texte proposé par la Commission</w:t>
            </w:r>
          </w:p>
        </w:tc>
        <w:tc>
          <w:tcPr>
            <w:tcW w:w="4876" w:type="dxa"/>
            <w:hideMark/>
          </w:tcPr>
          <w:p w14:paraId="3CE85D81" w14:textId="77777777" w:rsidR="00F45A6F" w:rsidRPr="000B4392" w:rsidRDefault="002E2283">
            <w:pPr>
              <w:pStyle w:val="AmColumnHeading"/>
            </w:pPr>
            <w:r>
              <w:t>Amendement</w:t>
            </w:r>
          </w:p>
        </w:tc>
      </w:tr>
      <w:tr w:rsidR="00EB13A1" w14:paraId="5D26748C" w14:textId="77777777" w:rsidTr="00F45A6F">
        <w:trPr>
          <w:jc w:val="center"/>
        </w:trPr>
        <w:tc>
          <w:tcPr>
            <w:tcW w:w="4876" w:type="dxa"/>
          </w:tcPr>
          <w:p w14:paraId="7B5CAD60" w14:textId="77777777" w:rsidR="00F45A6F" w:rsidRPr="000B4392" w:rsidRDefault="00F45A6F">
            <w:pPr>
              <w:pStyle w:val="Normal6a"/>
            </w:pPr>
          </w:p>
        </w:tc>
        <w:tc>
          <w:tcPr>
            <w:tcW w:w="4876" w:type="dxa"/>
            <w:hideMark/>
          </w:tcPr>
          <w:p w14:paraId="2D742E71" w14:textId="77777777" w:rsidR="00F45A6F" w:rsidRPr="000B4392" w:rsidRDefault="002E2283">
            <w:pPr>
              <w:pStyle w:val="Normal6a"/>
            </w:pPr>
            <w:r>
              <w:rPr>
                <w:b/>
                <w:i/>
              </w:rPr>
              <w:t>(21 bis)</w:t>
            </w:r>
            <w:r>
              <w:tab/>
            </w:r>
            <w:r>
              <w:rPr>
                <w:b/>
                <w:i/>
              </w:rPr>
              <w:t xml:space="preserve">Les </w:t>
            </w:r>
            <w:r>
              <w:rPr>
                <w:b/>
                <w:i/>
              </w:rPr>
              <w:t>importations de produits dont l’acier a été fondu et coulé dans la Fédération de Russie ou en Biélorussie ne devraient pas pouvoir accéder au marché de l’Union ni bénéficier de contingents tarifaires. En conséquence, tous ces produits devraient faire l’objet d’une interdiction automatique aux frontières extérieures de l’Union.</w:t>
            </w:r>
          </w:p>
        </w:tc>
      </w:tr>
    </w:tbl>
    <w:p w14:paraId="27521459" w14:textId="77777777" w:rsidR="00F45A6F" w:rsidRPr="000B4392" w:rsidRDefault="002E2283" w:rsidP="00F45A6F">
      <w:pPr>
        <w:pStyle w:val="AmOrLang"/>
      </w:pPr>
      <w:r w:rsidRPr="000B4392">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12E36CFB" w14:textId="77777777" w:rsidR="00F45A6F" w:rsidRPr="000B4392" w:rsidRDefault="002E2283" w:rsidP="00F45A6F">
      <w:r>
        <w:rPr>
          <w:rStyle w:val="HideTWBExt"/>
        </w:rPr>
        <w:t>&lt;/Amend&gt;</w:t>
      </w:r>
    </w:p>
    <w:p w14:paraId="39D89A12" w14:textId="77777777" w:rsidR="00F45A6F" w:rsidRPr="000B4392" w:rsidRDefault="002E2283" w:rsidP="00F45A6F">
      <w:pPr>
        <w:pStyle w:val="AmNumberTabs"/>
      </w:pPr>
      <w:r>
        <w:rPr>
          <w:rStyle w:val="HideTWBExt"/>
        </w:rPr>
        <w:lastRenderedPageBreak/>
        <w:t>&lt;Amend&gt;</w:t>
      </w:r>
      <w:r>
        <w:t>Amendement</w:t>
      </w:r>
      <w:r>
        <w:tab/>
      </w:r>
      <w:r>
        <w:tab/>
      </w:r>
      <w:r>
        <w:rPr>
          <w:rStyle w:val="HideTWBExt"/>
        </w:rPr>
        <w:t>&lt;NumAm&gt;</w:t>
      </w:r>
      <w:r>
        <w:t>6</w:t>
      </w:r>
      <w:r>
        <w:rPr>
          <w:rStyle w:val="HideTWBExt"/>
        </w:rPr>
        <w:t>&lt;/NumAm&gt;</w:t>
      </w:r>
    </w:p>
    <w:p w14:paraId="459B89EB" w14:textId="77777777" w:rsidR="00F45A6F" w:rsidRPr="000B4392" w:rsidRDefault="002E2283" w:rsidP="00F45A6F">
      <w:pPr>
        <w:pStyle w:val="NormalBold12b"/>
      </w:pPr>
      <w:r>
        <w:rPr>
          <w:rStyle w:val="HideTWBExt"/>
        </w:rPr>
        <w:t>&lt;DocAmend&gt;</w:t>
      </w:r>
      <w:r>
        <w:t>Proposition de règlement</w:t>
      </w:r>
      <w:r>
        <w:rPr>
          <w:rStyle w:val="HideTWBExt"/>
        </w:rPr>
        <w:t>&lt;/DocAmend&gt;</w:t>
      </w:r>
    </w:p>
    <w:p w14:paraId="7B06CCFE" w14:textId="77777777" w:rsidR="00F45A6F" w:rsidRPr="000B4392" w:rsidRDefault="002E2283" w:rsidP="00F45A6F">
      <w:pPr>
        <w:pStyle w:val="NormalBold"/>
      </w:pPr>
      <w:r>
        <w:rPr>
          <w:rStyle w:val="HideTWBExt"/>
        </w:rPr>
        <w:t>&lt;Article&gt;</w:t>
      </w:r>
      <w:r>
        <w:t>Considérant 25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5ECDBACB" w14:textId="77777777" w:rsidTr="00F45A6F">
        <w:trPr>
          <w:trHeight w:val="240"/>
          <w:jc w:val="center"/>
        </w:trPr>
        <w:tc>
          <w:tcPr>
            <w:tcW w:w="9752" w:type="dxa"/>
            <w:gridSpan w:val="2"/>
          </w:tcPr>
          <w:p w14:paraId="4EF31732" w14:textId="77777777" w:rsidR="00F45A6F" w:rsidRPr="000B4392" w:rsidRDefault="00F45A6F"/>
        </w:tc>
      </w:tr>
      <w:tr w:rsidR="00EB13A1" w14:paraId="50DE17B5" w14:textId="77777777" w:rsidTr="00F45A6F">
        <w:trPr>
          <w:trHeight w:val="240"/>
          <w:jc w:val="center"/>
        </w:trPr>
        <w:tc>
          <w:tcPr>
            <w:tcW w:w="4876" w:type="dxa"/>
            <w:hideMark/>
          </w:tcPr>
          <w:p w14:paraId="1583F197" w14:textId="77777777" w:rsidR="00F45A6F" w:rsidRPr="000B4392" w:rsidRDefault="002E2283">
            <w:pPr>
              <w:pStyle w:val="AmColumnHeading"/>
            </w:pPr>
            <w:r>
              <w:t>Texte proposé par la Commission</w:t>
            </w:r>
          </w:p>
        </w:tc>
        <w:tc>
          <w:tcPr>
            <w:tcW w:w="4876" w:type="dxa"/>
            <w:hideMark/>
          </w:tcPr>
          <w:p w14:paraId="01D7DA4B" w14:textId="77777777" w:rsidR="00F45A6F" w:rsidRPr="000B4392" w:rsidRDefault="002E2283">
            <w:pPr>
              <w:pStyle w:val="AmColumnHeading"/>
            </w:pPr>
            <w:r>
              <w:t>Amendement</w:t>
            </w:r>
          </w:p>
        </w:tc>
      </w:tr>
      <w:tr w:rsidR="00EB13A1" w14:paraId="5EBFDBC7" w14:textId="77777777" w:rsidTr="00F45A6F">
        <w:trPr>
          <w:jc w:val="center"/>
        </w:trPr>
        <w:tc>
          <w:tcPr>
            <w:tcW w:w="4876" w:type="dxa"/>
          </w:tcPr>
          <w:p w14:paraId="734057E4" w14:textId="77777777" w:rsidR="00F45A6F" w:rsidRPr="000B4392" w:rsidRDefault="00F45A6F">
            <w:pPr>
              <w:pStyle w:val="Normal6a"/>
            </w:pPr>
          </w:p>
        </w:tc>
        <w:tc>
          <w:tcPr>
            <w:tcW w:w="4876" w:type="dxa"/>
            <w:hideMark/>
          </w:tcPr>
          <w:p w14:paraId="0678AE35" w14:textId="77777777" w:rsidR="00F45A6F" w:rsidRPr="000B4392" w:rsidRDefault="002E2283">
            <w:pPr>
              <w:pStyle w:val="Normal6a"/>
            </w:pPr>
            <w:r>
              <w:rPr>
                <w:b/>
                <w:i/>
              </w:rPr>
              <w:t>(25 bis)</w:t>
            </w:r>
            <w:r>
              <w:tab/>
            </w:r>
            <w:r>
              <w:rPr>
                <w:b/>
                <w:i/>
              </w:rPr>
              <w:t>Conformément à l’engagement de l’Union à soutenir l’économie ukrainienne dans le cadre de l’actuelle guerre d’agression et en vertu du règlement (UE) 2025/1153 du Parlement européen et du Conseil</w:t>
            </w:r>
            <w:r>
              <w:rPr>
                <w:b/>
                <w:i/>
                <w:vertAlign w:val="superscript"/>
              </w:rPr>
              <w:t>1 bis</w:t>
            </w:r>
            <w:r>
              <w:rPr>
                <w:b/>
                <w:i/>
              </w:rPr>
              <w:t>, les importations originaires d’Ukraine devraient bénéficier d’une exemption totale aussi longtemps que ce pays sera confronté à une situation exceptionnelle et immédiate en matière de sécurité.</w:t>
            </w:r>
          </w:p>
        </w:tc>
      </w:tr>
      <w:tr w:rsidR="00EB13A1" w14:paraId="4D1BFC18" w14:textId="77777777" w:rsidTr="00F45A6F">
        <w:trPr>
          <w:jc w:val="center"/>
        </w:trPr>
        <w:tc>
          <w:tcPr>
            <w:tcW w:w="4876" w:type="dxa"/>
          </w:tcPr>
          <w:p w14:paraId="015F47CD" w14:textId="77777777" w:rsidR="007153C7" w:rsidRPr="000B4392" w:rsidRDefault="007153C7">
            <w:pPr>
              <w:pStyle w:val="Normal6a"/>
            </w:pPr>
          </w:p>
        </w:tc>
        <w:tc>
          <w:tcPr>
            <w:tcW w:w="4876" w:type="dxa"/>
          </w:tcPr>
          <w:p w14:paraId="3F52232B" w14:textId="77777777" w:rsidR="007153C7" w:rsidRPr="000B4392" w:rsidRDefault="002E2283">
            <w:pPr>
              <w:pStyle w:val="Normal6a"/>
              <w:rPr>
                <w:b/>
                <w:i/>
              </w:rPr>
            </w:pPr>
            <w:r>
              <w:rPr>
                <w:b/>
                <w:i/>
              </w:rPr>
              <w:t>_________________</w:t>
            </w:r>
          </w:p>
        </w:tc>
      </w:tr>
      <w:tr w:rsidR="00EB13A1" w14:paraId="18A61FF2" w14:textId="77777777" w:rsidTr="00F45A6F">
        <w:trPr>
          <w:jc w:val="center"/>
        </w:trPr>
        <w:tc>
          <w:tcPr>
            <w:tcW w:w="4876" w:type="dxa"/>
          </w:tcPr>
          <w:p w14:paraId="45A2F0FF" w14:textId="77777777" w:rsidR="00A33C6B" w:rsidRPr="000B4392" w:rsidRDefault="00A33C6B">
            <w:pPr>
              <w:pStyle w:val="Normal6a"/>
              <w:rPr>
                <w:b/>
                <w:bCs/>
                <w:i/>
                <w:iCs/>
              </w:rPr>
            </w:pPr>
          </w:p>
        </w:tc>
        <w:tc>
          <w:tcPr>
            <w:tcW w:w="4876" w:type="dxa"/>
          </w:tcPr>
          <w:p w14:paraId="17043D08" w14:textId="77777777" w:rsidR="00A33C6B" w:rsidRPr="000B4392" w:rsidRDefault="002E2283">
            <w:pPr>
              <w:pStyle w:val="Normal6a"/>
              <w:rPr>
                <w:b/>
                <w:bCs/>
                <w:i/>
                <w:iCs/>
              </w:rPr>
            </w:pPr>
            <w:r>
              <w:rPr>
                <w:b/>
                <w:i/>
                <w:vertAlign w:val="superscript"/>
              </w:rPr>
              <w:t>1 bis</w:t>
            </w:r>
            <w:r>
              <w:rPr>
                <w:b/>
                <w:i/>
              </w:rPr>
              <w:t xml:space="preserve"> Règlement (UE) 2025/1153 du Parlement européen et du Conseil du 5 juin 2025 portant suspension de certaines dispositions du règlement (UE) 2015/478 en ce qui concerne les importations de produits ukrainiens dans l’Union </w:t>
            </w:r>
            <w:r>
              <w:rPr>
                <w:rStyle w:val="Emphasis"/>
                <w:b/>
                <w:i w:val="0"/>
              </w:rPr>
              <w:t>(JO L, 2025/1153, 5.6.2025, ELI: </w:t>
            </w:r>
            <w:hyperlink r:id="rId9" w:tgtFrame="_blank" w:tooltip="Permet d’accéder à ce document par l’intermédiaire de son URI ELI." w:history="1">
              <w:r>
                <w:rPr>
                  <w:rStyle w:val="Hyperlink"/>
                  <w:b/>
                  <w:i/>
                  <w:color w:val="auto"/>
                </w:rPr>
                <w:t>http://data.europa.eu/eli/reg/2025/1153/oj</w:t>
              </w:r>
            </w:hyperlink>
            <w:r>
              <w:rPr>
                <w:rStyle w:val="Emphasis"/>
                <w:b/>
                <w:i w:val="0"/>
              </w:rPr>
              <w:t>).</w:t>
            </w:r>
          </w:p>
        </w:tc>
      </w:tr>
    </w:tbl>
    <w:p w14:paraId="382437B1" w14:textId="77777777" w:rsidR="00F45A6F" w:rsidRPr="000B4392" w:rsidRDefault="002E2283" w:rsidP="00F45A6F">
      <w:pPr>
        <w:pStyle w:val="AmOrLang"/>
      </w:pPr>
      <w:r w:rsidRPr="000B4392">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607964A7" w14:textId="77777777" w:rsidR="00F45A6F" w:rsidRPr="000B4392" w:rsidRDefault="002E2283" w:rsidP="00F45A6F">
      <w:r>
        <w:rPr>
          <w:rStyle w:val="HideTWBExt"/>
        </w:rPr>
        <w:t>&lt;/Amend&gt;</w:t>
      </w:r>
    </w:p>
    <w:p w14:paraId="2C175554" w14:textId="77777777" w:rsidR="00F45A6F" w:rsidRPr="000B4392" w:rsidRDefault="002E2283" w:rsidP="00F45A6F">
      <w:pPr>
        <w:pStyle w:val="AmNumberTabs"/>
      </w:pPr>
      <w:r>
        <w:rPr>
          <w:rStyle w:val="HideTWBExt"/>
        </w:rPr>
        <w:t>&lt;Amend&gt;</w:t>
      </w:r>
      <w:r>
        <w:t>Amendement</w:t>
      </w:r>
      <w:r>
        <w:tab/>
      </w:r>
      <w:r>
        <w:tab/>
      </w:r>
      <w:r>
        <w:rPr>
          <w:rStyle w:val="HideTWBExt"/>
        </w:rPr>
        <w:t>&lt;NumAm&gt;</w:t>
      </w:r>
      <w:r>
        <w:t>7</w:t>
      </w:r>
      <w:r>
        <w:rPr>
          <w:rStyle w:val="HideTWBExt"/>
        </w:rPr>
        <w:t>&lt;/NumAm&gt;</w:t>
      </w:r>
    </w:p>
    <w:p w14:paraId="16313842" w14:textId="77777777" w:rsidR="00F45A6F" w:rsidRPr="000B4392" w:rsidRDefault="002E2283" w:rsidP="00F45A6F">
      <w:pPr>
        <w:pStyle w:val="NormalBold12b"/>
      </w:pPr>
      <w:r>
        <w:rPr>
          <w:rStyle w:val="HideTWBExt"/>
        </w:rPr>
        <w:t>&lt;DocAmend&gt;</w:t>
      </w:r>
      <w:r>
        <w:t>Proposition de règlement</w:t>
      </w:r>
      <w:r>
        <w:rPr>
          <w:rStyle w:val="HideTWBExt"/>
        </w:rPr>
        <w:t>&lt;/DocAmend&gt;</w:t>
      </w:r>
    </w:p>
    <w:p w14:paraId="7947ED0D" w14:textId="77777777" w:rsidR="00F45A6F" w:rsidRPr="000B4392" w:rsidRDefault="002E2283" w:rsidP="00F45A6F">
      <w:pPr>
        <w:pStyle w:val="NormalBold"/>
      </w:pPr>
      <w:r>
        <w:rPr>
          <w:rStyle w:val="HideTWBExt"/>
        </w:rPr>
        <w:t>&lt;Article&gt;</w:t>
      </w:r>
      <w:r>
        <w:t>Considérant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4DD6F69A" w14:textId="77777777" w:rsidTr="00F45A6F">
        <w:trPr>
          <w:trHeight w:val="240"/>
          <w:jc w:val="center"/>
        </w:trPr>
        <w:tc>
          <w:tcPr>
            <w:tcW w:w="9752" w:type="dxa"/>
            <w:gridSpan w:val="2"/>
          </w:tcPr>
          <w:p w14:paraId="575E0AF3" w14:textId="77777777" w:rsidR="00F45A6F" w:rsidRPr="000B4392" w:rsidRDefault="00F45A6F"/>
        </w:tc>
      </w:tr>
      <w:tr w:rsidR="00EB13A1" w14:paraId="277616CC" w14:textId="77777777" w:rsidTr="00F45A6F">
        <w:trPr>
          <w:trHeight w:val="240"/>
          <w:jc w:val="center"/>
        </w:trPr>
        <w:tc>
          <w:tcPr>
            <w:tcW w:w="4876" w:type="dxa"/>
            <w:hideMark/>
          </w:tcPr>
          <w:p w14:paraId="4ABF421E" w14:textId="77777777" w:rsidR="00F45A6F" w:rsidRPr="000B4392" w:rsidRDefault="002E2283">
            <w:pPr>
              <w:pStyle w:val="AmColumnHeading"/>
            </w:pPr>
            <w:r>
              <w:t>Texte proposé par la Commission</w:t>
            </w:r>
          </w:p>
        </w:tc>
        <w:tc>
          <w:tcPr>
            <w:tcW w:w="4876" w:type="dxa"/>
            <w:hideMark/>
          </w:tcPr>
          <w:p w14:paraId="26586060" w14:textId="77777777" w:rsidR="00F45A6F" w:rsidRPr="000B4392" w:rsidRDefault="002E2283">
            <w:pPr>
              <w:pStyle w:val="AmColumnHeading"/>
            </w:pPr>
            <w:r>
              <w:t>Amendement</w:t>
            </w:r>
          </w:p>
        </w:tc>
      </w:tr>
      <w:tr w:rsidR="00EB13A1" w14:paraId="1C33034F" w14:textId="77777777" w:rsidTr="00F45A6F">
        <w:trPr>
          <w:jc w:val="center"/>
        </w:trPr>
        <w:tc>
          <w:tcPr>
            <w:tcW w:w="4876" w:type="dxa"/>
            <w:hideMark/>
          </w:tcPr>
          <w:p w14:paraId="7855545E" w14:textId="77777777" w:rsidR="00F45A6F" w:rsidRPr="000B4392" w:rsidRDefault="002E2283">
            <w:pPr>
              <w:pStyle w:val="Normal6a"/>
            </w:pPr>
            <w:r>
              <w:t>(26)</w:t>
            </w:r>
            <w:r>
              <w:tab/>
              <w:t xml:space="preserve">La Commission devrait évaluer, au plus tard </w:t>
            </w:r>
            <w:r>
              <w:rPr>
                <w:b/>
                <w:i/>
              </w:rPr>
              <w:t>dans les deux ans suivant l’adoption</w:t>
            </w:r>
            <w:r>
              <w:t xml:space="preserve"> du présent règlement, la nécessité d’adapter le champ d’application des produits couverts par ledit règlement et, si elle le juge nécessaire, envisager l’élaboration d’une proposition législative visant à y ajouter des produits </w:t>
            </w:r>
            <w:r>
              <w:lastRenderedPageBreak/>
              <w:t xml:space="preserve">sidérurgiques </w:t>
            </w:r>
            <w:r>
              <w:rPr>
                <w:b/>
                <w:i/>
              </w:rPr>
              <w:t>supplémentaires</w:t>
            </w:r>
            <w:r>
              <w:t>, y compris des produits fabriqués à partir d’acier ou contenant une quantité importante d’acier.</w:t>
            </w:r>
          </w:p>
        </w:tc>
        <w:tc>
          <w:tcPr>
            <w:tcW w:w="4876" w:type="dxa"/>
            <w:hideMark/>
          </w:tcPr>
          <w:p w14:paraId="7C928631" w14:textId="77777777" w:rsidR="00F45A6F" w:rsidRPr="000B4392" w:rsidRDefault="002E2283">
            <w:pPr>
              <w:pStyle w:val="Normal6a"/>
            </w:pPr>
            <w:r>
              <w:lastRenderedPageBreak/>
              <w:t>(26)</w:t>
            </w:r>
            <w:r>
              <w:tab/>
              <w:t xml:space="preserve">La Commission devrait évaluer, au plus tard </w:t>
            </w:r>
            <w:r>
              <w:rPr>
                <w:b/>
                <w:i/>
              </w:rPr>
              <w:t>un an à compter de la date d’entrée en vigueur</w:t>
            </w:r>
            <w:r>
              <w:t xml:space="preserve"> du présent règlement, la nécessité d’adapter le champ d’application des produits couverts par ledit règlement et, si elle le juge nécessaire, envisager l’élaboration d’une proposition législative visant à y ajouter </w:t>
            </w:r>
            <w:r>
              <w:rPr>
                <w:b/>
                <w:i/>
              </w:rPr>
              <w:t>ou à en retirer</w:t>
            </w:r>
            <w:r>
              <w:t xml:space="preserve"> </w:t>
            </w:r>
            <w:r>
              <w:lastRenderedPageBreak/>
              <w:t xml:space="preserve">des produits sidérurgiques, y compris des produits fabriqués à partir d’acier ou contenant une quantité importante d’acier. </w:t>
            </w:r>
            <w:r>
              <w:rPr>
                <w:b/>
                <w:i/>
              </w:rPr>
              <w:t>Afin de garantir l’efficacité du présent règlement, il est essent</w:t>
            </w:r>
            <w:r>
              <w:rPr>
                <w:b/>
                <w:i/>
              </w:rPr>
              <w:t>iel, dans le cadre de cette évaluation, d’examiner attentivement si les problèmes auxquels le présent règlement entend remédier sont résolus et s’ils ne sont pas involontairement déplacés plus loin dans la chaîne de valeur.</w:t>
            </w:r>
          </w:p>
        </w:tc>
      </w:tr>
    </w:tbl>
    <w:p w14:paraId="6C12AAC3" w14:textId="77777777" w:rsidR="00F45A6F" w:rsidRPr="000B4392" w:rsidRDefault="002E2283" w:rsidP="00F45A6F">
      <w:pPr>
        <w:pStyle w:val="AmOrLang"/>
      </w:pPr>
      <w:r w:rsidRPr="000B4392">
        <w:lastRenderedPageBreak/>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232DFC78" w14:textId="77777777" w:rsidR="00F45A6F" w:rsidRPr="000B4392" w:rsidRDefault="002E2283" w:rsidP="00F45A6F">
      <w:r>
        <w:rPr>
          <w:rStyle w:val="HideTWBExt"/>
        </w:rPr>
        <w:t>&lt;/Amend&gt;</w:t>
      </w:r>
    </w:p>
    <w:p w14:paraId="363B445D" w14:textId="77777777" w:rsidR="006C3E5B" w:rsidRPr="000B4392" w:rsidRDefault="002E2283" w:rsidP="006C3E5B">
      <w:pPr>
        <w:pStyle w:val="AmNumberTabs"/>
      </w:pPr>
      <w:r>
        <w:rPr>
          <w:rStyle w:val="HideTWBExt"/>
        </w:rPr>
        <w:t>&lt;Amend&gt;</w:t>
      </w:r>
      <w:r>
        <w:t>Amendement</w:t>
      </w:r>
      <w:r>
        <w:tab/>
      </w:r>
      <w:r>
        <w:tab/>
      </w:r>
      <w:r>
        <w:rPr>
          <w:rStyle w:val="HideTWBExt"/>
        </w:rPr>
        <w:t>&lt;NumAm&gt;</w:t>
      </w:r>
      <w:r>
        <w:t>8</w:t>
      </w:r>
      <w:r>
        <w:rPr>
          <w:rStyle w:val="HideTWBExt"/>
        </w:rPr>
        <w:t>&lt;/NumAm&gt;</w:t>
      </w:r>
    </w:p>
    <w:p w14:paraId="1ABA632D" w14:textId="77777777" w:rsidR="006C3E5B" w:rsidRPr="000B4392" w:rsidRDefault="002E2283" w:rsidP="006C3E5B">
      <w:pPr>
        <w:pStyle w:val="NormalBold12b"/>
      </w:pPr>
      <w:r>
        <w:rPr>
          <w:rStyle w:val="HideTWBExt"/>
        </w:rPr>
        <w:t>&lt;DocAmend&gt;</w:t>
      </w:r>
      <w:r>
        <w:t>Proposition de règlement</w:t>
      </w:r>
      <w:r>
        <w:rPr>
          <w:rStyle w:val="HideTWBExt"/>
        </w:rPr>
        <w:t>&lt;/DocAmend&gt;</w:t>
      </w:r>
    </w:p>
    <w:p w14:paraId="7B7B8272" w14:textId="77777777" w:rsidR="006C3E5B" w:rsidRPr="000B4392" w:rsidRDefault="002E2283" w:rsidP="006C3E5B">
      <w:pPr>
        <w:pStyle w:val="NormalBold"/>
      </w:pPr>
      <w:r>
        <w:rPr>
          <w:rStyle w:val="HideTWBExt"/>
        </w:rPr>
        <w:t>&lt;Article&gt;</w:t>
      </w:r>
      <w:r>
        <w:t>Considérant 26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0C9C1827" w14:textId="77777777" w:rsidTr="006C3E5B">
        <w:trPr>
          <w:trHeight w:val="240"/>
          <w:jc w:val="center"/>
        </w:trPr>
        <w:tc>
          <w:tcPr>
            <w:tcW w:w="9752" w:type="dxa"/>
            <w:gridSpan w:val="2"/>
          </w:tcPr>
          <w:p w14:paraId="4C484C18" w14:textId="77777777" w:rsidR="006C3E5B" w:rsidRPr="000B4392" w:rsidRDefault="006C3E5B"/>
        </w:tc>
      </w:tr>
      <w:tr w:rsidR="00EB13A1" w14:paraId="5A9E5659" w14:textId="77777777" w:rsidTr="006C3E5B">
        <w:trPr>
          <w:trHeight w:val="240"/>
          <w:jc w:val="center"/>
        </w:trPr>
        <w:tc>
          <w:tcPr>
            <w:tcW w:w="4876" w:type="dxa"/>
            <w:hideMark/>
          </w:tcPr>
          <w:p w14:paraId="5B574511" w14:textId="77777777" w:rsidR="006C3E5B" w:rsidRPr="000B4392" w:rsidRDefault="002E2283">
            <w:pPr>
              <w:pStyle w:val="AmColumnHeading"/>
            </w:pPr>
            <w:r>
              <w:t xml:space="preserve">Texte </w:t>
            </w:r>
            <w:r>
              <w:t>proposé par la Commission</w:t>
            </w:r>
          </w:p>
        </w:tc>
        <w:tc>
          <w:tcPr>
            <w:tcW w:w="4876" w:type="dxa"/>
            <w:hideMark/>
          </w:tcPr>
          <w:p w14:paraId="3E018028" w14:textId="77777777" w:rsidR="006C3E5B" w:rsidRPr="000B4392" w:rsidRDefault="002E2283">
            <w:pPr>
              <w:pStyle w:val="AmColumnHeading"/>
            </w:pPr>
            <w:r>
              <w:t>Amendement</w:t>
            </w:r>
          </w:p>
        </w:tc>
      </w:tr>
      <w:tr w:rsidR="00EB13A1" w14:paraId="418FB7FB" w14:textId="77777777" w:rsidTr="006C3E5B">
        <w:trPr>
          <w:jc w:val="center"/>
        </w:trPr>
        <w:tc>
          <w:tcPr>
            <w:tcW w:w="4876" w:type="dxa"/>
          </w:tcPr>
          <w:p w14:paraId="076369AE" w14:textId="77777777" w:rsidR="006C3E5B" w:rsidRPr="000B4392" w:rsidRDefault="006C3E5B">
            <w:pPr>
              <w:pStyle w:val="Normal6a"/>
            </w:pPr>
          </w:p>
        </w:tc>
        <w:tc>
          <w:tcPr>
            <w:tcW w:w="4876" w:type="dxa"/>
            <w:hideMark/>
          </w:tcPr>
          <w:p w14:paraId="0BD9E76B" w14:textId="77777777" w:rsidR="006C3E5B" w:rsidRPr="000B4392" w:rsidRDefault="002E2283">
            <w:pPr>
              <w:pStyle w:val="Normal6a"/>
            </w:pPr>
            <w:r>
              <w:rPr>
                <w:b/>
                <w:i/>
              </w:rPr>
              <w:t>(26 bis)</w:t>
            </w:r>
            <w:r>
              <w:tab/>
            </w:r>
            <w:r>
              <w:rPr>
                <w:b/>
                <w:i/>
              </w:rPr>
              <w:t xml:space="preserve">La Commission devrait établir un rapport annuel sur la mise en œuvre du présent règlement et le présenter au Parlement européen et au Conseil. Ce rapport annuel devrait notamment contenir des </w:t>
            </w:r>
            <w:r>
              <w:rPr>
                <w:b/>
                <w:i/>
              </w:rPr>
              <w:t>informations sur l’utilisation et l’évolution des contingents ainsi que sur la catégorie et le volume des importations auxquelles s’applique le droit de 50 %. Le rapport annuel devrait être rendu public.</w:t>
            </w:r>
          </w:p>
        </w:tc>
      </w:tr>
    </w:tbl>
    <w:p w14:paraId="4191F64B" w14:textId="77777777" w:rsidR="006C3E5B" w:rsidRPr="000B4392" w:rsidRDefault="002E2283" w:rsidP="006C3E5B">
      <w:pPr>
        <w:pStyle w:val="AmOrLang"/>
      </w:pPr>
      <w:r w:rsidRPr="000B4392">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17A27A7C" w14:textId="77777777" w:rsidR="006C3E5B" w:rsidRPr="000B4392" w:rsidRDefault="002E2283" w:rsidP="006C3E5B">
      <w:r>
        <w:rPr>
          <w:rStyle w:val="HideTWBExt"/>
        </w:rPr>
        <w:t>&lt;/Amend&gt;</w:t>
      </w:r>
    </w:p>
    <w:p w14:paraId="4F41955A" w14:textId="77777777" w:rsidR="006C3E5B" w:rsidRPr="000B4392" w:rsidRDefault="002E2283" w:rsidP="006C3E5B">
      <w:pPr>
        <w:pStyle w:val="AmNumberTabs"/>
      </w:pPr>
      <w:r>
        <w:rPr>
          <w:rStyle w:val="HideTWBExt"/>
        </w:rPr>
        <w:t>&lt;Amend&gt;</w:t>
      </w:r>
      <w:r>
        <w:t>Amendement</w:t>
      </w:r>
      <w:r>
        <w:tab/>
      </w:r>
      <w:r>
        <w:tab/>
      </w:r>
      <w:r>
        <w:rPr>
          <w:rStyle w:val="HideTWBExt"/>
        </w:rPr>
        <w:t>&lt;NumAm&gt;</w:t>
      </w:r>
      <w:r>
        <w:t>9</w:t>
      </w:r>
      <w:r>
        <w:rPr>
          <w:rStyle w:val="HideTWBExt"/>
        </w:rPr>
        <w:t>&lt;/NumAm&gt;</w:t>
      </w:r>
    </w:p>
    <w:p w14:paraId="220B8147" w14:textId="77777777" w:rsidR="006C3E5B" w:rsidRPr="000B4392" w:rsidRDefault="002E2283" w:rsidP="006C3E5B">
      <w:pPr>
        <w:pStyle w:val="NormalBold12b"/>
      </w:pPr>
      <w:r>
        <w:rPr>
          <w:rStyle w:val="HideTWBExt"/>
        </w:rPr>
        <w:t>&lt;DocAmend&gt;</w:t>
      </w:r>
      <w:r>
        <w:t>Proposition de règlement</w:t>
      </w:r>
      <w:r>
        <w:rPr>
          <w:rStyle w:val="HideTWBExt"/>
        </w:rPr>
        <w:t>&lt;/DocAmend&gt;</w:t>
      </w:r>
    </w:p>
    <w:p w14:paraId="2E6B43A1" w14:textId="77777777" w:rsidR="006C3E5B" w:rsidRPr="000B4392" w:rsidRDefault="002E2283" w:rsidP="006C3E5B">
      <w:pPr>
        <w:pStyle w:val="NormalBold"/>
      </w:pPr>
      <w:r>
        <w:rPr>
          <w:rStyle w:val="HideTWBExt"/>
        </w:rPr>
        <w:t>&lt;Article&gt;</w:t>
      </w:r>
      <w:r>
        <w:t>Considérant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147553A3" w14:textId="77777777" w:rsidTr="006C3E5B">
        <w:trPr>
          <w:trHeight w:val="240"/>
          <w:jc w:val="center"/>
        </w:trPr>
        <w:tc>
          <w:tcPr>
            <w:tcW w:w="9752" w:type="dxa"/>
            <w:gridSpan w:val="2"/>
          </w:tcPr>
          <w:p w14:paraId="640E5239" w14:textId="77777777" w:rsidR="006C3E5B" w:rsidRPr="000B4392" w:rsidRDefault="006C3E5B"/>
        </w:tc>
      </w:tr>
      <w:tr w:rsidR="00EB13A1" w14:paraId="16C798B5" w14:textId="77777777" w:rsidTr="006C3E5B">
        <w:trPr>
          <w:trHeight w:val="240"/>
          <w:jc w:val="center"/>
        </w:trPr>
        <w:tc>
          <w:tcPr>
            <w:tcW w:w="4876" w:type="dxa"/>
            <w:hideMark/>
          </w:tcPr>
          <w:p w14:paraId="74166283" w14:textId="77777777" w:rsidR="006C3E5B" w:rsidRPr="000B4392" w:rsidRDefault="002E2283">
            <w:pPr>
              <w:pStyle w:val="AmColumnHeading"/>
            </w:pPr>
            <w:r>
              <w:t>Texte proposé par la Commission</w:t>
            </w:r>
          </w:p>
        </w:tc>
        <w:tc>
          <w:tcPr>
            <w:tcW w:w="4876" w:type="dxa"/>
            <w:hideMark/>
          </w:tcPr>
          <w:p w14:paraId="19CE34AD" w14:textId="77777777" w:rsidR="006C3E5B" w:rsidRPr="000B4392" w:rsidRDefault="002E2283">
            <w:pPr>
              <w:pStyle w:val="AmColumnHeading"/>
            </w:pPr>
            <w:r>
              <w:t>Amendement</w:t>
            </w:r>
          </w:p>
        </w:tc>
      </w:tr>
      <w:tr w:rsidR="00EB13A1" w14:paraId="1CF1E061" w14:textId="77777777" w:rsidTr="006C3E5B">
        <w:trPr>
          <w:jc w:val="center"/>
        </w:trPr>
        <w:tc>
          <w:tcPr>
            <w:tcW w:w="4876" w:type="dxa"/>
            <w:hideMark/>
          </w:tcPr>
          <w:p w14:paraId="023A12A7" w14:textId="77777777" w:rsidR="006C3E5B" w:rsidRPr="000B4392" w:rsidRDefault="002E2283">
            <w:pPr>
              <w:pStyle w:val="Normal6a"/>
            </w:pPr>
            <w:r>
              <w:t>(27)</w:t>
            </w:r>
            <w:r>
              <w:tab/>
              <w:t xml:space="preserve">Avant </w:t>
            </w:r>
            <w:r>
              <w:rPr>
                <w:b/>
                <w:i/>
              </w:rPr>
              <w:t>le 1</w:t>
            </w:r>
            <w:r>
              <w:rPr>
                <w:b/>
                <w:i/>
                <w:vertAlign w:val="superscript"/>
              </w:rPr>
              <w:t>er</w:t>
            </w:r>
            <w:r>
              <w:rPr>
                <w:b/>
                <w:i/>
              </w:rPr>
              <w:t> juillet 2031</w:t>
            </w:r>
            <w:r>
              <w:t xml:space="preserve">, et tous les </w:t>
            </w:r>
            <w:r>
              <w:rPr>
                <w:b/>
                <w:i/>
              </w:rPr>
              <w:t>cinq</w:t>
            </w:r>
            <w:r>
              <w:t xml:space="preserve"> ans par la suite, la Commission devrait évaluer l’évolution des principaux </w:t>
            </w:r>
            <w:r>
              <w:lastRenderedPageBreak/>
              <w:t>paramètres qui ont justifié l’adoption du présent règlement, y compris l’évolution et les tendances de la surcapacité mondiale, ainsi que ses effets sur le marché de l’acier. La Commission devrait également réexaminer la situation des mesures de restriction des échanges adoptées par des pays tiers à l’égard de l’acier ainsi que les implications et les répercussions que ces mesures peuvent avoir, ou sont susceptibles d’avoir, quant a</w:t>
            </w:r>
            <w:r>
              <w:t>u risque de détournement des flux commerciaux vers le marché de l’Union. En outre, la Commission devrait analyser la situation concernant l’existence de politiques et de pratiques non fondées sur le marché dans les pays tiers et leur incidence sur le marché de l’acier de l’Union. La Commission devrait par ailleurs évaluer l’évolution des performances économiques de l’industrie sidérurgique de l’Union ainsi que l’évolution de ses projets de décarbonation,</w:t>
            </w:r>
          </w:p>
        </w:tc>
        <w:tc>
          <w:tcPr>
            <w:tcW w:w="4876" w:type="dxa"/>
            <w:hideMark/>
          </w:tcPr>
          <w:p w14:paraId="08EA3B4E" w14:textId="77777777" w:rsidR="006C3E5B" w:rsidRPr="000B4392" w:rsidRDefault="002E2283">
            <w:pPr>
              <w:pStyle w:val="Normal6a"/>
            </w:pPr>
            <w:r>
              <w:lastRenderedPageBreak/>
              <w:t>(27)</w:t>
            </w:r>
            <w:r>
              <w:tab/>
              <w:t xml:space="preserve">Avant </w:t>
            </w:r>
            <w:r>
              <w:rPr>
                <w:b/>
                <w:i/>
              </w:rPr>
              <w:t>la fin de la deuxième année à compter de la date d’entrée en vigueur du présent règlement</w:t>
            </w:r>
            <w:r>
              <w:t xml:space="preserve">, et tous les </w:t>
            </w:r>
            <w:r>
              <w:rPr>
                <w:b/>
                <w:i/>
              </w:rPr>
              <w:t>deux</w:t>
            </w:r>
            <w:r>
              <w:t xml:space="preserve"> ans </w:t>
            </w:r>
            <w:r>
              <w:lastRenderedPageBreak/>
              <w:t xml:space="preserve">par la suite, la Commission devrait évaluer l’évolution des principaux paramètres qui ont justifié l’adoption du présent règlement, y compris l’évolution et les tendances de la surcapacité mondiale, ainsi que ses effets sur le marché de l’acier </w:t>
            </w:r>
            <w:r>
              <w:rPr>
                <w:b/>
                <w:i/>
              </w:rPr>
              <w:t>et les chaînes de valeur en aval</w:t>
            </w:r>
            <w:r>
              <w:t>. La Commission devrait également réexaminer la situation des mesures de restriction des échanges adoptées par des p</w:t>
            </w:r>
            <w:r>
              <w:t xml:space="preserve">ays tiers à l’égard de l’acier ainsi que les implications et les répercussions que ces mesures peuvent avoir, ou sont susceptibles d’avoir, quant au risque de détournement des flux commerciaux vers le marché de l’Union. En outre, la Commission devrait analyser la situation concernant l’existence de politiques et de pratiques non fondées sur le marché dans les pays tiers et leur incidence sur le marché de l’acier de l’Union. La Commission devrait par ailleurs évaluer l’évolution des performances économiques </w:t>
            </w:r>
            <w:r>
              <w:t>de l’industrie sidérurgique de l’Union</w:t>
            </w:r>
            <w:r>
              <w:rPr>
                <w:b/>
                <w:i/>
              </w:rPr>
              <w:t>, notamment les niveaux de prix et l’utilisation des capacités,</w:t>
            </w:r>
            <w:r>
              <w:t xml:space="preserve"> ainsi que l’évolution de ses projets de décarbonation,</w:t>
            </w:r>
          </w:p>
        </w:tc>
      </w:tr>
    </w:tbl>
    <w:p w14:paraId="0639A6D3" w14:textId="77777777" w:rsidR="006C3E5B" w:rsidRPr="000B4392" w:rsidRDefault="002E2283" w:rsidP="006C3E5B">
      <w:pPr>
        <w:pStyle w:val="AmOrLang"/>
      </w:pPr>
      <w:r w:rsidRPr="000B4392">
        <w:lastRenderedPageBreak/>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6CC19CB7" w14:textId="77777777" w:rsidR="006C3E5B" w:rsidRPr="000B4392" w:rsidRDefault="002E2283" w:rsidP="006C3E5B">
      <w:r>
        <w:rPr>
          <w:rStyle w:val="HideTWBExt"/>
        </w:rPr>
        <w:t>&lt;/Amend&gt;</w:t>
      </w:r>
    </w:p>
    <w:p w14:paraId="5AA6198B" w14:textId="77777777" w:rsidR="006C3E5B" w:rsidRPr="000B4392" w:rsidRDefault="002E2283" w:rsidP="006C3E5B">
      <w:pPr>
        <w:pStyle w:val="AmNumberTabs"/>
      </w:pPr>
      <w:r>
        <w:rPr>
          <w:rStyle w:val="HideTWBExt"/>
        </w:rPr>
        <w:t>&lt;Amend&gt;</w:t>
      </w:r>
      <w:r>
        <w:t>Amendement</w:t>
      </w:r>
      <w:r>
        <w:tab/>
      </w:r>
      <w:r>
        <w:tab/>
      </w:r>
      <w:r>
        <w:rPr>
          <w:rStyle w:val="HideTWBExt"/>
        </w:rPr>
        <w:t>&lt;NumAm&gt;</w:t>
      </w:r>
      <w:r>
        <w:t>10</w:t>
      </w:r>
      <w:r>
        <w:rPr>
          <w:rStyle w:val="HideTWBExt"/>
        </w:rPr>
        <w:t>&lt;/NumAm&gt;</w:t>
      </w:r>
    </w:p>
    <w:p w14:paraId="312ED1DF" w14:textId="77777777" w:rsidR="006C3E5B" w:rsidRPr="000B4392" w:rsidRDefault="002E2283" w:rsidP="006C3E5B">
      <w:pPr>
        <w:pStyle w:val="NormalBold12b"/>
      </w:pPr>
      <w:r>
        <w:rPr>
          <w:rStyle w:val="HideTWBExt"/>
        </w:rPr>
        <w:t>&lt;DocAmend&gt;</w:t>
      </w:r>
      <w:r>
        <w:t>Proposition de règlement</w:t>
      </w:r>
      <w:r>
        <w:rPr>
          <w:rStyle w:val="HideTWBExt"/>
        </w:rPr>
        <w:t>&lt;/DocAmend&gt;</w:t>
      </w:r>
    </w:p>
    <w:p w14:paraId="6C3632D3" w14:textId="77777777" w:rsidR="006C3E5B" w:rsidRPr="000B4392" w:rsidRDefault="002E2283" w:rsidP="006C3E5B">
      <w:pPr>
        <w:pStyle w:val="NormalBold"/>
      </w:pPr>
      <w:r>
        <w:rPr>
          <w:rStyle w:val="HideTWBExt"/>
        </w:rPr>
        <w:t>&lt;Article&gt;</w:t>
      </w:r>
      <w:r>
        <w:t>Article 1 bis – alinéa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5C6903B1" w14:textId="77777777" w:rsidTr="006C3E5B">
        <w:trPr>
          <w:trHeight w:val="240"/>
          <w:jc w:val="center"/>
        </w:trPr>
        <w:tc>
          <w:tcPr>
            <w:tcW w:w="9752" w:type="dxa"/>
            <w:gridSpan w:val="2"/>
          </w:tcPr>
          <w:p w14:paraId="7648A82F" w14:textId="77777777" w:rsidR="006C3E5B" w:rsidRPr="000B4392" w:rsidRDefault="006C3E5B"/>
        </w:tc>
      </w:tr>
      <w:tr w:rsidR="00EB13A1" w14:paraId="331453B4" w14:textId="77777777" w:rsidTr="006C3E5B">
        <w:trPr>
          <w:trHeight w:val="240"/>
          <w:jc w:val="center"/>
        </w:trPr>
        <w:tc>
          <w:tcPr>
            <w:tcW w:w="4876" w:type="dxa"/>
            <w:hideMark/>
          </w:tcPr>
          <w:p w14:paraId="43BF7771" w14:textId="77777777" w:rsidR="006C3E5B" w:rsidRPr="000B4392" w:rsidRDefault="002E2283">
            <w:pPr>
              <w:pStyle w:val="AmColumnHeading"/>
            </w:pPr>
            <w:r>
              <w:t>Texte proposé par la Commission</w:t>
            </w:r>
          </w:p>
        </w:tc>
        <w:tc>
          <w:tcPr>
            <w:tcW w:w="4876" w:type="dxa"/>
            <w:hideMark/>
          </w:tcPr>
          <w:p w14:paraId="2355F13C" w14:textId="77777777" w:rsidR="006C3E5B" w:rsidRPr="000B4392" w:rsidRDefault="002E2283">
            <w:pPr>
              <w:pStyle w:val="AmColumnHeading"/>
            </w:pPr>
            <w:r>
              <w:t>Amendement</w:t>
            </w:r>
          </w:p>
        </w:tc>
      </w:tr>
      <w:tr w:rsidR="00EB13A1" w14:paraId="712CBCF5" w14:textId="77777777" w:rsidTr="006C3E5B">
        <w:trPr>
          <w:jc w:val="center"/>
        </w:trPr>
        <w:tc>
          <w:tcPr>
            <w:tcW w:w="4876" w:type="dxa"/>
            <w:hideMark/>
          </w:tcPr>
          <w:p w14:paraId="2DDBF01E" w14:textId="77777777" w:rsidR="006C3E5B" w:rsidRPr="000B4392" w:rsidRDefault="002E2283">
            <w:pPr>
              <w:pStyle w:val="Normal6a"/>
            </w:pPr>
            <w:r>
              <w:t>L’article 1</w:t>
            </w:r>
            <w:r>
              <w:rPr>
                <w:vertAlign w:val="superscript"/>
              </w:rPr>
              <w:t>er</w:t>
            </w:r>
            <w:r>
              <w:t xml:space="preserve"> ne s’applique pas aux produits originaires de Norvège, d’Islande ou du Liechtenstein.</w:t>
            </w:r>
          </w:p>
        </w:tc>
        <w:tc>
          <w:tcPr>
            <w:tcW w:w="4876" w:type="dxa"/>
            <w:hideMark/>
          </w:tcPr>
          <w:p w14:paraId="69976C90" w14:textId="77777777" w:rsidR="006C3E5B" w:rsidRPr="000B4392" w:rsidRDefault="002E2283">
            <w:pPr>
              <w:pStyle w:val="Normal6a"/>
            </w:pPr>
            <w:r>
              <w:t>L’article 1</w:t>
            </w:r>
            <w:r>
              <w:rPr>
                <w:vertAlign w:val="superscript"/>
              </w:rPr>
              <w:t>er</w:t>
            </w:r>
            <w:r>
              <w:t xml:space="preserve"> ne s’applique pas aux produits originaires de Norvège, d’Islande ou du Liechtenstein</w:t>
            </w:r>
            <w:r>
              <w:rPr>
                <w:b/>
                <w:i/>
              </w:rPr>
              <w:t>, et il ne s’applique pas à un pays candidat aussi longtemps que ce pays est confronté à une situation exceptionnelle et immédiate en matière de sécurité</w:t>
            </w:r>
            <w:r>
              <w:t>.</w:t>
            </w:r>
          </w:p>
        </w:tc>
      </w:tr>
    </w:tbl>
    <w:p w14:paraId="5C59EB61" w14:textId="77777777" w:rsidR="006C3E5B" w:rsidRPr="000B4392" w:rsidRDefault="002E2283" w:rsidP="006C3E5B">
      <w:pPr>
        <w:pStyle w:val="AmOrLang"/>
      </w:pPr>
      <w:r w:rsidRPr="000B4392">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00A7C321" w14:textId="77777777" w:rsidR="006C3E5B" w:rsidRPr="000B4392" w:rsidRDefault="002E2283" w:rsidP="006C3E5B">
      <w:r>
        <w:rPr>
          <w:rStyle w:val="HideTWBExt"/>
        </w:rPr>
        <w:lastRenderedPageBreak/>
        <w:t>&lt;/Amend&gt;</w:t>
      </w:r>
    </w:p>
    <w:p w14:paraId="3EF58921" w14:textId="77777777" w:rsidR="006C3E5B" w:rsidRPr="000B4392" w:rsidRDefault="002E2283" w:rsidP="006C3E5B">
      <w:pPr>
        <w:pStyle w:val="AmNumberTabs"/>
      </w:pPr>
      <w:r>
        <w:rPr>
          <w:rStyle w:val="HideTWBExt"/>
        </w:rPr>
        <w:t>&lt;Amend&gt;</w:t>
      </w:r>
      <w:r>
        <w:t>Amendement</w:t>
      </w:r>
      <w:r>
        <w:tab/>
      </w:r>
      <w:r>
        <w:tab/>
      </w:r>
      <w:r>
        <w:rPr>
          <w:rStyle w:val="HideTWBExt"/>
        </w:rPr>
        <w:t>&lt;NumAm&gt;</w:t>
      </w:r>
      <w:r>
        <w:t>11</w:t>
      </w:r>
      <w:r>
        <w:rPr>
          <w:rStyle w:val="HideTWBExt"/>
        </w:rPr>
        <w:t>&lt;/NumAm&gt;</w:t>
      </w:r>
    </w:p>
    <w:p w14:paraId="6C9A7D0C" w14:textId="77777777" w:rsidR="006C3E5B" w:rsidRPr="000B4392" w:rsidRDefault="002E2283" w:rsidP="006C3E5B">
      <w:pPr>
        <w:pStyle w:val="NormalBold12b"/>
      </w:pPr>
      <w:r>
        <w:rPr>
          <w:rStyle w:val="HideTWBExt"/>
        </w:rPr>
        <w:t>&lt;DocAmend&gt;</w:t>
      </w:r>
      <w:r>
        <w:t>Proposition de règlement</w:t>
      </w:r>
      <w:r>
        <w:rPr>
          <w:rStyle w:val="HideTWBExt"/>
        </w:rPr>
        <w:t>&lt;/DocAmend&gt;</w:t>
      </w:r>
    </w:p>
    <w:p w14:paraId="7DBC144A" w14:textId="77777777" w:rsidR="006C3E5B" w:rsidRPr="000B4392" w:rsidRDefault="002E2283" w:rsidP="006C3E5B">
      <w:pPr>
        <w:pStyle w:val="NormalBold"/>
      </w:pPr>
      <w:r>
        <w:rPr>
          <w:rStyle w:val="HideTWBExt"/>
        </w:rPr>
        <w:t>&lt;Article&gt;</w:t>
      </w:r>
      <w:r>
        <w:t>Article 2 – paragraphe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0679236E" w14:textId="77777777" w:rsidTr="006C3E5B">
        <w:trPr>
          <w:trHeight w:val="240"/>
          <w:jc w:val="center"/>
        </w:trPr>
        <w:tc>
          <w:tcPr>
            <w:tcW w:w="9752" w:type="dxa"/>
            <w:gridSpan w:val="2"/>
          </w:tcPr>
          <w:p w14:paraId="3363607B" w14:textId="77777777" w:rsidR="006C3E5B" w:rsidRPr="000B4392" w:rsidRDefault="006C3E5B"/>
        </w:tc>
      </w:tr>
      <w:tr w:rsidR="00EB13A1" w14:paraId="6C606880" w14:textId="77777777" w:rsidTr="006C3E5B">
        <w:trPr>
          <w:trHeight w:val="240"/>
          <w:jc w:val="center"/>
        </w:trPr>
        <w:tc>
          <w:tcPr>
            <w:tcW w:w="4876" w:type="dxa"/>
            <w:hideMark/>
          </w:tcPr>
          <w:p w14:paraId="7050F725" w14:textId="77777777" w:rsidR="006C3E5B" w:rsidRPr="000B4392" w:rsidRDefault="002E2283">
            <w:pPr>
              <w:pStyle w:val="AmColumnHeading"/>
            </w:pPr>
            <w:r>
              <w:t>Texte proposé par la Commission</w:t>
            </w:r>
          </w:p>
        </w:tc>
        <w:tc>
          <w:tcPr>
            <w:tcW w:w="4876" w:type="dxa"/>
            <w:hideMark/>
          </w:tcPr>
          <w:p w14:paraId="6D262B84" w14:textId="77777777" w:rsidR="006C3E5B" w:rsidRPr="000B4392" w:rsidRDefault="002E2283">
            <w:pPr>
              <w:pStyle w:val="AmColumnHeading"/>
            </w:pPr>
            <w:r>
              <w:t>Amendement</w:t>
            </w:r>
          </w:p>
        </w:tc>
      </w:tr>
      <w:tr w:rsidR="00EB13A1" w14:paraId="54456CCB" w14:textId="77777777" w:rsidTr="006C3E5B">
        <w:trPr>
          <w:jc w:val="center"/>
        </w:trPr>
        <w:tc>
          <w:tcPr>
            <w:tcW w:w="4876" w:type="dxa"/>
            <w:hideMark/>
          </w:tcPr>
          <w:p w14:paraId="4995F8F3" w14:textId="77777777" w:rsidR="006C3E5B" w:rsidRPr="000B4392" w:rsidRDefault="002E2283">
            <w:pPr>
              <w:pStyle w:val="Normal6a"/>
            </w:pPr>
            <w:r>
              <w:t>4.</w:t>
            </w:r>
            <w:r>
              <w:tab/>
            </w:r>
            <w:r>
              <w:t xml:space="preserve">Les volumes des contingents tarifaires inutilisés au cours d’un trimestre </w:t>
            </w:r>
            <w:r>
              <w:rPr>
                <w:b/>
                <w:i/>
              </w:rPr>
              <w:t>ne</w:t>
            </w:r>
            <w:r>
              <w:t xml:space="preserve"> sont </w:t>
            </w:r>
            <w:r>
              <w:rPr>
                <w:b/>
                <w:i/>
              </w:rPr>
              <w:t>pas</w:t>
            </w:r>
            <w:r>
              <w:t xml:space="preserve"> reportés au trimestre suivant.</w:t>
            </w:r>
          </w:p>
        </w:tc>
        <w:tc>
          <w:tcPr>
            <w:tcW w:w="4876" w:type="dxa"/>
            <w:hideMark/>
          </w:tcPr>
          <w:p w14:paraId="197C6543" w14:textId="77777777" w:rsidR="006C3E5B" w:rsidRPr="000B4392" w:rsidRDefault="002E2283">
            <w:pPr>
              <w:pStyle w:val="Normal6a"/>
            </w:pPr>
            <w:r>
              <w:t>4.</w:t>
            </w:r>
            <w:r>
              <w:tab/>
              <w:t>Les volumes des contingents tarifaires inutilisés au cours d’un trimestre sont reportés au trimestre suivant.</w:t>
            </w:r>
          </w:p>
        </w:tc>
      </w:tr>
    </w:tbl>
    <w:p w14:paraId="066B7D18" w14:textId="77777777" w:rsidR="006C3E5B" w:rsidRPr="000B4392" w:rsidRDefault="002E2283" w:rsidP="006C3E5B">
      <w:pPr>
        <w:pStyle w:val="AmOrLang"/>
      </w:pPr>
      <w:r w:rsidRPr="000B4392">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64AAB0EC" w14:textId="77777777" w:rsidR="006C3E5B" w:rsidRPr="000B4392" w:rsidRDefault="002E2283" w:rsidP="006C3E5B">
      <w:r>
        <w:rPr>
          <w:rStyle w:val="HideTWBExt"/>
        </w:rPr>
        <w:t>&lt;/Amend&gt;</w:t>
      </w:r>
    </w:p>
    <w:p w14:paraId="03523836" w14:textId="77777777" w:rsidR="006C3E5B" w:rsidRPr="000B4392" w:rsidRDefault="002E2283" w:rsidP="006C3E5B">
      <w:pPr>
        <w:pStyle w:val="AmNumberTabs"/>
      </w:pPr>
      <w:r>
        <w:rPr>
          <w:rStyle w:val="HideTWBExt"/>
        </w:rPr>
        <w:t>&lt;Amend&gt;</w:t>
      </w:r>
      <w:r>
        <w:t>Amendement</w:t>
      </w:r>
      <w:r>
        <w:tab/>
      </w:r>
      <w:r>
        <w:tab/>
      </w:r>
      <w:r>
        <w:rPr>
          <w:rStyle w:val="HideTWBExt"/>
        </w:rPr>
        <w:t>&lt;NumAm&gt;</w:t>
      </w:r>
      <w:r>
        <w:t>12</w:t>
      </w:r>
      <w:r>
        <w:rPr>
          <w:rStyle w:val="HideTWBExt"/>
        </w:rPr>
        <w:t>&lt;/NumAm&gt;</w:t>
      </w:r>
    </w:p>
    <w:p w14:paraId="0443275E" w14:textId="77777777" w:rsidR="006C3E5B" w:rsidRPr="000B4392" w:rsidRDefault="002E2283" w:rsidP="006C3E5B">
      <w:pPr>
        <w:pStyle w:val="NormalBold12b"/>
      </w:pPr>
      <w:r>
        <w:rPr>
          <w:rStyle w:val="HideTWBExt"/>
        </w:rPr>
        <w:t>&lt;DocAmend&gt;</w:t>
      </w:r>
      <w:r>
        <w:t>Proposition de règlement</w:t>
      </w:r>
      <w:r>
        <w:rPr>
          <w:rStyle w:val="HideTWBExt"/>
        </w:rPr>
        <w:t>&lt;/DocAmend&gt;</w:t>
      </w:r>
    </w:p>
    <w:p w14:paraId="1F49FA06" w14:textId="77777777" w:rsidR="006C3E5B" w:rsidRPr="000B4392" w:rsidRDefault="002E2283" w:rsidP="006C3E5B">
      <w:pPr>
        <w:pStyle w:val="NormalBold"/>
      </w:pPr>
      <w:r>
        <w:rPr>
          <w:rStyle w:val="HideTWBExt"/>
        </w:rPr>
        <w:t>&lt;Article&gt;</w:t>
      </w:r>
      <w:r>
        <w:t>Article 2 – paragraphe 4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2B1FA2F3" w14:textId="77777777" w:rsidTr="006C3E5B">
        <w:trPr>
          <w:trHeight w:val="240"/>
          <w:jc w:val="center"/>
        </w:trPr>
        <w:tc>
          <w:tcPr>
            <w:tcW w:w="9752" w:type="dxa"/>
            <w:gridSpan w:val="2"/>
          </w:tcPr>
          <w:p w14:paraId="74097D7A" w14:textId="77777777" w:rsidR="006C3E5B" w:rsidRPr="000B4392" w:rsidRDefault="006C3E5B"/>
        </w:tc>
      </w:tr>
      <w:tr w:rsidR="00EB13A1" w14:paraId="6DDD12C3" w14:textId="77777777" w:rsidTr="006C3E5B">
        <w:trPr>
          <w:trHeight w:val="240"/>
          <w:jc w:val="center"/>
        </w:trPr>
        <w:tc>
          <w:tcPr>
            <w:tcW w:w="4876" w:type="dxa"/>
            <w:hideMark/>
          </w:tcPr>
          <w:p w14:paraId="77BB1C9D" w14:textId="77777777" w:rsidR="006C3E5B" w:rsidRPr="000B4392" w:rsidRDefault="002E2283">
            <w:pPr>
              <w:pStyle w:val="AmColumnHeading"/>
            </w:pPr>
            <w:r>
              <w:t>Texte proposé par la Commission</w:t>
            </w:r>
          </w:p>
        </w:tc>
        <w:tc>
          <w:tcPr>
            <w:tcW w:w="4876" w:type="dxa"/>
            <w:hideMark/>
          </w:tcPr>
          <w:p w14:paraId="6045B928" w14:textId="77777777" w:rsidR="006C3E5B" w:rsidRPr="000B4392" w:rsidRDefault="002E2283">
            <w:pPr>
              <w:pStyle w:val="AmColumnHeading"/>
            </w:pPr>
            <w:r>
              <w:t>Amendement</w:t>
            </w:r>
          </w:p>
        </w:tc>
      </w:tr>
      <w:tr w:rsidR="00EB13A1" w14:paraId="14BA04CD" w14:textId="77777777" w:rsidTr="006C3E5B">
        <w:trPr>
          <w:jc w:val="center"/>
        </w:trPr>
        <w:tc>
          <w:tcPr>
            <w:tcW w:w="4876" w:type="dxa"/>
          </w:tcPr>
          <w:p w14:paraId="5525BDDF" w14:textId="77777777" w:rsidR="006C3E5B" w:rsidRPr="000B4392" w:rsidRDefault="006C3E5B">
            <w:pPr>
              <w:pStyle w:val="Normal6a"/>
            </w:pPr>
          </w:p>
        </w:tc>
        <w:tc>
          <w:tcPr>
            <w:tcW w:w="4876" w:type="dxa"/>
            <w:hideMark/>
          </w:tcPr>
          <w:p w14:paraId="23F1F7BE" w14:textId="77777777" w:rsidR="006C3E5B" w:rsidRPr="000B4392" w:rsidRDefault="002E2283">
            <w:pPr>
              <w:pStyle w:val="Normal6a"/>
            </w:pPr>
            <w:r>
              <w:rPr>
                <w:b/>
                <w:i/>
              </w:rPr>
              <w:t>4 bis.</w:t>
            </w:r>
            <w:r>
              <w:tab/>
            </w:r>
            <w:r>
              <w:rPr>
                <w:b/>
                <w:i/>
              </w:rPr>
              <w:t xml:space="preserve">Les mesures au titre du présent </w:t>
            </w:r>
            <w:r>
              <w:rPr>
                <w:b/>
                <w:i/>
              </w:rPr>
              <w:t>règlement s’appliquent conformément aux règles de l’OMC et ne limitent pas le commerce au-delà de ce qui est strictement nécessaire pour lutter contre les effets négatifs de la surcapacité mondiale résultant de conditions de marché déloyales.</w:t>
            </w:r>
          </w:p>
        </w:tc>
      </w:tr>
    </w:tbl>
    <w:p w14:paraId="3F56D89B" w14:textId="77777777" w:rsidR="006C3E5B" w:rsidRPr="000B4392" w:rsidRDefault="002E2283" w:rsidP="006C3E5B">
      <w:pPr>
        <w:pStyle w:val="AmOrLang"/>
      </w:pPr>
      <w:r w:rsidRPr="000B4392">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01C08BA1" w14:textId="77777777" w:rsidR="006C3E5B" w:rsidRPr="000B4392" w:rsidRDefault="002E2283" w:rsidP="006C3E5B">
      <w:r>
        <w:rPr>
          <w:rStyle w:val="HideTWBExt"/>
        </w:rPr>
        <w:t>&lt;/Amend&gt;</w:t>
      </w:r>
    </w:p>
    <w:p w14:paraId="52B94062" w14:textId="77777777" w:rsidR="006C3E5B" w:rsidRPr="000B4392" w:rsidRDefault="002E2283" w:rsidP="006C3E5B">
      <w:pPr>
        <w:pStyle w:val="AmNumberTabs"/>
      </w:pPr>
      <w:r>
        <w:rPr>
          <w:rStyle w:val="HideTWBExt"/>
        </w:rPr>
        <w:t>&lt;Amend&gt;</w:t>
      </w:r>
      <w:r>
        <w:t>Amendement</w:t>
      </w:r>
      <w:r>
        <w:tab/>
      </w:r>
      <w:r>
        <w:tab/>
      </w:r>
      <w:r>
        <w:rPr>
          <w:rStyle w:val="HideTWBExt"/>
        </w:rPr>
        <w:t>&lt;NumAm&gt;</w:t>
      </w:r>
      <w:r>
        <w:t>13</w:t>
      </w:r>
      <w:r>
        <w:rPr>
          <w:rStyle w:val="HideTWBExt"/>
        </w:rPr>
        <w:t>&lt;/NumAm&gt;</w:t>
      </w:r>
    </w:p>
    <w:p w14:paraId="27E7BF7B" w14:textId="77777777" w:rsidR="006C3E5B" w:rsidRPr="000B4392" w:rsidRDefault="002E2283" w:rsidP="006C3E5B">
      <w:pPr>
        <w:pStyle w:val="NormalBold12b"/>
      </w:pPr>
      <w:r>
        <w:rPr>
          <w:rStyle w:val="HideTWBExt"/>
        </w:rPr>
        <w:t>&lt;DocAmend&gt;</w:t>
      </w:r>
      <w:r>
        <w:t>Proposition de règlement</w:t>
      </w:r>
      <w:r>
        <w:rPr>
          <w:rStyle w:val="HideTWBExt"/>
        </w:rPr>
        <w:t>&lt;/DocAmend&gt;</w:t>
      </w:r>
    </w:p>
    <w:p w14:paraId="00A98DEE" w14:textId="77777777" w:rsidR="006C3E5B" w:rsidRPr="000B4392" w:rsidRDefault="002E2283" w:rsidP="006C3E5B">
      <w:pPr>
        <w:pStyle w:val="NormalBold"/>
      </w:pPr>
      <w:r>
        <w:rPr>
          <w:rStyle w:val="HideTWBExt"/>
        </w:rPr>
        <w:t>&lt;Article&gt;</w:t>
      </w:r>
      <w:r>
        <w:t>Article 3 – paragraphe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0F02C447" w14:textId="77777777" w:rsidTr="006C3E5B">
        <w:trPr>
          <w:trHeight w:val="240"/>
          <w:jc w:val="center"/>
        </w:trPr>
        <w:tc>
          <w:tcPr>
            <w:tcW w:w="9752" w:type="dxa"/>
            <w:gridSpan w:val="2"/>
          </w:tcPr>
          <w:p w14:paraId="03B69870" w14:textId="77777777" w:rsidR="006C3E5B" w:rsidRPr="000B4392" w:rsidRDefault="006C3E5B"/>
        </w:tc>
      </w:tr>
      <w:tr w:rsidR="00EB13A1" w14:paraId="120531B4" w14:textId="77777777" w:rsidTr="006C3E5B">
        <w:trPr>
          <w:trHeight w:val="240"/>
          <w:jc w:val="center"/>
        </w:trPr>
        <w:tc>
          <w:tcPr>
            <w:tcW w:w="4876" w:type="dxa"/>
            <w:hideMark/>
          </w:tcPr>
          <w:p w14:paraId="7830909E" w14:textId="77777777" w:rsidR="006C3E5B" w:rsidRPr="000B4392" w:rsidRDefault="002E2283">
            <w:pPr>
              <w:pStyle w:val="AmColumnHeading"/>
            </w:pPr>
            <w:r>
              <w:t>Texte proposé par la Commission</w:t>
            </w:r>
          </w:p>
        </w:tc>
        <w:tc>
          <w:tcPr>
            <w:tcW w:w="4876" w:type="dxa"/>
            <w:hideMark/>
          </w:tcPr>
          <w:p w14:paraId="7A290080" w14:textId="77777777" w:rsidR="006C3E5B" w:rsidRPr="000B4392" w:rsidRDefault="002E2283">
            <w:pPr>
              <w:pStyle w:val="AmColumnHeading"/>
            </w:pPr>
            <w:r>
              <w:t>Amendement</w:t>
            </w:r>
          </w:p>
        </w:tc>
      </w:tr>
      <w:tr w:rsidR="00EB13A1" w14:paraId="1D52B745" w14:textId="77777777" w:rsidTr="006C3E5B">
        <w:trPr>
          <w:jc w:val="center"/>
        </w:trPr>
        <w:tc>
          <w:tcPr>
            <w:tcW w:w="4876" w:type="dxa"/>
            <w:hideMark/>
          </w:tcPr>
          <w:p w14:paraId="6C507BF6" w14:textId="77777777" w:rsidR="006C3E5B" w:rsidRPr="000B4392" w:rsidRDefault="002E2283">
            <w:pPr>
              <w:pStyle w:val="Normal6a"/>
            </w:pPr>
            <w:r>
              <w:t>2.</w:t>
            </w:r>
            <w:r>
              <w:tab/>
              <w:t xml:space="preserve">Au moment de l’importation, les </w:t>
            </w:r>
            <w:r>
              <w:t>importateurs fournissent des éléments de preuve appropriés</w:t>
            </w:r>
            <w:r>
              <w:rPr>
                <w:b/>
                <w:i/>
              </w:rPr>
              <w:t>, tels qu’un certificat d’usine prouvant</w:t>
            </w:r>
            <w:r>
              <w:t xml:space="preserve"> dans quel pays l’acier utilisé dans la fabrication du produit a été </w:t>
            </w:r>
            <w:r>
              <w:lastRenderedPageBreak/>
              <w:t>fondu et coulé.</w:t>
            </w:r>
          </w:p>
        </w:tc>
        <w:tc>
          <w:tcPr>
            <w:tcW w:w="4876" w:type="dxa"/>
            <w:hideMark/>
          </w:tcPr>
          <w:p w14:paraId="66B087B2" w14:textId="77777777" w:rsidR="006C3E5B" w:rsidRPr="000B4392" w:rsidRDefault="002E2283">
            <w:pPr>
              <w:pStyle w:val="Normal6a"/>
            </w:pPr>
            <w:r>
              <w:lastRenderedPageBreak/>
              <w:t>2.</w:t>
            </w:r>
            <w:r>
              <w:tab/>
              <w:t>Au moment de l’importation, les importateurs fournissent des éléments de preuve appropriés</w:t>
            </w:r>
            <w:r>
              <w:rPr>
                <w:b/>
                <w:i/>
              </w:rPr>
              <w:t xml:space="preserve"> afin de prouver</w:t>
            </w:r>
            <w:r>
              <w:t xml:space="preserve"> dans quel pays l’acier utilisé dans la fabrication du produit a été fondu et coulé.</w:t>
            </w:r>
          </w:p>
        </w:tc>
      </w:tr>
    </w:tbl>
    <w:p w14:paraId="094D925C" w14:textId="77777777" w:rsidR="006C3E5B" w:rsidRPr="000B4392" w:rsidRDefault="002E2283" w:rsidP="006C3E5B">
      <w:pPr>
        <w:pStyle w:val="AmOrLang"/>
      </w:pPr>
      <w:r w:rsidRPr="000B4392">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7FF4810D" w14:textId="77777777" w:rsidR="006C3E5B" w:rsidRPr="000B4392" w:rsidRDefault="002E2283" w:rsidP="006C3E5B">
      <w:r>
        <w:rPr>
          <w:rStyle w:val="HideTWBExt"/>
        </w:rPr>
        <w:t>&lt;/Amend&gt;</w:t>
      </w:r>
    </w:p>
    <w:p w14:paraId="6207C150" w14:textId="77777777" w:rsidR="006C3E5B" w:rsidRPr="000B4392" w:rsidRDefault="002E2283" w:rsidP="006C3E5B">
      <w:pPr>
        <w:pStyle w:val="AmNumberTabs"/>
      </w:pPr>
      <w:r>
        <w:rPr>
          <w:rStyle w:val="HideTWBExt"/>
        </w:rPr>
        <w:t>&lt;Amend&gt;</w:t>
      </w:r>
      <w:r>
        <w:t>Amendement</w:t>
      </w:r>
      <w:r>
        <w:tab/>
      </w:r>
      <w:r>
        <w:tab/>
      </w:r>
      <w:r>
        <w:rPr>
          <w:rStyle w:val="HideTWBExt"/>
        </w:rPr>
        <w:t>&lt;NumAm&gt;</w:t>
      </w:r>
      <w:r>
        <w:t>14</w:t>
      </w:r>
      <w:r>
        <w:rPr>
          <w:rStyle w:val="HideTWBExt"/>
        </w:rPr>
        <w:t>&lt;/NumAm&gt;</w:t>
      </w:r>
    </w:p>
    <w:p w14:paraId="5E9001FD" w14:textId="77777777" w:rsidR="006C3E5B" w:rsidRPr="000B4392" w:rsidRDefault="002E2283" w:rsidP="006C3E5B">
      <w:pPr>
        <w:pStyle w:val="NormalBold12b"/>
      </w:pPr>
      <w:r>
        <w:rPr>
          <w:rStyle w:val="HideTWBExt"/>
        </w:rPr>
        <w:t>&lt;DocAmend&gt;</w:t>
      </w:r>
      <w:r>
        <w:t>Proposition de règlement</w:t>
      </w:r>
      <w:r>
        <w:rPr>
          <w:rStyle w:val="HideTWBExt"/>
        </w:rPr>
        <w:t>&lt;/DocAmend&gt;</w:t>
      </w:r>
    </w:p>
    <w:p w14:paraId="55A91E47" w14:textId="77777777" w:rsidR="006C3E5B" w:rsidRPr="000B4392" w:rsidRDefault="002E2283" w:rsidP="006C3E5B">
      <w:pPr>
        <w:pStyle w:val="NormalBold"/>
      </w:pPr>
      <w:r>
        <w:rPr>
          <w:rStyle w:val="HideTWBExt"/>
        </w:rPr>
        <w:t>&lt;Article&gt;</w:t>
      </w:r>
      <w:r>
        <w:t>Article 3 – paragraphe 2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6CF95D3B" w14:textId="77777777" w:rsidTr="006C3E5B">
        <w:trPr>
          <w:trHeight w:val="240"/>
          <w:jc w:val="center"/>
        </w:trPr>
        <w:tc>
          <w:tcPr>
            <w:tcW w:w="9752" w:type="dxa"/>
            <w:gridSpan w:val="2"/>
          </w:tcPr>
          <w:p w14:paraId="53FB5BB0" w14:textId="77777777" w:rsidR="006C3E5B" w:rsidRPr="000B4392" w:rsidRDefault="006C3E5B"/>
        </w:tc>
      </w:tr>
      <w:tr w:rsidR="00EB13A1" w14:paraId="0C5086B7" w14:textId="77777777" w:rsidTr="006C3E5B">
        <w:trPr>
          <w:trHeight w:val="240"/>
          <w:jc w:val="center"/>
        </w:trPr>
        <w:tc>
          <w:tcPr>
            <w:tcW w:w="4876" w:type="dxa"/>
            <w:hideMark/>
          </w:tcPr>
          <w:p w14:paraId="357A88A9" w14:textId="77777777" w:rsidR="006C3E5B" w:rsidRPr="000B4392" w:rsidRDefault="002E2283">
            <w:pPr>
              <w:pStyle w:val="AmColumnHeading"/>
            </w:pPr>
            <w:r>
              <w:t>Texte proposé par la Commission</w:t>
            </w:r>
          </w:p>
        </w:tc>
        <w:tc>
          <w:tcPr>
            <w:tcW w:w="4876" w:type="dxa"/>
            <w:hideMark/>
          </w:tcPr>
          <w:p w14:paraId="38D98859" w14:textId="77777777" w:rsidR="006C3E5B" w:rsidRPr="000B4392" w:rsidRDefault="002E2283">
            <w:pPr>
              <w:pStyle w:val="AmColumnHeading"/>
            </w:pPr>
            <w:r>
              <w:t>Amendement</w:t>
            </w:r>
          </w:p>
        </w:tc>
      </w:tr>
      <w:tr w:rsidR="00EB13A1" w14:paraId="06719538" w14:textId="77777777" w:rsidTr="006C3E5B">
        <w:trPr>
          <w:jc w:val="center"/>
        </w:trPr>
        <w:tc>
          <w:tcPr>
            <w:tcW w:w="4876" w:type="dxa"/>
          </w:tcPr>
          <w:p w14:paraId="084CDFCB" w14:textId="77777777" w:rsidR="006C3E5B" w:rsidRPr="000B4392" w:rsidRDefault="006C3E5B">
            <w:pPr>
              <w:pStyle w:val="Normal6a"/>
            </w:pPr>
          </w:p>
        </w:tc>
        <w:tc>
          <w:tcPr>
            <w:tcW w:w="4876" w:type="dxa"/>
            <w:hideMark/>
          </w:tcPr>
          <w:p w14:paraId="083222E6" w14:textId="77777777" w:rsidR="006C3E5B" w:rsidRPr="000B4392" w:rsidRDefault="002E2283">
            <w:pPr>
              <w:pStyle w:val="Normal6a"/>
            </w:pPr>
            <w:r>
              <w:rPr>
                <w:b/>
                <w:i/>
              </w:rPr>
              <w:t>2 bis.</w:t>
            </w:r>
            <w:r>
              <w:tab/>
            </w:r>
            <w:r>
              <w:rPr>
                <w:b/>
                <w:i/>
              </w:rPr>
              <w:t>Les documents suivants, entre autres, constituent des «éléments de preuve appropriés» aux fins du présent article:</w:t>
            </w:r>
          </w:p>
        </w:tc>
      </w:tr>
      <w:tr w:rsidR="00EB13A1" w14:paraId="744EC08D" w14:textId="77777777" w:rsidTr="006C3E5B">
        <w:trPr>
          <w:jc w:val="center"/>
        </w:trPr>
        <w:tc>
          <w:tcPr>
            <w:tcW w:w="4876" w:type="dxa"/>
          </w:tcPr>
          <w:p w14:paraId="4E7639A5" w14:textId="77777777" w:rsidR="006C3E5B" w:rsidRPr="000B4392" w:rsidRDefault="006C3E5B">
            <w:pPr>
              <w:pStyle w:val="Normal6a"/>
            </w:pPr>
          </w:p>
        </w:tc>
        <w:tc>
          <w:tcPr>
            <w:tcW w:w="4876" w:type="dxa"/>
            <w:hideMark/>
          </w:tcPr>
          <w:p w14:paraId="288E408A" w14:textId="77777777" w:rsidR="006C3E5B" w:rsidRPr="000B4392" w:rsidRDefault="002E2283">
            <w:pPr>
              <w:pStyle w:val="Normal6a"/>
            </w:pPr>
            <w:r>
              <w:rPr>
                <w:b/>
                <w:i/>
              </w:rPr>
              <w:t xml:space="preserve">a) certificats </w:t>
            </w:r>
            <w:r>
              <w:rPr>
                <w:b/>
                <w:i/>
              </w:rPr>
              <w:t>d’usine;</w:t>
            </w:r>
          </w:p>
        </w:tc>
      </w:tr>
      <w:tr w:rsidR="00EB13A1" w14:paraId="5FAC8742" w14:textId="77777777" w:rsidTr="006C3E5B">
        <w:trPr>
          <w:jc w:val="center"/>
        </w:trPr>
        <w:tc>
          <w:tcPr>
            <w:tcW w:w="4876" w:type="dxa"/>
          </w:tcPr>
          <w:p w14:paraId="0C3DD9F0" w14:textId="77777777" w:rsidR="006C3E5B" w:rsidRPr="000B4392" w:rsidRDefault="006C3E5B">
            <w:pPr>
              <w:pStyle w:val="Normal6a"/>
            </w:pPr>
          </w:p>
        </w:tc>
        <w:tc>
          <w:tcPr>
            <w:tcW w:w="4876" w:type="dxa"/>
            <w:hideMark/>
          </w:tcPr>
          <w:p w14:paraId="3BDE7147" w14:textId="77777777" w:rsidR="006C3E5B" w:rsidRPr="000B4392" w:rsidRDefault="002E2283">
            <w:pPr>
              <w:pStyle w:val="Normal6a"/>
            </w:pPr>
            <w:r>
              <w:rPr>
                <w:b/>
                <w:i/>
              </w:rPr>
              <w:t>b) factures;</w:t>
            </w:r>
          </w:p>
        </w:tc>
      </w:tr>
      <w:tr w:rsidR="00EB13A1" w14:paraId="47F667A4" w14:textId="77777777" w:rsidTr="006C3E5B">
        <w:trPr>
          <w:jc w:val="center"/>
        </w:trPr>
        <w:tc>
          <w:tcPr>
            <w:tcW w:w="4876" w:type="dxa"/>
          </w:tcPr>
          <w:p w14:paraId="78CDE057" w14:textId="77777777" w:rsidR="006C3E5B" w:rsidRPr="000B4392" w:rsidRDefault="006C3E5B">
            <w:pPr>
              <w:pStyle w:val="Normal6a"/>
            </w:pPr>
          </w:p>
        </w:tc>
        <w:tc>
          <w:tcPr>
            <w:tcW w:w="4876" w:type="dxa"/>
            <w:hideMark/>
          </w:tcPr>
          <w:p w14:paraId="0D2462FE" w14:textId="77777777" w:rsidR="006C3E5B" w:rsidRPr="000B4392" w:rsidRDefault="002E2283">
            <w:pPr>
              <w:pStyle w:val="Normal6a"/>
            </w:pPr>
            <w:r>
              <w:rPr>
                <w:b/>
                <w:i/>
              </w:rPr>
              <w:t>c) bons de livraison;</w:t>
            </w:r>
          </w:p>
        </w:tc>
      </w:tr>
      <w:tr w:rsidR="00EB13A1" w14:paraId="2FD46B1E" w14:textId="77777777" w:rsidTr="006C3E5B">
        <w:trPr>
          <w:jc w:val="center"/>
        </w:trPr>
        <w:tc>
          <w:tcPr>
            <w:tcW w:w="4876" w:type="dxa"/>
          </w:tcPr>
          <w:p w14:paraId="52F2CF5A" w14:textId="77777777" w:rsidR="006C3E5B" w:rsidRPr="000B4392" w:rsidRDefault="006C3E5B">
            <w:pPr>
              <w:pStyle w:val="Normal6a"/>
            </w:pPr>
          </w:p>
        </w:tc>
        <w:tc>
          <w:tcPr>
            <w:tcW w:w="4876" w:type="dxa"/>
            <w:hideMark/>
          </w:tcPr>
          <w:p w14:paraId="48098231" w14:textId="77777777" w:rsidR="006C3E5B" w:rsidRPr="000B4392" w:rsidRDefault="002E2283">
            <w:pPr>
              <w:pStyle w:val="Normal6a"/>
            </w:pPr>
            <w:r>
              <w:rPr>
                <w:b/>
                <w:i/>
              </w:rPr>
              <w:t>d) certificats de qualité;</w:t>
            </w:r>
          </w:p>
        </w:tc>
      </w:tr>
      <w:tr w:rsidR="00EB13A1" w14:paraId="0A814464" w14:textId="77777777" w:rsidTr="006C3E5B">
        <w:trPr>
          <w:jc w:val="center"/>
        </w:trPr>
        <w:tc>
          <w:tcPr>
            <w:tcW w:w="4876" w:type="dxa"/>
          </w:tcPr>
          <w:p w14:paraId="031E2529" w14:textId="77777777" w:rsidR="006C3E5B" w:rsidRPr="000B4392" w:rsidRDefault="006C3E5B">
            <w:pPr>
              <w:pStyle w:val="Normal6a"/>
            </w:pPr>
          </w:p>
        </w:tc>
        <w:tc>
          <w:tcPr>
            <w:tcW w:w="4876" w:type="dxa"/>
            <w:hideMark/>
          </w:tcPr>
          <w:p w14:paraId="36843F68" w14:textId="77777777" w:rsidR="006C3E5B" w:rsidRPr="000B4392" w:rsidRDefault="002E2283">
            <w:pPr>
              <w:pStyle w:val="Normal6a"/>
            </w:pPr>
            <w:r>
              <w:rPr>
                <w:b/>
                <w:i/>
              </w:rPr>
              <w:t>e) déclarations à long terme des fournisseurs;</w:t>
            </w:r>
          </w:p>
        </w:tc>
      </w:tr>
      <w:tr w:rsidR="00EB13A1" w14:paraId="6C1A869C" w14:textId="77777777" w:rsidTr="006C3E5B">
        <w:trPr>
          <w:jc w:val="center"/>
        </w:trPr>
        <w:tc>
          <w:tcPr>
            <w:tcW w:w="4876" w:type="dxa"/>
          </w:tcPr>
          <w:p w14:paraId="1C295F03" w14:textId="77777777" w:rsidR="006C3E5B" w:rsidRPr="000B4392" w:rsidRDefault="006C3E5B">
            <w:pPr>
              <w:pStyle w:val="Normal6a"/>
            </w:pPr>
          </w:p>
        </w:tc>
        <w:tc>
          <w:tcPr>
            <w:tcW w:w="4876" w:type="dxa"/>
            <w:hideMark/>
          </w:tcPr>
          <w:p w14:paraId="7A2EAFC8" w14:textId="77777777" w:rsidR="006C3E5B" w:rsidRPr="000B4392" w:rsidRDefault="002E2283">
            <w:pPr>
              <w:pStyle w:val="Normal6a"/>
            </w:pPr>
            <w:r>
              <w:rPr>
                <w:b/>
                <w:i/>
              </w:rPr>
              <w:t>f) documents de comptabilité analytique et de production;</w:t>
            </w:r>
          </w:p>
        </w:tc>
      </w:tr>
      <w:tr w:rsidR="00EB13A1" w14:paraId="4DB53277" w14:textId="77777777" w:rsidTr="006C3E5B">
        <w:trPr>
          <w:jc w:val="center"/>
        </w:trPr>
        <w:tc>
          <w:tcPr>
            <w:tcW w:w="4876" w:type="dxa"/>
          </w:tcPr>
          <w:p w14:paraId="50AB11B9" w14:textId="77777777" w:rsidR="006C3E5B" w:rsidRPr="000B4392" w:rsidRDefault="006C3E5B">
            <w:pPr>
              <w:pStyle w:val="Normal6a"/>
            </w:pPr>
          </w:p>
        </w:tc>
        <w:tc>
          <w:tcPr>
            <w:tcW w:w="4876" w:type="dxa"/>
            <w:hideMark/>
          </w:tcPr>
          <w:p w14:paraId="4DD3B435" w14:textId="77777777" w:rsidR="006C3E5B" w:rsidRPr="000B4392" w:rsidRDefault="002E2283">
            <w:pPr>
              <w:pStyle w:val="Normal6a"/>
            </w:pPr>
            <w:r>
              <w:rPr>
                <w:b/>
                <w:i/>
              </w:rPr>
              <w:t>g) documents douaniers du pays d’exportation;</w:t>
            </w:r>
          </w:p>
        </w:tc>
      </w:tr>
      <w:tr w:rsidR="00EB13A1" w14:paraId="6CB40031" w14:textId="77777777" w:rsidTr="006C3E5B">
        <w:trPr>
          <w:jc w:val="center"/>
        </w:trPr>
        <w:tc>
          <w:tcPr>
            <w:tcW w:w="4876" w:type="dxa"/>
          </w:tcPr>
          <w:p w14:paraId="3B5DD792" w14:textId="77777777" w:rsidR="006C3E5B" w:rsidRPr="000B4392" w:rsidRDefault="006C3E5B">
            <w:pPr>
              <w:pStyle w:val="Normal6a"/>
            </w:pPr>
          </w:p>
        </w:tc>
        <w:tc>
          <w:tcPr>
            <w:tcW w:w="4876" w:type="dxa"/>
            <w:hideMark/>
          </w:tcPr>
          <w:p w14:paraId="1A23DBCD" w14:textId="77777777" w:rsidR="006C3E5B" w:rsidRPr="000B4392" w:rsidRDefault="002E2283">
            <w:pPr>
              <w:pStyle w:val="Normal6a"/>
            </w:pPr>
            <w:r>
              <w:rPr>
                <w:b/>
                <w:i/>
              </w:rPr>
              <w:t xml:space="preserve">h) </w:t>
            </w:r>
            <w:r>
              <w:rPr>
                <w:b/>
                <w:i/>
              </w:rPr>
              <w:t>correspondance commerciale;</w:t>
            </w:r>
          </w:p>
        </w:tc>
      </w:tr>
      <w:tr w:rsidR="00EB13A1" w14:paraId="32E5E88A" w14:textId="77777777" w:rsidTr="006C3E5B">
        <w:trPr>
          <w:jc w:val="center"/>
        </w:trPr>
        <w:tc>
          <w:tcPr>
            <w:tcW w:w="4876" w:type="dxa"/>
          </w:tcPr>
          <w:p w14:paraId="507844E5" w14:textId="77777777" w:rsidR="006C3E5B" w:rsidRPr="000B4392" w:rsidRDefault="006C3E5B">
            <w:pPr>
              <w:pStyle w:val="Normal6a"/>
            </w:pPr>
          </w:p>
        </w:tc>
        <w:tc>
          <w:tcPr>
            <w:tcW w:w="4876" w:type="dxa"/>
            <w:hideMark/>
          </w:tcPr>
          <w:p w14:paraId="30F7F104" w14:textId="77777777" w:rsidR="006C3E5B" w:rsidRPr="000B4392" w:rsidRDefault="002E2283">
            <w:pPr>
              <w:pStyle w:val="Normal6a"/>
            </w:pPr>
            <w:r>
              <w:rPr>
                <w:b/>
                <w:i/>
              </w:rPr>
              <w:t>i) descriptions de produits; ou</w:t>
            </w:r>
          </w:p>
        </w:tc>
      </w:tr>
      <w:tr w:rsidR="00EB13A1" w14:paraId="313784CA" w14:textId="77777777" w:rsidTr="006C3E5B">
        <w:trPr>
          <w:jc w:val="center"/>
        </w:trPr>
        <w:tc>
          <w:tcPr>
            <w:tcW w:w="4876" w:type="dxa"/>
          </w:tcPr>
          <w:p w14:paraId="3916D7EA" w14:textId="77777777" w:rsidR="006C3E5B" w:rsidRPr="000B4392" w:rsidRDefault="006C3E5B">
            <w:pPr>
              <w:pStyle w:val="Normal6a"/>
            </w:pPr>
          </w:p>
        </w:tc>
        <w:tc>
          <w:tcPr>
            <w:tcW w:w="4876" w:type="dxa"/>
            <w:hideMark/>
          </w:tcPr>
          <w:p w14:paraId="3C66076C" w14:textId="77777777" w:rsidR="006C3E5B" w:rsidRPr="000B4392" w:rsidRDefault="002E2283">
            <w:pPr>
              <w:pStyle w:val="Normal6a"/>
            </w:pPr>
            <w:r>
              <w:rPr>
                <w:b/>
                <w:i/>
              </w:rPr>
              <w:t>j) déclarations du fabricant si elles ont un lien direct avec la livraison concernée.</w:t>
            </w:r>
          </w:p>
        </w:tc>
      </w:tr>
    </w:tbl>
    <w:p w14:paraId="39EE08F5" w14:textId="77777777" w:rsidR="006C3E5B" w:rsidRPr="000B4392" w:rsidRDefault="002E2283" w:rsidP="006C3E5B">
      <w:pPr>
        <w:pStyle w:val="AmOrLang"/>
      </w:pPr>
      <w:r w:rsidRPr="000B4392">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7BDA7518" w14:textId="77777777" w:rsidR="006C3E5B" w:rsidRPr="000B4392" w:rsidRDefault="002E2283" w:rsidP="006C3E5B">
      <w:r>
        <w:rPr>
          <w:rStyle w:val="HideTWBExt"/>
        </w:rPr>
        <w:t>&lt;/Amend&gt;</w:t>
      </w:r>
    </w:p>
    <w:p w14:paraId="06CB0E9C" w14:textId="77777777" w:rsidR="006C3E5B" w:rsidRPr="000B4392" w:rsidRDefault="002E2283" w:rsidP="006C3E5B">
      <w:pPr>
        <w:pStyle w:val="AmNumberTabs"/>
      </w:pPr>
      <w:r>
        <w:rPr>
          <w:rStyle w:val="HideTWBExt"/>
        </w:rPr>
        <w:t>&lt;Amend&gt;</w:t>
      </w:r>
      <w:r>
        <w:t>Amendement</w:t>
      </w:r>
      <w:r>
        <w:tab/>
      </w:r>
      <w:r>
        <w:tab/>
      </w:r>
      <w:r>
        <w:rPr>
          <w:rStyle w:val="HideTWBExt"/>
        </w:rPr>
        <w:t>&lt;NumAm&gt;</w:t>
      </w:r>
      <w:r>
        <w:t>15</w:t>
      </w:r>
      <w:r>
        <w:rPr>
          <w:rStyle w:val="HideTWBExt"/>
        </w:rPr>
        <w:t>&lt;/NumAm&gt;</w:t>
      </w:r>
    </w:p>
    <w:p w14:paraId="36FC37EF" w14:textId="77777777" w:rsidR="006C3E5B" w:rsidRPr="000B4392" w:rsidRDefault="002E2283" w:rsidP="006C3E5B">
      <w:pPr>
        <w:pStyle w:val="NormalBold12b"/>
      </w:pPr>
      <w:r>
        <w:rPr>
          <w:rStyle w:val="HideTWBExt"/>
        </w:rPr>
        <w:t>&lt;DocAmend&gt;</w:t>
      </w:r>
      <w:r>
        <w:t>Proposition de règlement</w:t>
      </w:r>
      <w:r>
        <w:rPr>
          <w:rStyle w:val="HideTWBExt"/>
        </w:rPr>
        <w:t>&lt;/DocAmend&gt;</w:t>
      </w:r>
    </w:p>
    <w:p w14:paraId="04FAADAF" w14:textId="77777777" w:rsidR="006C3E5B" w:rsidRPr="000B4392" w:rsidRDefault="002E2283" w:rsidP="006C3E5B">
      <w:pPr>
        <w:pStyle w:val="NormalBold"/>
      </w:pPr>
      <w:r>
        <w:rPr>
          <w:rStyle w:val="HideTWBExt"/>
        </w:rPr>
        <w:t>&lt;Article&gt;</w:t>
      </w:r>
      <w:r>
        <w:t>Article 3 – paragraphe 2 ter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4E3363A7" w14:textId="77777777" w:rsidTr="006C3E5B">
        <w:trPr>
          <w:trHeight w:val="240"/>
          <w:jc w:val="center"/>
        </w:trPr>
        <w:tc>
          <w:tcPr>
            <w:tcW w:w="9752" w:type="dxa"/>
            <w:gridSpan w:val="2"/>
          </w:tcPr>
          <w:p w14:paraId="1FE5CE98" w14:textId="77777777" w:rsidR="006C3E5B" w:rsidRPr="000B4392" w:rsidRDefault="006C3E5B"/>
        </w:tc>
      </w:tr>
      <w:tr w:rsidR="00EB13A1" w14:paraId="115A2261" w14:textId="77777777" w:rsidTr="006C3E5B">
        <w:trPr>
          <w:trHeight w:val="240"/>
          <w:jc w:val="center"/>
        </w:trPr>
        <w:tc>
          <w:tcPr>
            <w:tcW w:w="4876" w:type="dxa"/>
            <w:hideMark/>
          </w:tcPr>
          <w:p w14:paraId="2482CD9E" w14:textId="77777777" w:rsidR="006C3E5B" w:rsidRPr="000B4392" w:rsidRDefault="002E2283">
            <w:pPr>
              <w:pStyle w:val="AmColumnHeading"/>
            </w:pPr>
            <w:r>
              <w:t>Texte proposé par la Commission</w:t>
            </w:r>
          </w:p>
        </w:tc>
        <w:tc>
          <w:tcPr>
            <w:tcW w:w="4876" w:type="dxa"/>
            <w:hideMark/>
          </w:tcPr>
          <w:p w14:paraId="4916F8F8" w14:textId="77777777" w:rsidR="006C3E5B" w:rsidRPr="000B4392" w:rsidRDefault="002E2283">
            <w:pPr>
              <w:pStyle w:val="AmColumnHeading"/>
            </w:pPr>
            <w:r>
              <w:t>Amendement</w:t>
            </w:r>
          </w:p>
        </w:tc>
      </w:tr>
      <w:tr w:rsidR="00EB13A1" w14:paraId="686270B4" w14:textId="77777777" w:rsidTr="006C3E5B">
        <w:trPr>
          <w:jc w:val="center"/>
        </w:trPr>
        <w:tc>
          <w:tcPr>
            <w:tcW w:w="4876" w:type="dxa"/>
          </w:tcPr>
          <w:p w14:paraId="49E5A660" w14:textId="77777777" w:rsidR="006C3E5B" w:rsidRPr="000B4392" w:rsidRDefault="006C3E5B">
            <w:pPr>
              <w:pStyle w:val="Normal6a"/>
            </w:pPr>
          </w:p>
        </w:tc>
        <w:tc>
          <w:tcPr>
            <w:tcW w:w="4876" w:type="dxa"/>
            <w:hideMark/>
          </w:tcPr>
          <w:p w14:paraId="0A2C8120" w14:textId="77777777" w:rsidR="006C3E5B" w:rsidRPr="000B4392" w:rsidRDefault="002E2283">
            <w:pPr>
              <w:pStyle w:val="Normal6a"/>
            </w:pPr>
            <w:r>
              <w:rPr>
                <w:b/>
                <w:i/>
              </w:rPr>
              <w:t>2 ter.</w:t>
            </w:r>
            <w:r>
              <w:tab/>
            </w:r>
            <w:r>
              <w:rPr>
                <w:b/>
                <w:i/>
              </w:rPr>
              <w:t xml:space="preserve">La Commission peut adopter des </w:t>
            </w:r>
            <w:r>
              <w:rPr>
                <w:b/>
                <w:i/>
              </w:rPr>
              <w:lastRenderedPageBreak/>
              <w:t xml:space="preserve">orientations sur la façon de fournir les éléments de preuve </w:t>
            </w:r>
            <w:r>
              <w:rPr>
                <w:b/>
                <w:i/>
              </w:rPr>
              <w:t>appropriés afin de limiter la charge administrative et de permettre aux PME de se conformer plus facilement à leurs obligations.</w:t>
            </w:r>
          </w:p>
        </w:tc>
      </w:tr>
    </w:tbl>
    <w:p w14:paraId="238A9F8E" w14:textId="77777777" w:rsidR="006C3E5B" w:rsidRPr="000B4392" w:rsidRDefault="002E2283" w:rsidP="006C3E5B">
      <w:pPr>
        <w:pStyle w:val="AmOrLang"/>
      </w:pPr>
      <w:r w:rsidRPr="000B4392">
        <w:lastRenderedPageBreak/>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1817CF39" w14:textId="77777777" w:rsidR="006C3E5B" w:rsidRPr="000B4392" w:rsidRDefault="002E2283" w:rsidP="006C3E5B">
      <w:r>
        <w:rPr>
          <w:rStyle w:val="HideTWBExt"/>
        </w:rPr>
        <w:t>&lt;/Amend&gt;</w:t>
      </w:r>
    </w:p>
    <w:p w14:paraId="64757FDE" w14:textId="77777777" w:rsidR="006C3E5B" w:rsidRPr="000B4392" w:rsidRDefault="002E2283" w:rsidP="006C3E5B">
      <w:pPr>
        <w:pStyle w:val="AmNumberTabs"/>
      </w:pPr>
      <w:r>
        <w:rPr>
          <w:rStyle w:val="HideTWBExt"/>
        </w:rPr>
        <w:t>&lt;Amend&gt;</w:t>
      </w:r>
      <w:r>
        <w:t>Amendement</w:t>
      </w:r>
      <w:r>
        <w:tab/>
      </w:r>
      <w:r>
        <w:tab/>
      </w:r>
      <w:r>
        <w:rPr>
          <w:rStyle w:val="HideTWBExt"/>
        </w:rPr>
        <w:t>&lt;NumAm&gt;</w:t>
      </w:r>
      <w:r>
        <w:t>16</w:t>
      </w:r>
      <w:r>
        <w:rPr>
          <w:rStyle w:val="HideTWBExt"/>
        </w:rPr>
        <w:t>&lt;/NumAm&gt;</w:t>
      </w:r>
    </w:p>
    <w:p w14:paraId="0AB75067" w14:textId="77777777" w:rsidR="006C3E5B" w:rsidRPr="000B4392" w:rsidRDefault="002E2283" w:rsidP="006C3E5B">
      <w:pPr>
        <w:pStyle w:val="NormalBold12b"/>
      </w:pPr>
      <w:r>
        <w:rPr>
          <w:rStyle w:val="HideTWBExt"/>
        </w:rPr>
        <w:t>&lt;DocAmend&gt;</w:t>
      </w:r>
      <w:r>
        <w:t>Proposition de règlement</w:t>
      </w:r>
      <w:r>
        <w:rPr>
          <w:rStyle w:val="HideTWBExt"/>
        </w:rPr>
        <w:t>&lt;/DocAmend&gt;</w:t>
      </w:r>
    </w:p>
    <w:p w14:paraId="35943059" w14:textId="77777777" w:rsidR="006C3E5B" w:rsidRPr="000B4392" w:rsidRDefault="002E2283" w:rsidP="006C3E5B">
      <w:pPr>
        <w:pStyle w:val="NormalBold"/>
      </w:pPr>
      <w:r>
        <w:rPr>
          <w:rStyle w:val="HideTWBExt"/>
        </w:rPr>
        <w:t>&lt;Article&gt;</w:t>
      </w:r>
      <w:r>
        <w:t>Article 3 – paragraphe 2 quater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1D448365" w14:textId="77777777" w:rsidTr="006C3E5B">
        <w:trPr>
          <w:trHeight w:val="240"/>
          <w:jc w:val="center"/>
        </w:trPr>
        <w:tc>
          <w:tcPr>
            <w:tcW w:w="9752" w:type="dxa"/>
            <w:gridSpan w:val="2"/>
          </w:tcPr>
          <w:p w14:paraId="110F9143" w14:textId="77777777" w:rsidR="006C3E5B" w:rsidRPr="000B4392" w:rsidRDefault="006C3E5B"/>
        </w:tc>
      </w:tr>
      <w:tr w:rsidR="00EB13A1" w14:paraId="6C005C30" w14:textId="77777777" w:rsidTr="006C3E5B">
        <w:trPr>
          <w:trHeight w:val="240"/>
          <w:jc w:val="center"/>
        </w:trPr>
        <w:tc>
          <w:tcPr>
            <w:tcW w:w="4876" w:type="dxa"/>
            <w:hideMark/>
          </w:tcPr>
          <w:p w14:paraId="68717B2D" w14:textId="77777777" w:rsidR="006C3E5B" w:rsidRPr="000B4392" w:rsidRDefault="002E2283">
            <w:pPr>
              <w:pStyle w:val="AmColumnHeading"/>
            </w:pPr>
            <w:r>
              <w:t>Texte proposé par la Commission</w:t>
            </w:r>
          </w:p>
        </w:tc>
        <w:tc>
          <w:tcPr>
            <w:tcW w:w="4876" w:type="dxa"/>
            <w:hideMark/>
          </w:tcPr>
          <w:p w14:paraId="648F641B" w14:textId="77777777" w:rsidR="006C3E5B" w:rsidRPr="000B4392" w:rsidRDefault="002E2283">
            <w:pPr>
              <w:pStyle w:val="AmColumnHeading"/>
            </w:pPr>
            <w:r>
              <w:t>Amendement</w:t>
            </w:r>
          </w:p>
        </w:tc>
      </w:tr>
      <w:tr w:rsidR="00EB13A1" w14:paraId="5B795930" w14:textId="77777777" w:rsidTr="006C3E5B">
        <w:trPr>
          <w:jc w:val="center"/>
        </w:trPr>
        <w:tc>
          <w:tcPr>
            <w:tcW w:w="4876" w:type="dxa"/>
          </w:tcPr>
          <w:p w14:paraId="64DD8B5B" w14:textId="77777777" w:rsidR="006C3E5B" w:rsidRPr="000B4392" w:rsidRDefault="006C3E5B">
            <w:pPr>
              <w:pStyle w:val="Normal6a"/>
            </w:pPr>
          </w:p>
        </w:tc>
        <w:tc>
          <w:tcPr>
            <w:tcW w:w="4876" w:type="dxa"/>
            <w:hideMark/>
          </w:tcPr>
          <w:p w14:paraId="22380DE2" w14:textId="77777777" w:rsidR="006C3E5B" w:rsidRPr="000B4392" w:rsidRDefault="002E2283">
            <w:pPr>
              <w:pStyle w:val="Normal6a"/>
            </w:pPr>
            <w:r>
              <w:rPr>
                <w:b/>
                <w:i/>
              </w:rPr>
              <w:t>2 quater.</w:t>
            </w:r>
            <w:r>
              <w:tab/>
            </w:r>
            <w:r>
              <w:rPr>
                <w:b/>
                <w:i/>
              </w:rPr>
              <w:t>Les importations de produits dont l’acier a été fondu et coulé dans la Fédération de Russie ou en Biélorussie ne peuvent pas accéder au marché de l’Union ni bénéficier de contingents tarifaires. Tous ces produits font l’objet d’une interdiction automatique aux frontières extérieures de l’Union.</w:t>
            </w:r>
          </w:p>
        </w:tc>
      </w:tr>
    </w:tbl>
    <w:p w14:paraId="595F6838" w14:textId="77777777" w:rsidR="006C3E5B" w:rsidRPr="000B4392" w:rsidRDefault="002E2283" w:rsidP="006C3E5B">
      <w:pPr>
        <w:pStyle w:val="AmOrLang"/>
      </w:pPr>
      <w:r w:rsidRPr="000B4392">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3C2E07C2" w14:textId="77777777" w:rsidR="006C3E5B" w:rsidRPr="000B4392" w:rsidRDefault="002E2283" w:rsidP="006C3E5B">
      <w:r>
        <w:rPr>
          <w:rStyle w:val="HideTWBExt"/>
        </w:rPr>
        <w:t>&lt;/Amend&gt;</w:t>
      </w:r>
    </w:p>
    <w:p w14:paraId="4CEC6808" w14:textId="77777777" w:rsidR="006C3E5B" w:rsidRPr="000B4392" w:rsidRDefault="002E2283" w:rsidP="006C3E5B">
      <w:pPr>
        <w:pStyle w:val="AmNumberTabs"/>
      </w:pPr>
      <w:r>
        <w:rPr>
          <w:rStyle w:val="HideTWBExt"/>
        </w:rPr>
        <w:t>&lt;Amend&gt;</w:t>
      </w:r>
      <w:r>
        <w:t>Amendement</w:t>
      </w:r>
      <w:r>
        <w:tab/>
      </w:r>
      <w:r>
        <w:tab/>
      </w:r>
      <w:r>
        <w:rPr>
          <w:rStyle w:val="HideTWBExt"/>
        </w:rPr>
        <w:t>&lt;NumAm&gt;</w:t>
      </w:r>
      <w:r>
        <w:t>17</w:t>
      </w:r>
      <w:r>
        <w:rPr>
          <w:rStyle w:val="HideTWBExt"/>
        </w:rPr>
        <w:t>&lt;/NumAm&gt;</w:t>
      </w:r>
    </w:p>
    <w:p w14:paraId="245FCA7B" w14:textId="77777777" w:rsidR="006C3E5B" w:rsidRPr="000B4392" w:rsidRDefault="002E2283" w:rsidP="006C3E5B">
      <w:pPr>
        <w:pStyle w:val="NormalBold12b"/>
      </w:pPr>
      <w:r>
        <w:rPr>
          <w:rStyle w:val="HideTWBExt"/>
        </w:rPr>
        <w:t>&lt;DocAmend&gt;</w:t>
      </w:r>
      <w:r>
        <w:t>Proposition de règlement</w:t>
      </w:r>
      <w:r>
        <w:rPr>
          <w:rStyle w:val="HideTWBExt"/>
        </w:rPr>
        <w:t>&lt;/DocAmend&gt;</w:t>
      </w:r>
    </w:p>
    <w:p w14:paraId="09E7A6C8" w14:textId="77777777" w:rsidR="006C3E5B" w:rsidRPr="000B4392" w:rsidRDefault="002E2283" w:rsidP="006C3E5B">
      <w:pPr>
        <w:pStyle w:val="NormalBold"/>
      </w:pPr>
      <w:r>
        <w:rPr>
          <w:rStyle w:val="HideTWBExt"/>
        </w:rPr>
        <w:t>&lt;Article&gt;</w:t>
      </w:r>
      <w:r>
        <w:t>Article 9 – paragraphe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73D7AF8C" w14:textId="77777777" w:rsidTr="006C3E5B">
        <w:trPr>
          <w:trHeight w:val="240"/>
          <w:jc w:val="center"/>
        </w:trPr>
        <w:tc>
          <w:tcPr>
            <w:tcW w:w="9752" w:type="dxa"/>
            <w:gridSpan w:val="2"/>
          </w:tcPr>
          <w:p w14:paraId="16F5EED2" w14:textId="77777777" w:rsidR="006C3E5B" w:rsidRPr="000B4392" w:rsidRDefault="006C3E5B"/>
        </w:tc>
      </w:tr>
      <w:tr w:rsidR="00EB13A1" w14:paraId="732FE97A" w14:textId="77777777" w:rsidTr="006C3E5B">
        <w:trPr>
          <w:trHeight w:val="240"/>
          <w:jc w:val="center"/>
        </w:trPr>
        <w:tc>
          <w:tcPr>
            <w:tcW w:w="4876" w:type="dxa"/>
            <w:hideMark/>
          </w:tcPr>
          <w:p w14:paraId="34769614" w14:textId="77777777" w:rsidR="006C3E5B" w:rsidRPr="000B4392" w:rsidRDefault="002E2283">
            <w:pPr>
              <w:pStyle w:val="AmColumnHeading"/>
            </w:pPr>
            <w:r>
              <w:t>Texte proposé par la Commission</w:t>
            </w:r>
          </w:p>
        </w:tc>
        <w:tc>
          <w:tcPr>
            <w:tcW w:w="4876" w:type="dxa"/>
            <w:hideMark/>
          </w:tcPr>
          <w:p w14:paraId="44685FCC" w14:textId="77777777" w:rsidR="006C3E5B" w:rsidRPr="000B4392" w:rsidRDefault="002E2283">
            <w:pPr>
              <w:pStyle w:val="AmColumnHeading"/>
            </w:pPr>
            <w:r>
              <w:t>Amendement</w:t>
            </w:r>
          </w:p>
        </w:tc>
      </w:tr>
      <w:tr w:rsidR="00EB13A1" w14:paraId="6E53BF6A" w14:textId="77777777" w:rsidTr="006C3E5B">
        <w:trPr>
          <w:jc w:val="center"/>
        </w:trPr>
        <w:tc>
          <w:tcPr>
            <w:tcW w:w="4876" w:type="dxa"/>
            <w:hideMark/>
          </w:tcPr>
          <w:p w14:paraId="101CDB65" w14:textId="77777777" w:rsidR="006C3E5B" w:rsidRPr="000B4392" w:rsidRDefault="002E2283">
            <w:pPr>
              <w:pStyle w:val="Normal6a"/>
            </w:pPr>
            <w:r>
              <w:t>1.</w:t>
            </w:r>
            <w:r>
              <w:tab/>
              <w:t>Au plus tard le</w:t>
            </w:r>
            <w:r>
              <w:rPr>
                <w:b/>
                <w:i/>
              </w:rPr>
              <w:t xml:space="preserve"> [Office des publications: veuillez insérer la date correspondant à deux ans après</w:t>
            </w:r>
            <w:r>
              <w:t xml:space="preserve"> </w:t>
            </w:r>
            <w:r>
              <w:rPr>
                <w:b/>
                <w:i/>
              </w:rPr>
              <w:t>l’adoption</w:t>
            </w:r>
            <w:r>
              <w:t xml:space="preserve"> du présent </w:t>
            </w:r>
            <w:r>
              <w:rPr>
                <w:b/>
                <w:i/>
              </w:rPr>
              <w:t>projet de</w:t>
            </w:r>
            <w:r>
              <w:t xml:space="preserve"> règlement], la Commission évalue la nécessité de modifier le champ d’application du présent règlement et peut présenter une proposition législative visant à modifier ledit règlement. Cette évaluation est effectuée </w:t>
            </w:r>
            <w:r>
              <w:rPr>
                <w:b/>
                <w:i/>
              </w:rPr>
              <w:t xml:space="preserve">périodiquement, tous les deux ans, après </w:t>
            </w:r>
            <w:r>
              <w:rPr>
                <w:b/>
                <w:i/>
              </w:rPr>
              <w:lastRenderedPageBreak/>
              <w:t>le premier réexamen</w:t>
            </w:r>
            <w:r>
              <w:t>.</w:t>
            </w:r>
          </w:p>
        </w:tc>
        <w:tc>
          <w:tcPr>
            <w:tcW w:w="4876" w:type="dxa"/>
            <w:hideMark/>
          </w:tcPr>
          <w:p w14:paraId="3E195EB9" w14:textId="77777777" w:rsidR="006C3E5B" w:rsidRPr="000B4392" w:rsidRDefault="002E2283">
            <w:pPr>
              <w:pStyle w:val="Normal6a"/>
            </w:pPr>
            <w:r>
              <w:lastRenderedPageBreak/>
              <w:t>1.</w:t>
            </w:r>
            <w:r>
              <w:tab/>
              <w:t>Au plus tard le</w:t>
            </w:r>
            <w:r>
              <w:rPr>
                <w:b/>
                <w:i/>
              </w:rPr>
              <w:t xml:space="preserve"> ...</w:t>
            </w:r>
            <w:r>
              <w:t xml:space="preserve"> [</w:t>
            </w:r>
            <w:r>
              <w:rPr>
                <w:b/>
                <w:i/>
              </w:rPr>
              <w:t>un an à compter de</w:t>
            </w:r>
            <w:r>
              <w:t xml:space="preserve"> </w:t>
            </w:r>
            <w:r>
              <w:rPr>
                <w:b/>
                <w:i/>
              </w:rPr>
              <w:t>la date d’entrée en vigueur</w:t>
            </w:r>
            <w:r>
              <w:t xml:space="preserve"> du présent règlement], la Commission évalue la nécessité de modifier le champ d’application du présent règlement et peut présenter une proposition législative visant à modifier ledit règlement. Cette évaluation est effectuée </w:t>
            </w:r>
            <w:r>
              <w:rPr>
                <w:b/>
                <w:i/>
              </w:rPr>
              <w:t>chaque année</w:t>
            </w:r>
            <w:r>
              <w:t>.</w:t>
            </w:r>
          </w:p>
        </w:tc>
      </w:tr>
    </w:tbl>
    <w:p w14:paraId="1DE3280A" w14:textId="77777777" w:rsidR="006C3E5B" w:rsidRPr="000B4392" w:rsidRDefault="002E2283" w:rsidP="006C3E5B">
      <w:pPr>
        <w:pStyle w:val="AmOrLang"/>
      </w:pPr>
      <w:r w:rsidRPr="000B4392">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2E83DC14" w14:textId="77777777" w:rsidR="006C3E5B" w:rsidRPr="000B4392" w:rsidRDefault="002E2283" w:rsidP="006C3E5B">
      <w:r>
        <w:rPr>
          <w:rStyle w:val="HideTWBExt"/>
        </w:rPr>
        <w:t>&lt;/Amend&gt;</w:t>
      </w:r>
    </w:p>
    <w:p w14:paraId="139EB9F2" w14:textId="77777777" w:rsidR="006C3E5B" w:rsidRPr="000B4392" w:rsidRDefault="002E2283" w:rsidP="006C3E5B">
      <w:pPr>
        <w:pStyle w:val="AmNumberTabs"/>
      </w:pPr>
      <w:r>
        <w:rPr>
          <w:rStyle w:val="HideTWBExt"/>
        </w:rPr>
        <w:t>&lt;Amend&gt;</w:t>
      </w:r>
      <w:r>
        <w:t>Amendement</w:t>
      </w:r>
      <w:r>
        <w:tab/>
      </w:r>
      <w:r>
        <w:tab/>
      </w:r>
      <w:r>
        <w:rPr>
          <w:rStyle w:val="HideTWBExt"/>
        </w:rPr>
        <w:t>&lt;NumAm&gt;</w:t>
      </w:r>
      <w:r>
        <w:t>18</w:t>
      </w:r>
      <w:r>
        <w:rPr>
          <w:rStyle w:val="HideTWBExt"/>
        </w:rPr>
        <w:t>&lt;/NumAm&gt;</w:t>
      </w:r>
    </w:p>
    <w:p w14:paraId="4B5021C0" w14:textId="77777777" w:rsidR="006C3E5B" w:rsidRPr="000B4392" w:rsidRDefault="002E2283" w:rsidP="006C3E5B">
      <w:pPr>
        <w:pStyle w:val="NormalBold12b"/>
      </w:pPr>
      <w:r>
        <w:rPr>
          <w:rStyle w:val="HideTWBExt"/>
        </w:rPr>
        <w:t>&lt;DocAmend&gt;</w:t>
      </w:r>
      <w:r>
        <w:t>Proposition de règlement</w:t>
      </w:r>
      <w:r>
        <w:rPr>
          <w:rStyle w:val="HideTWBExt"/>
        </w:rPr>
        <w:t>&lt;/DocAmend&gt;</w:t>
      </w:r>
    </w:p>
    <w:p w14:paraId="5C2B9C5D" w14:textId="77777777" w:rsidR="006C3E5B" w:rsidRPr="000B4392" w:rsidRDefault="002E2283" w:rsidP="006C3E5B">
      <w:pPr>
        <w:pStyle w:val="NormalBold"/>
      </w:pPr>
      <w:r>
        <w:rPr>
          <w:rStyle w:val="HideTWBExt"/>
        </w:rPr>
        <w:t>&lt;Article&gt;</w:t>
      </w:r>
      <w:r>
        <w:t>Article 9 – paragraphe 1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6383BCC2" w14:textId="77777777" w:rsidTr="006C3E5B">
        <w:trPr>
          <w:trHeight w:val="240"/>
          <w:jc w:val="center"/>
        </w:trPr>
        <w:tc>
          <w:tcPr>
            <w:tcW w:w="9752" w:type="dxa"/>
            <w:gridSpan w:val="2"/>
          </w:tcPr>
          <w:p w14:paraId="101A7EEB" w14:textId="77777777" w:rsidR="006C3E5B" w:rsidRPr="000B4392" w:rsidRDefault="006C3E5B"/>
        </w:tc>
      </w:tr>
      <w:tr w:rsidR="00EB13A1" w14:paraId="252A0815" w14:textId="77777777" w:rsidTr="006C3E5B">
        <w:trPr>
          <w:trHeight w:val="240"/>
          <w:jc w:val="center"/>
        </w:trPr>
        <w:tc>
          <w:tcPr>
            <w:tcW w:w="4876" w:type="dxa"/>
            <w:hideMark/>
          </w:tcPr>
          <w:p w14:paraId="4FED51F1" w14:textId="77777777" w:rsidR="006C3E5B" w:rsidRPr="000B4392" w:rsidRDefault="002E2283">
            <w:pPr>
              <w:pStyle w:val="AmColumnHeading"/>
            </w:pPr>
            <w:r>
              <w:t>Texte proposé par la Commission</w:t>
            </w:r>
          </w:p>
        </w:tc>
        <w:tc>
          <w:tcPr>
            <w:tcW w:w="4876" w:type="dxa"/>
            <w:hideMark/>
          </w:tcPr>
          <w:p w14:paraId="5E6D60DE" w14:textId="77777777" w:rsidR="006C3E5B" w:rsidRPr="000B4392" w:rsidRDefault="002E2283">
            <w:pPr>
              <w:pStyle w:val="AmColumnHeading"/>
            </w:pPr>
            <w:r>
              <w:t>Amendement</w:t>
            </w:r>
          </w:p>
        </w:tc>
      </w:tr>
      <w:tr w:rsidR="00EB13A1" w14:paraId="21FFF5FF" w14:textId="77777777" w:rsidTr="006C3E5B">
        <w:trPr>
          <w:jc w:val="center"/>
        </w:trPr>
        <w:tc>
          <w:tcPr>
            <w:tcW w:w="4876" w:type="dxa"/>
          </w:tcPr>
          <w:p w14:paraId="5884C287" w14:textId="77777777" w:rsidR="006C3E5B" w:rsidRPr="000B4392" w:rsidRDefault="006C3E5B">
            <w:pPr>
              <w:pStyle w:val="Normal6a"/>
            </w:pPr>
          </w:p>
        </w:tc>
        <w:tc>
          <w:tcPr>
            <w:tcW w:w="4876" w:type="dxa"/>
            <w:hideMark/>
          </w:tcPr>
          <w:p w14:paraId="78279805" w14:textId="77777777" w:rsidR="006C3E5B" w:rsidRPr="000B4392" w:rsidRDefault="002E2283">
            <w:pPr>
              <w:pStyle w:val="Normal6a"/>
            </w:pPr>
            <w:r>
              <w:rPr>
                <w:b/>
                <w:i/>
              </w:rPr>
              <w:t>1 bis.</w:t>
            </w:r>
            <w:r>
              <w:tab/>
            </w:r>
            <w:r>
              <w:rPr>
                <w:b/>
                <w:i/>
              </w:rPr>
              <w:t>La Commission présente au Parlement européen et au Conseil un rapport annuel sur la mise en œuvre du présent règlement. Ce rapport est rendu public.</w:t>
            </w:r>
          </w:p>
        </w:tc>
      </w:tr>
    </w:tbl>
    <w:p w14:paraId="738D0CFA" w14:textId="77777777" w:rsidR="006C3E5B" w:rsidRPr="000B4392" w:rsidRDefault="002E2283" w:rsidP="006C3E5B">
      <w:pPr>
        <w:pStyle w:val="AmOrLang"/>
      </w:pPr>
      <w:r w:rsidRPr="000B4392">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0537CEC1" w14:textId="77777777" w:rsidR="006C3E5B" w:rsidRPr="000B4392" w:rsidRDefault="002E2283" w:rsidP="006C3E5B">
      <w:r>
        <w:rPr>
          <w:rStyle w:val="HideTWBExt"/>
        </w:rPr>
        <w:t>&lt;/Amend&gt;</w:t>
      </w:r>
    </w:p>
    <w:p w14:paraId="4903865F" w14:textId="77777777" w:rsidR="006C3E5B" w:rsidRPr="000B4392" w:rsidRDefault="002E2283" w:rsidP="006C3E5B">
      <w:pPr>
        <w:pStyle w:val="AmNumberTabs"/>
      </w:pPr>
      <w:r>
        <w:rPr>
          <w:rStyle w:val="HideTWBExt"/>
        </w:rPr>
        <w:t>&lt;Amend&gt;</w:t>
      </w:r>
      <w:r>
        <w:t>Amendement</w:t>
      </w:r>
      <w:r>
        <w:tab/>
      </w:r>
      <w:r>
        <w:tab/>
      </w:r>
      <w:r>
        <w:rPr>
          <w:rStyle w:val="HideTWBExt"/>
        </w:rPr>
        <w:t>&lt;NumAm&gt;</w:t>
      </w:r>
      <w:r>
        <w:t>19</w:t>
      </w:r>
      <w:r>
        <w:rPr>
          <w:rStyle w:val="HideTWBExt"/>
        </w:rPr>
        <w:t>&lt;/NumAm&gt;</w:t>
      </w:r>
    </w:p>
    <w:p w14:paraId="2746D68F" w14:textId="77777777" w:rsidR="006C3E5B" w:rsidRPr="000B4392" w:rsidRDefault="002E2283" w:rsidP="006C3E5B">
      <w:pPr>
        <w:pStyle w:val="NormalBold12b"/>
      </w:pPr>
      <w:r>
        <w:rPr>
          <w:rStyle w:val="HideTWBExt"/>
        </w:rPr>
        <w:t>&lt;DocAmend&gt;</w:t>
      </w:r>
      <w:r>
        <w:t>Proposition de règlement</w:t>
      </w:r>
      <w:r>
        <w:rPr>
          <w:rStyle w:val="HideTWBExt"/>
        </w:rPr>
        <w:t>&lt;/DocAmend&gt;</w:t>
      </w:r>
    </w:p>
    <w:p w14:paraId="63A202F0" w14:textId="77777777" w:rsidR="006C3E5B" w:rsidRPr="000B4392" w:rsidRDefault="002E2283" w:rsidP="006C3E5B">
      <w:pPr>
        <w:pStyle w:val="NormalBold"/>
      </w:pPr>
      <w:r>
        <w:rPr>
          <w:rStyle w:val="HideTWBExt"/>
        </w:rPr>
        <w:t>&lt;Article&gt;</w:t>
      </w:r>
      <w:r>
        <w:t>Article 9 – paragraphe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13A1" w14:paraId="139382A2" w14:textId="77777777" w:rsidTr="006C3E5B">
        <w:trPr>
          <w:trHeight w:val="240"/>
          <w:jc w:val="center"/>
        </w:trPr>
        <w:tc>
          <w:tcPr>
            <w:tcW w:w="9752" w:type="dxa"/>
            <w:gridSpan w:val="2"/>
          </w:tcPr>
          <w:p w14:paraId="5957ACF8" w14:textId="77777777" w:rsidR="006C3E5B" w:rsidRPr="000B4392" w:rsidRDefault="006C3E5B"/>
        </w:tc>
      </w:tr>
      <w:tr w:rsidR="00EB13A1" w14:paraId="10B9BA92" w14:textId="77777777" w:rsidTr="006C3E5B">
        <w:trPr>
          <w:trHeight w:val="240"/>
          <w:jc w:val="center"/>
        </w:trPr>
        <w:tc>
          <w:tcPr>
            <w:tcW w:w="4876" w:type="dxa"/>
            <w:hideMark/>
          </w:tcPr>
          <w:p w14:paraId="1D0740D8" w14:textId="77777777" w:rsidR="006C3E5B" w:rsidRPr="000B4392" w:rsidRDefault="002E2283">
            <w:pPr>
              <w:pStyle w:val="AmColumnHeading"/>
            </w:pPr>
            <w:r>
              <w:t>Texte proposé par la Commission</w:t>
            </w:r>
          </w:p>
        </w:tc>
        <w:tc>
          <w:tcPr>
            <w:tcW w:w="4876" w:type="dxa"/>
            <w:hideMark/>
          </w:tcPr>
          <w:p w14:paraId="3A4F5697" w14:textId="77777777" w:rsidR="006C3E5B" w:rsidRPr="000B4392" w:rsidRDefault="002E2283">
            <w:pPr>
              <w:pStyle w:val="AmColumnHeading"/>
            </w:pPr>
            <w:r>
              <w:t>Amendement</w:t>
            </w:r>
          </w:p>
        </w:tc>
      </w:tr>
      <w:tr w:rsidR="00EB13A1" w14:paraId="2742BC26" w14:textId="77777777" w:rsidTr="006C3E5B">
        <w:trPr>
          <w:jc w:val="center"/>
        </w:trPr>
        <w:tc>
          <w:tcPr>
            <w:tcW w:w="4876" w:type="dxa"/>
            <w:hideMark/>
          </w:tcPr>
          <w:p w14:paraId="4037331A" w14:textId="77777777" w:rsidR="006C3E5B" w:rsidRPr="000B4392" w:rsidRDefault="002E2283">
            <w:pPr>
              <w:pStyle w:val="Normal6a"/>
            </w:pPr>
            <w:r>
              <w:t>2.</w:t>
            </w:r>
            <w:r>
              <w:tab/>
              <w:t xml:space="preserve">Avant le </w:t>
            </w:r>
            <w:r>
              <w:rPr>
                <w:b/>
                <w:i/>
              </w:rPr>
              <w:t>1</w:t>
            </w:r>
            <w:r>
              <w:rPr>
                <w:b/>
                <w:i/>
                <w:vertAlign w:val="superscript"/>
              </w:rPr>
              <w:t>er</w:t>
            </w:r>
            <w:r>
              <w:rPr>
                <w:b/>
                <w:i/>
              </w:rPr>
              <w:t> juillet 2031</w:t>
            </w:r>
            <w:r>
              <w:t xml:space="preserve">, et tous les </w:t>
            </w:r>
            <w:r>
              <w:rPr>
                <w:b/>
                <w:i/>
              </w:rPr>
              <w:t>cinq</w:t>
            </w:r>
            <w:r>
              <w:t xml:space="preserve"> ans par la suite, la Commission évalue l’efficacité du présent règlement. Cette évaluation tient compte de la persistance des circonstances qui ont justifié l’adoption dudit règlement et de la situation de l’industrie sidérurgique de l’Union. À partir de cette évaluation, la Commission peut présenter une proposition législative visant à modifier ou à abroger le présent règlement.</w:t>
            </w:r>
          </w:p>
        </w:tc>
        <w:tc>
          <w:tcPr>
            <w:tcW w:w="4876" w:type="dxa"/>
            <w:hideMark/>
          </w:tcPr>
          <w:p w14:paraId="20B051E7" w14:textId="77777777" w:rsidR="006C3E5B" w:rsidRPr="000B4392" w:rsidRDefault="002E2283">
            <w:pPr>
              <w:pStyle w:val="Normal6a"/>
            </w:pPr>
            <w:r>
              <w:t>2.</w:t>
            </w:r>
            <w:r>
              <w:tab/>
              <w:t xml:space="preserve">Avant le </w:t>
            </w:r>
            <w:r>
              <w:rPr>
                <w:b/>
                <w:i/>
              </w:rPr>
              <w:t>...</w:t>
            </w:r>
            <w:r>
              <w:t xml:space="preserve"> </w:t>
            </w:r>
            <w:r>
              <w:rPr>
                <w:b/>
                <w:i/>
              </w:rPr>
              <w:t>[deux ans à compter de la date d’entrée en vigueur du présent règlement]</w:t>
            </w:r>
            <w:r>
              <w:t xml:space="preserve">, et tous les </w:t>
            </w:r>
            <w:r>
              <w:rPr>
                <w:b/>
                <w:i/>
              </w:rPr>
              <w:t>deux</w:t>
            </w:r>
            <w:r>
              <w:t> ans par la suite, la Commission évalue l’efficacité du présent règlement. Cette évaluation tient compte de la persistance des circonstances qui ont justifié l’adoption dudit règlement et de la situation de l’industrie sidérurgique de l’Union</w:t>
            </w:r>
            <w:r>
              <w:rPr>
                <w:b/>
                <w:i/>
              </w:rPr>
              <w:t>, notamment des niveaux de prix et de l’utilisation des capacités, ainsi que des chaînes de valeur en aval</w:t>
            </w:r>
            <w:r>
              <w:t>. À partir de cette évaluation, la Commission peut présenter</w:t>
            </w:r>
            <w:r>
              <w:t xml:space="preserve"> une proposition législative visant à modifier ou à abroger le présent règlement.</w:t>
            </w:r>
          </w:p>
        </w:tc>
      </w:tr>
    </w:tbl>
    <w:p w14:paraId="4638BE3E" w14:textId="77777777" w:rsidR="006C3E5B" w:rsidRPr="000B4392" w:rsidRDefault="002E2283" w:rsidP="006C3E5B">
      <w:pPr>
        <w:pStyle w:val="AmOrLang"/>
      </w:pPr>
      <w:r w:rsidRPr="000B4392">
        <w:t xml:space="preserve">Or. </w:t>
      </w:r>
      <w:r w:rsidRPr="000B4392">
        <w:rPr>
          <w:rStyle w:val="HideTWBExt"/>
        </w:rPr>
        <w:t>&lt;Original&gt;</w:t>
      </w:r>
      <w:r w:rsidRPr="000B4392">
        <w:rPr>
          <w:rStyle w:val="HideTWBInt"/>
        </w:rPr>
        <w:t>{EN}</w:t>
      </w:r>
      <w:r w:rsidRPr="000B4392">
        <w:t>en</w:t>
      </w:r>
      <w:r w:rsidRPr="000B4392">
        <w:rPr>
          <w:rStyle w:val="HideTWBExt"/>
        </w:rPr>
        <w:t>&lt;/Original&gt;</w:t>
      </w:r>
    </w:p>
    <w:p w14:paraId="09E73275" w14:textId="77777777" w:rsidR="006C3E5B" w:rsidRPr="000B4392" w:rsidRDefault="002E2283" w:rsidP="006C3E5B">
      <w:r>
        <w:rPr>
          <w:rStyle w:val="HideTWBExt"/>
        </w:rPr>
        <w:t>&lt;/Amend&gt;</w:t>
      </w:r>
    </w:p>
    <w:p w14:paraId="0587757E" w14:textId="77777777" w:rsidR="00EF6177" w:rsidRPr="000B4392" w:rsidRDefault="002E2283" w:rsidP="009D6D7A">
      <w:r>
        <w:rPr>
          <w:rStyle w:val="HideTWBExt"/>
        </w:rPr>
        <w:lastRenderedPageBreak/>
        <w:t>&lt;/RepeatBlock-Amend&gt;</w:t>
      </w:r>
      <w:bookmarkStart w:id="1" w:name="_Toc163033371"/>
      <w:bookmarkStart w:id="2" w:name="_Toc203408167"/>
    </w:p>
    <w:bookmarkEnd w:id="1"/>
    <w:bookmarkEnd w:id="2"/>
    <w:p w14:paraId="38B32516" w14:textId="77777777" w:rsidR="00B91827" w:rsidRPr="000B4392" w:rsidRDefault="002E2283">
      <w:pPr>
        <w:widowControl/>
      </w:pPr>
      <w:r>
        <w:br w:type="page"/>
      </w:r>
    </w:p>
    <w:p w14:paraId="4BA28D51" w14:textId="77777777" w:rsidR="00DF5FE5" w:rsidRPr="000B4392" w:rsidRDefault="00DF5FE5">
      <w:pPr>
        <w:widowControl/>
      </w:pPr>
    </w:p>
    <w:p w14:paraId="36142B7A" w14:textId="77777777" w:rsidR="00EF6177" w:rsidRPr="000B4392" w:rsidRDefault="002E2283" w:rsidP="00EF6177">
      <w:pPr>
        <w:pStyle w:val="PageHeading"/>
        <w:rPr>
          <w:bCs/>
          <w:sz w:val="28"/>
          <w:szCs w:val="28"/>
        </w:rPr>
      </w:pPr>
      <w:bookmarkStart w:id="3" w:name="_Toc192752965"/>
      <w:bookmarkStart w:id="4" w:name="_Toc215560275"/>
      <w:r>
        <w:t>EXPOSÉ DES MOTIFS</w:t>
      </w:r>
      <w:bookmarkEnd w:id="4"/>
    </w:p>
    <w:p w14:paraId="3ED4B300" w14:textId="77777777" w:rsidR="00CA19C7" w:rsidRPr="000B4392" w:rsidRDefault="002E2283" w:rsidP="00B91827">
      <w:pPr>
        <w:spacing w:after="120"/>
        <w:rPr>
          <w:szCs w:val="24"/>
        </w:rPr>
      </w:pPr>
      <w:r>
        <w:t>L’Union a besoin d’un secteur sidérurgique fort, compétitif et décarboné, car ce secteur est essentiel pour la compétitivité, la sécurité économique et l’autonomie stratégique de l’Union. Il est également essentiel pour ses objectifs de décarbonation, non seulement en ce qui concerne la réduction de son empreinte carbone, mais également parce qu’il représente un intrant important dans le secteur des technologies vertes. L’acier est en outre essentiel pour renforcer la base industrielle de la défense europée</w:t>
      </w:r>
      <w:r>
        <w:t xml:space="preserve">nne. </w:t>
      </w:r>
    </w:p>
    <w:p w14:paraId="00E3CC03" w14:textId="77777777" w:rsidR="00CA19C7" w:rsidRPr="000B4392" w:rsidRDefault="002E2283" w:rsidP="00B91827">
      <w:pPr>
        <w:spacing w:after="120"/>
        <w:rPr>
          <w:sz w:val="23"/>
          <w:szCs w:val="23"/>
        </w:rPr>
      </w:pPr>
      <w:r>
        <w:t xml:space="preserve">L’Union européenne représente la troisième industrie sidérurgique la plus importante au monde et produit de l’acier dans plus de 20 États membres; ses producteurs d’acier </w:t>
      </w:r>
      <w:r>
        <w:t>emploient 300 000 personnes directement et fournissent indirectement 2,5 millions d’emplois. Elle joue un rôle important dans de nombreuses économies régionales.</w:t>
      </w:r>
    </w:p>
    <w:p w14:paraId="3E164DBB" w14:textId="77777777" w:rsidR="00CA19C7" w:rsidRPr="000B4392" w:rsidRDefault="002E2283" w:rsidP="00B91827">
      <w:pPr>
        <w:spacing w:after="120"/>
        <w:rPr>
          <w:szCs w:val="24"/>
        </w:rPr>
      </w:pPr>
      <w:r>
        <w:t>Cependant, les défis commerciaux auxquels le secteur sidérurgique de l’Union est confronté ne font que se multiplier. La surcapacité mondiale qui produit déjà un effet de distorsion, qui génère des quantités d’acier excédentaires à faible coût et qui exerce une forte pression sur le marché de l’Union du fait des importations, que vient encore aggraver l’acier échappant aux mesures protectrices importé par plusieurs partenaires commerciaux de l’Union, devrait continuer d’augmenter ces prochaines années. La p</w:t>
      </w:r>
      <w:r>
        <w:t xml:space="preserve">roduction européenne d’acier a considérablement baissé ces dernières décennies, entraînant la fermeture de sites et creusant l’écart entre les niveaux de production et les niveaux de capacité. Le secteur sidérurgique européen ne peut rester compétitif si les niveaux de bénéfice, en baisse, ne permettent pas de réaliser les investissements nécessaires dans la décarbonation. </w:t>
      </w:r>
    </w:p>
    <w:p w14:paraId="78B0D313" w14:textId="77777777" w:rsidR="00CA19C7" w:rsidRPr="000B4392" w:rsidRDefault="00CA19C7" w:rsidP="00B91827"/>
    <w:p w14:paraId="329E8AE5" w14:textId="77777777" w:rsidR="00CA19C7" w:rsidRPr="000B4392" w:rsidRDefault="002E2283" w:rsidP="00B91827">
      <w:r>
        <w:t xml:space="preserve">Sachant que les mesures de sauvegarde provisoires mises en place en juillet 2018, qui ont déjà été prolongées, doivent expirer en juin 2026, il est essentiel de mettre sur pied un mécanisme solide et fondé sur des règles qui permettra au secteur de se rétablir et qui visera en même temps à renforcer les bases du développement du libre-échange. La situation de l’acier au niveau mondial en général et l’état du secteur sidérurgique européen en particulier indiquent clairement qu’une mesure solide, efficace et </w:t>
      </w:r>
      <w:r>
        <w:t xml:space="preserve">ciblée est nécessaire. Dans ce contexte, </w:t>
      </w:r>
      <w:r>
        <w:rPr>
          <w:b/>
        </w:rPr>
        <w:t>votre rapporteure</w:t>
      </w:r>
      <w:r>
        <w:t xml:space="preserve"> se félicite du projet de proposition législative qui a été annoncé en mars 2025 dans le cadre du plan d’action européen pour l’acier et les métaux. </w:t>
      </w:r>
      <w:r>
        <w:rPr>
          <w:b/>
        </w:rPr>
        <w:t>Elle</w:t>
      </w:r>
      <w:r>
        <w:t xml:space="preserve"> souscrit également pleinement à l’évaluation de la présidente von der Leyen dans son discours sur l’état de l’Union de septembre 2025 concernant la nécessité stratégique de protéger les industries de l’Union contre les pratiques commerciales déloyales et de préserver des conditions de concurrence éq</w:t>
      </w:r>
      <w:r>
        <w:t xml:space="preserve">uitables au niveau mondial. </w:t>
      </w:r>
    </w:p>
    <w:p w14:paraId="07434AF0" w14:textId="77777777" w:rsidR="00CA19C7" w:rsidRPr="000B4392" w:rsidRDefault="002E2283" w:rsidP="00B91827">
      <w:pPr>
        <w:spacing w:after="120"/>
      </w:pPr>
      <w:r>
        <w:t xml:space="preserve">S’agissant du contenu de la proposition, votre </w:t>
      </w:r>
      <w:r>
        <w:rPr>
          <w:b/>
        </w:rPr>
        <w:t>rapporteure</w:t>
      </w:r>
      <w:r>
        <w:t xml:space="preserve"> l’accueille favorablement comme une étape dans la bonne direction par rapport à la mesure de sauvegarde existante. Le marché unique devrait rester ouvert à un commerce fondé sur des règles et votre rapporteure se déclare dès lors favorable à ce que des contingents à droits nuls continuent de permettre la mise en œuvre d’une approche fondée sur le marché et à ce qu’un niveau de droit clairement supérieur aux contingents soit utilisé pour faire face à la surcapacité et au détournement des flux com</w:t>
      </w:r>
      <w:r>
        <w:t xml:space="preserve">merciaux qui en résulte. En ce qui concerne le calcul du contingent à droits nuls, votre </w:t>
      </w:r>
      <w:r>
        <w:rPr>
          <w:b/>
        </w:rPr>
        <w:t>rapporteure</w:t>
      </w:r>
      <w:r>
        <w:t xml:space="preserve"> estime que l’utilisation de l’année 2013 comme année de référence, avant que la surcapacité n’ait eu de graves effets sur l’Europe, représente un critère équilibré et conforme aux règles de l’OMC. Il convient de permettre le report des contingents inutilisés au </w:t>
      </w:r>
      <w:r>
        <w:lastRenderedPageBreak/>
        <w:t>cours d’un trimestre afin de rendre le système flexible. Votre rapporteure souligne l’importance que revêt la règle de «fusion et coulée», qui renfor</w:t>
      </w:r>
      <w:r>
        <w:t xml:space="preserve">cera la traçabilité des produits, garantira la véritable origine des intrants sidérurgiques et réduira le risque de contournement au moyen d’un transbordement ou d’un traitement minimal. </w:t>
      </w:r>
    </w:p>
    <w:p w14:paraId="3B9E8133" w14:textId="77777777" w:rsidR="00CA19C7" w:rsidRPr="000B4392" w:rsidRDefault="002E2283" w:rsidP="00B91827">
      <w:r>
        <w:t xml:space="preserve">La mesure proposée pour l’acier doit être régulièrement évaluée et susceptible d’être ajustée afin de contribuer efficacement à accroître la production dans des entreprises hautement compétitives et elle doit s’accompagner de mesures visant à encadrer les marchés d’exportation et aller de pair avec une coopération avec des partenaires commerciaux partageant les mêmes valeurs en vue de lutter contre la surcapacité mondiale. Elle ne saurait être utilisée pour permettre à un secteur non compétitif de perdurer </w:t>
      </w:r>
      <w:r>
        <w:t xml:space="preserve">et pour repousser le problème plus en aval de la chaîne de valeur. Autre point important, une production sidérurgique compétitive garantit également que l’Union ne développe pas une dépendance malsaine. Votre rapporteure est favorable à des évaluations régulières du champ d’application de cette mesure et estime qu’elles pourraient être réalisées plus fréquemment. L’établissement de rapports annuels est compatible avec ce type d’instrument commercial et permet aux colégislateurs de comprendre l’évolution de </w:t>
      </w:r>
      <w:r>
        <w:t xml:space="preserve">la mise en œuvre des différentes dimensions de l’instrument.  </w:t>
      </w:r>
    </w:p>
    <w:p w14:paraId="4ACF5B37" w14:textId="77777777" w:rsidR="00CA19C7" w:rsidRPr="000B4392" w:rsidRDefault="00CA19C7" w:rsidP="00B91827">
      <w:pPr>
        <w:spacing w:after="120"/>
      </w:pPr>
    </w:p>
    <w:p w14:paraId="0FEB3715" w14:textId="77777777" w:rsidR="00CA19C7" w:rsidRPr="000B4392" w:rsidRDefault="002E2283" w:rsidP="00B91827">
      <w:pPr>
        <w:spacing w:after="120"/>
      </w:pPr>
      <w:r>
        <w:t xml:space="preserve">À l’heure où le système commercial multilatéral est soumis à une très forte pression, </w:t>
      </w:r>
      <w:r>
        <w:rPr>
          <w:b/>
        </w:rPr>
        <w:t>votre rapporteure</w:t>
      </w:r>
      <w:r>
        <w:t xml:space="preserve"> se félicite tout particulièrement que la proposition de règlement ait été élaborée de manière à rester pleinement conforme aux règles de l’OMC. </w:t>
      </w:r>
      <w:r>
        <w:rPr>
          <w:b/>
        </w:rPr>
        <w:t>Votre rapporteure</w:t>
      </w:r>
      <w:r>
        <w:t xml:space="preserve"> suivra attentivement les négociations qui seront menées avec les partenaires commerciaux concernés, en particulier ceux avec lesquels l’Union a conclu, ou est en train de conclure, des accords de libre-échange, afin de garantir la clarté juridique et la prévisibilité, et de préserver l’intégrité de l’architecture de défense commer</w:t>
      </w:r>
      <w:r>
        <w:t>ciale de l’Union.</w:t>
      </w:r>
    </w:p>
    <w:p w14:paraId="4DACDBE6" w14:textId="77777777" w:rsidR="00CA19C7" w:rsidRPr="000B4392" w:rsidRDefault="002E2283" w:rsidP="00B91827">
      <w:pPr>
        <w:spacing w:after="120"/>
      </w:pPr>
      <w:sdt>
        <w:sdtPr>
          <w:tag w:val="goog_rdk_0"/>
          <w:id w:val="473255504"/>
          <w:showingPlcHdr/>
        </w:sdtPr>
        <w:sdtEndPr/>
        <w:sdtContent>
          <w:r>
            <w:t xml:space="preserve">     </w:t>
          </w:r>
        </w:sdtContent>
      </w:sdt>
      <w:r>
        <w:t xml:space="preserve">Votre </w:t>
      </w:r>
      <w:r>
        <w:rPr>
          <w:b/>
        </w:rPr>
        <w:t>rapporteure</w:t>
      </w:r>
      <w:r>
        <w:t xml:space="preserve"> estime également qu’il faut tenir dûment compte de la situation </w:t>
      </w:r>
      <w:sdt>
        <w:sdtPr>
          <w:tag w:val="goog_rdk_1"/>
          <w:id w:val="-1162988836"/>
        </w:sdtPr>
        <w:sdtEndPr/>
        <w:sdtContent/>
      </w:sdt>
      <w:sdt>
        <w:sdtPr>
          <w:tag w:val="goog_rdk_2"/>
          <w:id w:val="1981819436"/>
        </w:sdtPr>
        <w:sdtEndPr/>
        <w:sdtContent/>
      </w:sdt>
      <w:r>
        <w:t>spécifique de l’Ukraine, pays candidat à l’adhésion à l’Union. En conséquence,</w:t>
      </w:r>
      <w:sdt>
        <w:sdtPr>
          <w:tag w:val="goog_rdk_3"/>
          <w:id w:val="-2069927053"/>
        </w:sdtPr>
        <w:sdtEndPr/>
        <w:sdtContent/>
      </w:sdt>
      <w:sdt>
        <w:sdtPr>
          <w:tag w:val="goog_rdk_4"/>
          <w:id w:val="-1346164781"/>
        </w:sdtPr>
        <w:sdtEndPr/>
        <w:sdtContent/>
      </w:sdt>
      <w:r>
        <w:t xml:space="preserve"> conformément à l’engagement de l’Union à soutenir l’économie ukrainienne dans le cadre de l’actuelle guerre d’agression ainsi qu’à l’accord politique sur le règlement (UE) 2025/1153 (COD), une non-application de l’article premier devait être confirmée. De même, le présent règlement devrait remédier à toute lacune éventuelle qui pourrait permettre l’importation directe ou indirecte de produits provenant de Russie, qui financerait encore la poursuite des activités hostiles de ce pays et porterait préjudice à</w:t>
      </w:r>
      <w:r>
        <w:t xml:space="preserve"> la paix et à la stabilité européennes.</w:t>
      </w:r>
    </w:p>
    <w:p w14:paraId="7B7CD407" w14:textId="77777777" w:rsidR="00CA19C7" w:rsidRPr="000B4392" w:rsidRDefault="00CA19C7" w:rsidP="00B91827">
      <w:pPr>
        <w:spacing w:after="120"/>
      </w:pPr>
    </w:p>
    <w:p w14:paraId="7EDF09B3" w14:textId="77777777" w:rsidR="00CA19C7" w:rsidRPr="000B4392" w:rsidRDefault="002E2283" w:rsidP="00B91827">
      <w:pPr>
        <w:spacing w:after="120"/>
      </w:pPr>
      <w:r>
        <w:t xml:space="preserve">Face au travail qui attend les colégislateurs, à l’ampleur des problèmes rencontrés par le secteur sidérurgique et à l’urgence qu’il y a à garantir la sécurité juridique et économique, votre </w:t>
      </w:r>
      <w:r>
        <w:rPr>
          <w:b/>
        </w:rPr>
        <w:t>rapporteure</w:t>
      </w:r>
      <w:r>
        <w:t xml:space="preserve"> estime que le processus démocratique devrait se poursuivre sans délai de manière ce que le règlement puisse entrer en vigueur à temps.</w:t>
      </w:r>
    </w:p>
    <w:p w14:paraId="4D840D4A" w14:textId="77777777" w:rsidR="00EF6177" w:rsidRPr="000B4392" w:rsidRDefault="002E2283">
      <w:pPr>
        <w:widowControl/>
        <w:rPr>
          <w:rFonts w:ascii="Arial" w:hAnsi="Arial" w:cs="Arial"/>
          <w:b/>
        </w:rPr>
      </w:pPr>
      <w:r>
        <w:br w:type="page"/>
      </w:r>
    </w:p>
    <w:p w14:paraId="5DFEB40F" w14:textId="5179D7E4" w:rsidR="00457217" w:rsidRPr="000B4392" w:rsidRDefault="002E2283" w:rsidP="00457217">
      <w:pPr>
        <w:pStyle w:val="PageHeading"/>
      </w:pPr>
      <w:bookmarkStart w:id="5" w:name="_Toc215560276"/>
      <w:r>
        <w:lastRenderedPageBreak/>
        <w:t>ANNEXE: ENTITÉS OU PERSONNES DONT LA RAPPORTEURE</w:t>
      </w:r>
      <w:r>
        <w:br/>
      </w:r>
      <w:r>
        <w:t>A REÇU DES CONTRIBUTIONS</w:t>
      </w:r>
      <w:bookmarkEnd w:id="3"/>
      <w:bookmarkEnd w:id="5"/>
    </w:p>
    <w:p w14:paraId="0F4E9E09" w14:textId="77777777" w:rsidR="00457217" w:rsidRPr="000B4392" w:rsidRDefault="002E2283" w:rsidP="00457217">
      <w:pPr>
        <w:spacing w:before="9" w:line="360" w:lineRule="auto"/>
        <w:ind w:right="159"/>
        <w:rPr>
          <w:szCs w:val="24"/>
        </w:rPr>
      </w:pPr>
      <w:r>
        <w:t>Conformément à l’article 8 de l’annexe I du règlement intérieur, la rapporteure déclare avoir reçu des contributions des entités ou personnes suivantes pour l’élaboration du projet de rapport, préalablement à son adoption en commission:</w:t>
      </w:r>
    </w:p>
    <w:p w14:paraId="5611790A" w14:textId="77777777" w:rsidR="00457217" w:rsidRPr="000B4392" w:rsidRDefault="00457217" w:rsidP="00457217">
      <w:pPr>
        <w:spacing w:line="200" w:lineRule="exact"/>
        <w:rPr>
          <w:szCs w:val="24"/>
        </w:rPr>
      </w:pPr>
    </w:p>
    <w:tbl>
      <w:tblPr>
        <w:tblW w:w="9105" w:type="dxa"/>
        <w:tblInd w:w="98" w:type="dxa"/>
        <w:tblCellMar>
          <w:left w:w="0" w:type="dxa"/>
          <w:right w:w="0" w:type="dxa"/>
        </w:tblCellMar>
        <w:tblLook w:val="04A0" w:firstRow="1" w:lastRow="0" w:firstColumn="1" w:lastColumn="0" w:noHBand="0" w:noVBand="1"/>
      </w:tblPr>
      <w:tblGrid>
        <w:gridCol w:w="9105"/>
      </w:tblGrid>
      <w:tr w:rsidR="00EB13A1" w14:paraId="51DA66A7" w14:textId="77777777" w:rsidTr="00457217">
        <w:trPr>
          <w:trHeight w:val="355"/>
        </w:trPr>
        <w:tc>
          <w:tcPr>
            <w:tcW w:w="9111" w:type="dxa"/>
            <w:tcBorders>
              <w:top w:val="single" w:sz="8" w:space="0" w:color="000000"/>
              <w:left w:val="single" w:sz="8" w:space="0" w:color="000000"/>
              <w:bottom w:val="single" w:sz="8" w:space="0" w:color="000000"/>
              <w:right w:val="single" w:sz="8" w:space="0" w:color="000000"/>
            </w:tcBorders>
            <w:hideMark/>
          </w:tcPr>
          <w:p w14:paraId="775D5031" w14:textId="77777777" w:rsidR="00457217" w:rsidRPr="000B4392" w:rsidRDefault="002E2283">
            <w:pPr>
              <w:spacing w:line="260" w:lineRule="exact"/>
              <w:ind w:left="3300" w:right="3497"/>
              <w:rPr>
                <w:b/>
                <w:bCs/>
                <w:szCs w:val="24"/>
              </w:rPr>
            </w:pPr>
            <w:r>
              <w:rPr>
                <w:b/>
              </w:rPr>
              <w:t>Entité et/ou personne</w:t>
            </w:r>
          </w:p>
        </w:tc>
      </w:tr>
      <w:tr w:rsidR="00EB13A1" w14:paraId="35E76080"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42A10270" w14:textId="77777777" w:rsidR="00457217" w:rsidRPr="000B4392" w:rsidRDefault="002E2283">
            <w:pPr>
              <w:rPr>
                <w:szCs w:val="24"/>
              </w:rPr>
            </w:pPr>
            <w:r>
              <w:t>Thyssenkrupp</w:t>
            </w:r>
          </w:p>
        </w:tc>
      </w:tr>
      <w:tr w:rsidR="00EB13A1" w14:paraId="7818CA12"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086DD1DD" w14:textId="77777777" w:rsidR="00457217" w:rsidRPr="000B4392" w:rsidRDefault="002E2283">
            <w:pPr>
              <w:spacing w:line="260" w:lineRule="exact"/>
              <w:ind w:right="3497"/>
              <w:rPr>
                <w:szCs w:val="24"/>
              </w:rPr>
            </w:pPr>
            <w:r>
              <w:t>Eurofer</w:t>
            </w:r>
          </w:p>
        </w:tc>
      </w:tr>
      <w:tr w:rsidR="00EB13A1" w14:paraId="54707BE5"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6A0D1CFB" w14:textId="77777777" w:rsidR="00457217" w:rsidRPr="000B4392" w:rsidRDefault="002E2283">
            <w:pPr>
              <w:rPr>
                <w:szCs w:val="24"/>
              </w:rPr>
            </w:pPr>
            <w:r>
              <w:t>Jernkontoret</w:t>
            </w:r>
          </w:p>
          <w:p w14:paraId="141DC08C" w14:textId="77777777" w:rsidR="00457217" w:rsidRPr="000B4392" w:rsidRDefault="00457217">
            <w:pPr>
              <w:spacing w:line="260" w:lineRule="exact"/>
              <w:ind w:left="3300" w:right="3497"/>
              <w:rPr>
                <w:szCs w:val="24"/>
              </w:rPr>
            </w:pPr>
          </w:p>
        </w:tc>
      </w:tr>
      <w:tr w:rsidR="00EB13A1" w14:paraId="1B838A9C"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7A4DF381" w14:textId="77777777" w:rsidR="00457217" w:rsidRPr="000B4392" w:rsidRDefault="002E2283">
            <w:pPr>
              <w:spacing w:line="260" w:lineRule="exact"/>
              <w:ind w:right="3497"/>
              <w:rPr>
                <w:szCs w:val="24"/>
              </w:rPr>
            </w:pPr>
            <w:r>
              <w:rPr>
                <w:color w:val="000000"/>
              </w:rPr>
              <w:t>European Steel Processors Association</w:t>
            </w:r>
          </w:p>
        </w:tc>
      </w:tr>
      <w:tr w:rsidR="00EB13A1" w:rsidRPr="002E2283" w14:paraId="7BC76477"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20694822" w14:textId="77777777" w:rsidR="00457217" w:rsidRPr="002E2283" w:rsidRDefault="002E2283">
            <w:pPr>
              <w:rPr>
                <w:szCs w:val="24"/>
                <w:lang w:val="en-GB"/>
              </w:rPr>
            </w:pPr>
            <w:r w:rsidRPr="002E2283">
              <w:rPr>
                <w:lang w:val="en-GB"/>
              </w:rPr>
              <w:t>Metal Packaging Europe External Affairs ASBL</w:t>
            </w:r>
          </w:p>
          <w:p w14:paraId="02010271" w14:textId="77777777" w:rsidR="00457217" w:rsidRPr="002E2283" w:rsidRDefault="00457217">
            <w:pPr>
              <w:spacing w:line="260" w:lineRule="exact"/>
              <w:ind w:left="3300" w:right="3497"/>
              <w:rPr>
                <w:b/>
                <w:bCs/>
                <w:szCs w:val="24"/>
                <w:lang w:val="en-GB"/>
              </w:rPr>
            </w:pPr>
          </w:p>
        </w:tc>
      </w:tr>
      <w:tr w:rsidR="00EB13A1" w14:paraId="098CCD5D"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2B662B03" w14:textId="77777777" w:rsidR="00457217" w:rsidRPr="000B4392" w:rsidRDefault="002E2283">
            <w:pPr>
              <w:spacing w:line="260" w:lineRule="exact"/>
              <w:ind w:right="3497"/>
              <w:rPr>
                <w:rFonts w:ascii="Aptos" w:hAnsi="Aptos" w:cs="Aptos"/>
                <w:b/>
                <w:bCs/>
                <w:szCs w:val="24"/>
              </w:rPr>
            </w:pPr>
            <w:r>
              <w:rPr>
                <w:color w:val="000000"/>
              </w:rPr>
              <w:t>Orgalim – Europe's Technology Industries</w:t>
            </w:r>
          </w:p>
        </w:tc>
      </w:tr>
      <w:tr w:rsidR="00EB13A1" w:rsidRPr="002E2283" w14:paraId="79C9F497"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79AF0FE5" w14:textId="77777777" w:rsidR="00457217" w:rsidRPr="002E2283" w:rsidRDefault="002E2283">
            <w:pPr>
              <w:rPr>
                <w:szCs w:val="24"/>
                <w:lang w:val="en-GB"/>
              </w:rPr>
            </w:pPr>
            <w:r w:rsidRPr="002E2283">
              <w:rPr>
                <w:lang w:val="en-GB"/>
              </w:rPr>
              <w:t>Kommerskollegium - National Board of Trade Sweden</w:t>
            </w:r>
          </w:p>
          <w:p w14:paraId="4C01BD5A" w14:textId="77777777" w:rsidR="00457217" w:rsidRPr="002E2283" w:rsidRDefault="00457217">
            <w:pPr>
              <w:spacing w:line="260" w:lineRule="exact"/>
              <w:ind w:left="3300" w:right="3497"/>
              <w:rPr>
                <w:b/>
                <w:bCs/>
                <w:szCs w:val="24"/>
                <w:lang w:val="en-GB"/>
              </w:rPr>
            </w:pPr>
          </w:p>
        </w:tc>
      </w:tr>
      <w:tr w:rsidR="00EB13A1" w:rsidRPr="002E2283" w14:paraId="2F2783AC"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53B94F52" w14:textId="77777777" w:rsidR="00457217" w:rsidRPr="002E2283" w:rsidRDefault="002E2283">
            <w:pPr>
              <w:rPr>
                <w:rFonts w:ascii="Aptos" w:hAnsi="Aptos" w:cs="Aptos"/>
                <w:szCs w:val="24"/>
                <w:lang w:val="en-GB"/>
              </w:rPr>
            </w:pPr>
            <w:r w:rsidRPr="002E2283">
              <w:rPr>
                <w:lang w:val="en-GB"/>
              </w:rPr>
              <w:t>Permanent representation of Sweden to the EU</w:t>
            </w:r>
          </w:p>
          <w:p w14:paraId="0724F068" w14:textId="77777777" w:rsidR="00457217" w:rsidRPr="002E2283" w:rsidRDefault="00457217">
            <w:pPr>
              <w:rPr>
                <w:szCs w:val="24"/>
                <w:lang w:val="en-GB"/>
              </w:rPr>
            </w:pPr>
          </w:p>
        </w:tc>
      </w:tr>
      <w:tr w:rsidR="00EB13A1" w:rsidRPr="002E2283" w14:paraId="6C83B612"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19F338AD" w14:textId="77777777" w:rsidR="00457217" w:rsidRPr="002E2283" w:rsidRDefault="002E2283">
            <w:pPr>
              <w:rPr>
                <w:szCs w:val="24"/>
                <w:lang w:val="en-GB"/>
              </w:rPr>
            </w:pPr>
            <w:r w:rsidRPr="002E2283">
              <w:rPr>
                <w:lang w:val="en-GB"/>
              </w:rPr>
              <w:t>Permanent representation of Finland to the EU</w:t>
            </w:r>
          </w:p>
          <w:p w14:paraId="22D1FA80" w14:textId="77777777" w:rsidR="00457217" w:rsidRPr="002E2283" w:rsidRDefault="00457217">
            <w:pPr>
              <w:rPr>
                <w:szCs w:val="24"/>
                <w:lang w:val="en-GB"/>
              </w:rPr>
            </w:pPr>
          </w:p>
        </w:tc>
      </w:tr>
      <w:tr w:rsidR="00EB13A1" w:rsidRPr="002E2283" w14:paraId="44C794E7"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13ECCBE0" w14:textId="77777777" w:rsidR="00457217" w:rsidRPr="002E2283" w:rsidRDefault="002E2283">
            <w:pPr>
              <w:rPr>
                <w:szCs w:val="24"/>
                <w:lang w:val="en-GB"/>
              </w:rPr>
            </w:pPr>
            <w:r w:rsidRPr="002E2283">
              <w:rPr>
                <w:lang w:val="en-GB"/>
              </w:rPr>
              <w:t>Mission of Switzerland to the EU</w:t>
            </w:r>
          </w:p>
          <w:p w14:paraId="7E56033F" w14:textId="77777777" w:rsidR="00457217" w:rsidRPr="002E2283" w:rsidRDefault="00457217">
            <w:pPr>
              <w:rPr>
                <w:szCs w:val="24"/>
                <w:lang w:val="en-GB"/>
              </w:rPr>
            </w:pPr>
          </w:p>
        </w:tc>
      </w:tr>
    </w:tbl>
    <w:p w14:paraId="37A83610" w14:textId="77777777" w:rsidR="00457217" w:rsidRPr="002E2283" w:rsidRDefault="00457217" w:rsidP="00457217">
      <w:pPr>
        <w:spacing w:before="9" w:line="360" w:lineRule="auto"/>
        <w:rPr>
          <w:rFonts w:ascii="Aptos" w:eastAsiaTheme="minorHAnsi" w:hAnsi="Aptos" w:cs="Aptos"/>
          <w:szCs w:val="24"/>
          <w:lang w:val="en-GB" w:eastAsia="en-US"/>
          <w14:ligatures w14:val="standardContextual"/>
        </w:rPr>
      </w:pPr>
    </w:p>
    <w:p w14:paraId="4B2EDCFA" w14:textId="77777777" w:rsidR="00457217" w:rsidRPr="000B4392" w:rsidRDefault="002E2283" w:rsidP="00457217">
      <w:pPr>
        <w:spacing w:before="9" w:line="360" w:lineRule="auto"/>
        <w:rPr>
          <w:szCs w:val="24"/>
        </w:rPr>
      </w:pPr>
      <w:r>
        <w:t xml:space="preserve">La liste ci-dessus est établie sous la responsabilité exclusive de la </w:t>
      </w:r>
      <w:r>
        <w:t>rapporteure.</w:t>
      </w:r>
    </w:p>
    <w:p w14:paraId="5FE04281" w14:textId="77777777" w:rsidR="00457217" w:rsidRPr="000B4392" w:rsidRDefault="00457217" w:rsidP="00457217">
      <w:pPr>
        <w:spacing w:line="200" w:lineRule="exact"/>
        <w:rPr>
          <w:szCs w:val="24"/>
        </w:rPr>
      </w:pPr>
    </w:p>
    <w:p w14:paraId="396426FB" w14:textId="77777777" w:rsidR="00457217" w:rsidRPr="000B4392" w:rsidRDefault="002E2283" w:rsidP="00457217">
      <w:pPr>
        <w:rPr>
          <w:szCs w:val="24"/>
        </w:rPr>
      </w:pPr>
      <w:r>
        <w:t>Lorsque des personnes physiques sont identifiées dans la liste par leur nom, leur fonction ou les deux, la rapporteure déclare avoir soumis aux personnes physiques concernées l’avis du Parlement européen relatif à la protection des données nº 484 (</w:t>
      </w:r>
      <w:hyperlink r:id="rId10" w:history="1">
        <w:r>
          <w:rPr>
            <w:rStyle w:val="Hyperlink"/>
          </w:rPr>
          <w:t>https://www.europarl.europa.eu/data-protect/index.do</w:t>
        </w:r>
      </w:hyperlink>
      <w:r>
        <w:t>), qui définit les conditions applicables au traitement de leurs données à caractère personnel et les droits liés à ce traitement.</w:t>
      </w:r>
    </w:p>
    <w:p w14:paraId="52383609" w14:textId="77777777" w:rsidR="00DF5FE5" w:rsidRPr="000B4392" w:rsidRDefault="00DF5FE5" w:rsidP="00DF5FE5">
      <w:pPr>
        <w:spacing w:after="120"/>
        <w:jc w:val="center"/>
        <w:rPr>
          <w:b/>
        </w:rPr>
      </w:pPr>
    </w:p>
    <w:p w14:paraId="517DE2B7" w14:textId="77777777" w:rsidR="00DF5FE5" w:rsidRPr="000B4392" w:rsidRDefault="00DF5FE5" w:rsidP="00DF5FE5">
      <w:pPr>
        <w:spacing w:after="120"/>
      </w:pPr>
    </w:p>
    <w:p w14:paraId="656F7273" w14:textId="77777777" w:rsidR="00DF5FE5" w:rsidRPr="000B4392" w:rsidRDefault="002E2283" w:rsidP="00DF5FE5">
      <w:pPr>
        <w:rPr>
          <w:color w:val="000000"/>
        </w:rPr>
      </w:pPr>
      <w:r>
        <w:rPr>
          <w:color w:val="000000"/>
        </w:rPr>
        <w:t xml:space="preserve">  </w:t>
      </w:r>
    </w:p>
    <w:p w14:paraId="7F869C29" w14:textId="77777777" w:rsidR="00DF5FE5" w:rsidRPr="000B4392" w:rsidRDefault="00DF5FE5" w:rsidP="00DF5FE5">
      <w:pPr>
        <w:pStyle w:val="Olang"/>
        <w:rPr>
          <w:sz w:val="24"/>
          <w:szCs w:val="24"/>
        </w:rPr>
      </w:pPr>
    </w:p>
    <w:p w14:paraId="6A21D0CB" w14:textId="77777777" w:rsidR="009C6D58" w:rsidRPr="000B4392" w:rsidRDefault="009C6D58" w:rsidP="00212B84">
      <w:pPr>
        <w:pStyle w:val="AmNumberTabs"/>
        <w:keepNext/>
        <w:rPr>
          <w:rStyle w:val="HideTWBExt"/>
          <w:b w:val="0"/>
          <w:noProof w:val="0"/>
          <w:vanish w:val="0"/>
        </w:rPr>
      </w:pPr>
    </w:p>
    <w:sectPr w:rsidR="009C6D58" w:rsidRPr="000B4392" w:rsidSect="00701D8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BD9A5" w14:textId="77777777" w:rsidR="002E2283" w:rsidRDefault="002E2283">
      <w:r>
        <w:separator/>
      </w:r>
    </w:p>
  </w:endnote>
  <w:endnote w:type="continuationSeparator" w:id="0">
    <w:p w14:paraId="4C3CBAFA" w14:textId="77777777" w:rsidR="002E2283" w:rsidRDefault="002E2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18AC8" w14:textId="77777777" w:rsidR="00701D8A" w:rsidRPr="000B4392" w:rsidRDefault="002E2283" w:rsidP="00701D8A">
    <w:pPr>
      <w:pStyle w:val="EPFooter"/>
    </w:pPr>
    <w:r w:rsidRPr="000B4392">
      <w:t>PE</w:t>
    </w:r>
    <w:r w:rsidRPr="000B4392">
      <w:rPr>
        <w:rStyle w:val="HideTWBExt"/>
      </w:rPr>
      <w:t>&lt;NoPE&gt;</w:t>
    </w:r>
    <w:r w:rsidRPr="000B4392">
      <w:t>779.727</w:t>
    </w:r>
    <w:r w:rsidRPr="000B4392">
      <w:rPr>
        <w:rStyle w:val="HideTWBExt"/>
      </w:rPr>
      <w:t>&lt;/NoPE&gt;&lt;Version&gt;</w:t>
    </w:r>
    <w:r w:rsidRPr="000B4392">
      <w:t>v01-00</w:t>
    </w:r>
    <w:r w:rsidRPr="000B4392">
      <w:rPr>
        <w:rStyle w:val="HideTWBExt"/>
      </w:rPr>
      <w:t>&lt;/Version&gt;</w:t>
    </w:r>
    <w:r w:rsidRPr="000B4392">
      <w:tab/>
    </w:r>
    <w:r w:rsidRPr="000B4392">
      <w:fldChar w:fldCharType="begin"/>
    </w:r>
    <w:r w:rsidRPr="000B4392">
      <w:instrText xml:space="preserve"> PAGE  \* MERGEFORMAT </w:instrText>
    </w:r>
    <w:r w:rsidRPr="000B4392">
      <w:fldChar w:fldCharType="separate"/>
    </w:r>
    <w:r w:rsidRPr="000B4392">
      <w:rPr>
        <w:noProof/>
      </w:rPr>
      <w:t>18</w:t>
    </w:r>
    <w:r w:rsidRPr="000B4392">
      <w:fldChar w:fldCharType="end"/>
    </w:r>
    <w:r w:rsidRPr="000B4392">
      <w:t>/</w:t>
    </w:r>
    <w:r w:rsidRPr="000B4392">
      <w:fldChar w:fldCharType="begin"/>
    </w:r>
    <w:r>
      <w:instrText xml:space="preserve"> NUMPAGES  \* MERGEFORMAT </w:instrText>
    </w:r>
    <w:r w:rsidRPr="000B4392">
      <w:fldChar w:fldCharType="separate"/>
    </w:r>
    <w:r w:rsidRPr="000B4392">
      <w:rPr>
        <w:noProof/>
      </w:rPr>
      <w:t>18</w:t>
    </w:r>
    <w:r w:rsidRPr="000B4392">
      <w:rPr>
        <w:noProof/>
      </w:rPr>
      <w:fldChar w:fldCharType="end"/>
    </w:r>
    <w:r w:rsidRPr="000B4392">
      <w:tab/>
    </w:r>
    <w:r w:rsidRPr="000B4392">
      <w:rPr>
        <w:rStyle w:val="HideTWBExt"/>
      </w:rPr>
      <w:t>&lt;PathFdR&gt;</w:t>
    </w:r>
    <w:r w:rsidRPr="000B4392">
      <w:t>PR\1332449FR.docx</w:t>
    </w:r>
    <w:r w:rsidRPr="000B4392">
      <w:rPr>
        <w:rStyle w:val="HideTWBExt"/>
      </w:rPr>
      <w:t>&lt;/PathFdR&gt;</w:t>
    </w:r>
  </w:p>
  <w:p w14:paraId="55C5F6D1" w14:textId="77777777" w:rsidR="00FB52FE" w:rsidRPr="000B4392" w:rsidRDefault="002E2283" w:rsidP="00701D8A">
    <w:pPr>
      <w:pStyle w:val="EPFooter2"/>
    </w:pPr>
    <w:r w:rsidRPr="000B4392">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B1A34" w14:textId="77777777" w:rsidR="00701D8A" w:rsidRPr="000B4392" w:rsidRDefault="002E2283" w:rsidP="00701D8A">
    <w:pPr>
      <w:pStyle w:val="EPFooter"/>
    </w:pPr>
    <w:r w:rsidRPr="000B4392">
      <w:rPr>
        <w:rStyle w:val="HideTWBExt"/>
      </w:rPr>
      <w:t>&lt;PathFdR&gt;</w:t>
    </w:r>
    <w:r w:rsidRPr="000B4392">
      <w:t>PR\1332449FR.docx</w:t>
    </w:r>
    <w:r w:rsidRPr="000B4392">
      <w:rPr>
        <w:rStyle w:val="HideTWBExt"/>
      </w:rPr>
      <w:t>&lt;/PathFdR&gt;</w:t>
    </w:r>
    <w:r w:rsidRPr="000B4392">
      <w:tab/>
    </w:r>
    <w:r w:rsidRPr="000B4392">
      <w:fldChar w:fldCharType="begin"/>
    </w:r>
    <w:r w:rsidRPr="000B4392">
      <w:instrText xml:space="preserve"> PAGE  \* MERGEFORMAT </w:instrText>
    </w:r>
    <w:r w:rsidRPr="000B4392">
      <w:fldChar w:fldCharType="separate"/>
    </w:r>
    <w:r w:rsidRPr="000B4392">
      <w:rPr>
        <w:noProof/>
      </w:rPr>
      <w:t>17</w:t>
    </w:r>
    <w:r w:rsidRPr="000B4392">
      <w:fldChar w:fldCharType="end"/>
    </w:r>
    <w:r w:rsidRPr="000B4392">
      <w:t>/</w:t>
    </w:r>
    <w:r w:rsidRPr="000B4392">
      <w:fldChar w:fldCharType="begin"/>
    </w:r>
    <w:r>
      <w:instrText xml:space="preserve"> NUMPAGES  \* MERGEFORMAT </w:instrText>
    </w:r>
    <w:r w:rsidRPr="000B4392">
      <w:fldChar w:fldCharType="separate"/>
    </w:r>
    <w:r w:rsidRPr="000B4392">
      <w:rPr>
        <w:noProof/>
      </w:rPr>
      <w:t>18</w:t>
    </w:r>
    <w:r w:rsidRPr="000B4392">
      <w:rPr>
        <w:noProof/>
      </w:rPr>
      <w:fldChar w:fldCharType="end"/>
    </w:r>
    <w:r w:rsidRPr="000B4392">
      <w:tab/>
      <w:t>PE</w:t>
    </w:r>
    <w:r w:rsidRPr="000B4392">
      <w:rPr>
        <w:rStyle w:val="HideTWBExt"/>
      </w:rPr>
      <w:t>&lt;NoPE&gt;</w:t>
    </w:r>
    <w:r w:rsidRPr="000B4392">
      <w:t>779.727</w:t>
    </w:r>
    <w:r w:rsidRPr="000B4392">
      <w:rPr>
        <w:rStyle w:val="HideTWBExt"/>
      </w:rPr>
      <w:t>&lt;/NoPE&gt;&lt;Version&gt;</w:t>
    </w:r>
    <w:r w:rsidRPr="000B4392">
      <w:t>v01-00</w:t>
    </w:r>
    <w:r w:rsidRPr="000B4392">
      <w:rPr>
        <w:rStyle w:val="HideTWBExt"/>
      </w:rPr>
      <w:t>&lt;/Version&gt;</w:t>
    </w:r>
  </w:p>
  <w:p w14:paraId="08F8F05F" w14:textId="77777777" w:rsidR="00FB52FE" w:rsidRPr="000B4392" w:rsidRDefault="002E2283" w:rsidP="00701D8A">
    <w:pPr>
      <w:pStyle w:val="EPFooter2"/>
    </w:pPr>
    <w:r w:rsidRPr="000B4392">
      <w:tab/>
    </w:r>
    <w:r w:rsidRPr="000B4392">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65D71" w14:textId="77777777" w:rsidR="00701D8A" w:rsidRPr="000B4392" w:rsidRDefault="002E2283" w:rsidP="00701D8A">
    <w:pPr>
      <w:pStyle w:val="EPFooter"/>
    </w:pPr>
    <w:r w:rsidRPr="000B4392">
      <w:rPr>
        <w:rStyle w:val="HideTWBExt"/>
      </w:rPr>
      <w:t>&lt;PathFdR&gt;</w:t>
    </w:r>
    <w:r w:rsidRPr="000B4392">
      <w:t>PR\1332449FR.docx</w:t>
    </w:r>
    <w:r w:rsidRPr="000B4392">
      <w:rPr>
        <w:rStyle w:val="HideTWBExt"/>
      </w:rPr>
      <w:t>&lt;/PathFdR&gt;</w:t>
    </w:r>
    <w:r w:rsidRPr="000B4392">
      <w:tab/>
    </w:r>
    <w:r w:rsidRPr="000B4392">
      <w:tab/>
      <w:t>PE</w:t>
    </w:r>
    <w:r w:rsidRPr="000B4392">
      <w:rPr>
        <w:rStyle w:val="HideTWBExt"/>
      </w:rPr>
      <w:t>&lt;NoPE&gt;</w:t>
    </w:r>
    <w:r w:rsidRPr="000B4392">
      <w:t>779.727</w:t>
    </w:r>
    <w:r w:rsidRPr="000B4392">
      <w:rPr>
        <w:rStyle w:val="HideTWBExt"/>
      </w:rPr>
      <w:t>&lt;/NoPE&gt;&lt;Version&gt;</w:t>
    </w:r>
    <w:r w:rsidRPr="000B4392">
      <w:t>v01-00</w:t>
    </w:r>
    <w:r w:rsidRPr="000B4392">
      <w:rPr>
        <w:rStyle w:val="HideTWBExt"/>
      </w:rPr>
      <w:t>&lt;/Version&gt;</w:t>
    </w:r>
  </w:p>
  <w:p w14:paraId="3A3B8407" w14:textId="77777777" w:rsidR="00FB52FE" w:rsidRPr="000B4392" w:rsidRDefault="002E2283" w:rsidP="00701D8A">
    <w:pPr>
      <w:pStyle w:val="EPFooter2"/>
    </w:pPr>
    <w:r w:rsidRPr="000B4392">
      <w:t>FR</w:t>
    </w:r>
    <w:r w:rsidRPr="000B4392">
      <w:tab/>
    </w:r>
    <w:r w:rsidRPr="000B4392">
      <w:rPr>
        <w:b w:val="0"/>
        <w:i/>
        <w:color w:val="C0C0C0"/>
        <w:sz w:val="22"/>
      </w:rPr>
      <w:t>Unie dans la diversité</w:t>
    </w:r>
    <w:r w:rsidRPr="000B4392">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EB0E4" w14:textId="77777777" w:rsidR="002E2283" w:rsidRDefault="002E2283">
      <w:r>
        <w:separator/>
      </w:r>
    </w:p>
  </w:footnote>
  <w:footnote w:type="continuationSeparator" w:id="0">
    <w:p w14:paraId="5A9317EB" w14:textId="77777777" w:rsidR="002E2283" w:rsidRDefault="002E22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D9A56" w14:textId="77777777" w:rsidR="00874715" w:rsidRDefault="008747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AAA90" w14:textId="77777777" w:rsidR="00874715" w:rsidRDefault="008747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0ACAD" w14:textId="77777777" w:rsidR="00874715" w:rsidRDefault="008747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12249105">
    <w:abstractNumId w:val="9"/>
  </w:num>
  <w:num w:numId="2" w16cid:durableId="482090733">
    <w:abstractNumId w:val="9"/>
  </w:num>
  <w:num w:numId="3" w16cid:durableId="1784616396">
    <w:abstractNumId w:val="7"/>
  </w:num>
  <w:num w:numId="4" w16cid:durableId="1071658609">
    <w:abstractNumId w:val="7"/>
  </w:num>
  <w:num w:numId="5" w16cid:durableId="634870255">
    <w:abstractNumId w:val="6"/>
  </w:num>
  <w:num w:numId="6" w16cid:durableId="937296233">
    <w:abstractNumId w:val="6"/>
  </w:num>
  <w:num w:numId="7" w16cid:durableId="354891801">
    <w:abstractNumId w:val="5"/>
  </w:num>
  <w:num w:numId="8" w16cid:durableId="712661011">
    <w:abstractNumId w:val="5"/>
  </w:num>
  <w:num w:numId="9" w16cid:durableId="1798447332">
    <w:abstractNumId w:val="4"/>
  </w:num>
  <w:num w:numId="10" w16cid:durableId="1359546041">
    <w:abstractNumId w:val="4"/>
  </w:num>
  <w:num w:numId="11" w16cid:durableId="286739100">
    <w:abstractNumId w:val="8"/>
  </w:num>
  <w:num w:numId="12" w16cid:durableId="433087332">
    <w:abstractNumId w:val="8"/>
  </w:num>
  <w:num w:numId="13" w16cid:durableId="1318221053">
    <w:abstractNumId w:val="3"/>
  </w:num>
  <w:num w:numId="14" w16cid:durableId="1989824097">
    <w:abstractNumId w:val="3"/>
  </w:num>
  <w:num w:numId="15" w16cid:durableId="410201177">
    <w:abstractNumId w:val="2"/>
  </w:num>
  <w:num w:numId="16" w16cid:durableId="165903694">
    <w:abstractNumId w:val="2"/>
  </w:num>
  <w:num w:numId="17" w16cid:durableId="558131492">
    <w:abstractNumId w:val="1"/>
  </w:num>
  <w:num w:numId="18" w16cid:durableId="1455444230">
    <w:abstractNumId w:val="1"/>
  </w:num>
  <w:num w:numId="19" w16cid:durableId="1298532633">
    <w:abstractNumId w:val="0"/>
  </w:num>
  <w:num w:numId="20" w16cid:durableId="520707089">
    <w:abstractNumId w:val="0"/>
  </w:num>
  <w:num w:numId="21" w16cid:durableId="479200254">
    <w:abstractNumId w:val="9"/>
  </w:num>
  <w:num w:numId="22" w16cid:durableId="1890142823">
    <w:abstractNumId w:val="7"/>
  </w:num>
  <w:num w:numId="23" w16cid:durableId="369846418">
    <w:abstractNumId w:val="6"/>
  </w:num>
  <w:num w:numId="24" w16cid:durableId="54746035">
    <w:abstractNumId w:val="5"/>
  </w:num>
  <w:num w:numId="25" w16cid:durableId="802769048">
    <w:abstractNumId w:val="4"/>
  </w:num>
  <w:num w:numId="26" w16cid:durableId="259485001">
    <w:abstractNumId w:val="8"/>
  </w:num>
  <w:num w:numId="27" w16cid:durableId="2120366802">
    <w:abstractNumId w:val="3"/>
  </w:num>
  <w:num w:numId="28" w16cid:durableId="857807">
    <w:abstractNumId w:val="2"/>
  </w:num>
  <w:num w:numId="29" w16cid:durableId="241305869">
    <w:abstractNumId w:val="1"/>
  </w:num>
  <w:num w:numId="30" w16cid:durableId="1069575964">
    <w:abstractNumId w:val="0"/>
  </w:num>
  <w:num w:numId="31" w16cid:durableId="486945398">
    <w:abstractNumId w:val="9"/>
  </w:num>
  <w:num w:numId="32" w16cid:durableId="1355037332">
    <w:abstractNumId w:val="7"/>
  </w:num>
  <w:num w:numId="33" w16cid:durableId="1854490311">
    <w:abstractNumId w:val="6"/>
  </w:num>
  <w:num w:numId="34" w16cid:durableId="763109996">
    <w:abstractNumId w:val="5"/>
  </w:num>
  <w:num w:numId="35" w16cid:durableId="2029478797">
    <w:abstractNumId w:val="4"/>
  </w:num>
  <w:num w:numId="36" w16cid:durableId="975767648">
    <w:abstractNumId w:val="8"/>
  </w:num>
  <w:num w:numId="37" w16cid:durableId="1539900070">
    <w:abstractNumId w:val="3"/>
  </w:num>
  <w:num w:numId="38" w16cid:durableId="171072705">
    <w:abstractNumId w:val="2"/>
  </w:num>
  <w:num w:numId="39" w16cid:durableId="1961260997">
    <w:abstractNumId w:val="1"/>
  </w:num>
  <w:num w:numId="40" w16cid:durableId="130006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CJMNU" w:val="1"/>
    <w:docVar w:name="COMKEY" w:val="INTA"/>
    <w:docVar w:name="CopyToNetwork" w:val="-1"/>
    <w:docVar w:name="CVar" w:val="20"/>
    <w:docVar w:name="DOCDT" w:val="19/11/2025"/>
    <w:docVar w:name="DOCMNU" w:val=" 1"/>
    <w:docVar w:name="EPOJMNU" w:val=" 3"/>
    <w:docVar w:name="EPSTATMNU" w:val=" 1"/>
    <w:docVar w:name="EPSTATPLURMNU" w:val=" 1"/>
    <w:docVar w:name="EVABUDGMNU" w:val=" 2"/>
    <w:docVar w:name="iNoAmend" w:val="20"/>
    <w:docVar w:name="INSTITUTIONSMNU" w:val=" 1"/>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95097 HideTWBExt;}{\*\cs18 \additive \v\f1\fs20\cf15 _x000d__x000a_\spriority0 \styrsid11295097 HideTWBInt;}{\s19\ql \li0\ri0\sa120\nowidctlpar\wrapdefault\aspalpha\aspnum\faauto\adjustright\rin0\lin0\itap0 \rtlch\fcs1 \af0\afs20\alang1025 \ltrch\fcs0 \fs24\lang2057\langfe2057\cgrid\langnp2057\langfenp2057 _x000d__x000a_\sbasedon0 \snext19 \spriority0 \styrsid11295097 Normal6a;}{\s20\ql \li0\ri0\nowidctlpar\wrapdefault\aspalpha\aspnum\faauto\adjustright\rin0\lin0\itap0 \rtlch\fcs1 \af0\afs20\alang1025 \ltrch\fcs0 \b\fs24\lang2057\langfe2057\cgrid\langnp2057\langfenp2057 _x000d__x000a_\sbasedon0 \snext20 \spriority0 \styrsid11295097 NormalBold;}{\s21\ql \li0\ri0\sa240\nowidctlpar\wrapdefault\aspalpha\aspnum\faauto\adjustright\rin0\lin0\itap0 \rtlch\fcs1 \af0\afs20\alang1025 \ltrch\fcs0 _x000d__x000a_\i\fs24\lang2057\langfe2057\cgrid\langnp2057\langfenp2057 \sbasedon0 \snext21 \spriority0 \styrsid11295097 AmJustText;}{\s22\qc \li0\ri0\sb240\sa240\nowidctlpar\wrapdefault\aspalpha\aspnum\faauto\adjustright\rin0\lin0\itap0 \rtlch\fcs1 _x000d__x000a_\af0\afs20\alang1025 \ltrch\fcs0 \i\fs24\lang2057\langfe2057\cgrid\langnp2057\langfenp2057 \sbasedon0 \snext22 \spriority0 \styrsid11295097 AmCrossRef;}{_x000d__x000a_\s23\qc \li0\ri0\sb240\sa240\keepn\nowidctlpar\wrapdefault\aspalpha\aspnum\faauto\adjustright\rin0\lin0\itap0 \rtlch\fcs1 \af0\afs20\alang1025 \ltrch\fcs0 \i\fs24\lang2057\langfe2057\cgrid\langnp2057\langfenp2057 _x000d__x000a_\sbasedon0 \snext21 \spriority0 \styrsid11295097 AmJustTitle;}{\s24\qr \li0\ri0\sb240\sa240\nowidctlpar\wrapdefault\aspalpha\aspnum\faauto\adjustright\rin0\lin0\itap0 \rtlch\fcs1 \af0\afs20\alang1025 \ltrch\fcs0 _x000d__x000a_\fs24\lang2057\langfe2057\cgrid\langnp2057\langfenp2057 \sbasedon0 \snext24 \spriority0 \styrsid11295097 AmOrLang;}{\s25\qc \li0\ri0\sa240\nowidctlpar\wrapdefault\aspalpha\aspnum\faauto\adjustright\rin0\lin0\itap0 \rtlch\fcs1 \af0\afs20\alang1025 _x000d__x000a_\ltrch\fcs0 \i\fs24\lang2057\langfe2057\cgrid\langnp2057\langfenp2057 \sbasedon0 \snext25 \spriority0 \styrsid112950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295097 AmNumberTabs;}{\s27\ql \li0\ri0\sb240\nowidctlpar\wrapdefault\aspalpha\aspnum\faauto\adjustright\rin0\lin0\itap0 \rtlch\fcs1 _x000d__x000a_\af0\afs20\alang1025 \ltrch\fcs0 \b\fs24\lang2057\langfe2057\cgrid\langnp2057\langfenp2057 \sbasedon0 \snext27 \spriority0 \styrsid11295097 NormalBold12b;}}{\*\rsidtbl \rsid24658\rsid223860\rsid735077\rsid1718133\rsid2892074\rsid2964757\rsid3565327_x000d__x000a_\rsid4666813\rsid6641733\rsid7823322\rsid9636012\rsid10377208\rsid11215221\rsid11295097\rsid11549030\rsid11880089\rsid12154954\rsid14382809\rsid14424199\rsid15204470\rsid15285974\rsid15950462\rsid16324206\rsid16662270}{\mmathPr\mmathFont34\mbrkBin0_x000d__x000a_\mbrkBinSub0\msmallFrac0\mdispDef1\mlMargin0\mrMargin0\mdefJc1\mwrapIndent1440\mintLim0\mnaryLim1}{\info{\author WINGELINCKX Aurelie}{\operator WINGELINCKX Aurelie}{\creatim\yr2025\mo11\dy19\hr15\min52}{\revtim\yr2025\mo11\dy19\hr15\min52}{\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95097\newtblstyruls\nogrowautofit\usenormstyforlist\noindnmbrts\felnbrelev\nocxsptable\indrlsweleven\noafcnsttbl\afelev\utinl\hwelev\spltpgpar\notcvasp\notbrkcnstfrctbl\notvatxbx\krnprsnet\cachedcolbal _x000d__x000a_\nouicompat \fet0{\*\wgrffmtfilter 013f}\nofeaturethrottle1\ilfomacatclnup0{\*\template C:\\Users\\AWINGE~1\\AppData\\Local\\Temp\\Blank1.dotx}{\*\ftnsep \ltrpar \pard\plain \ltrpar_x000d__x000a_\ql \li0\ri0\widctlpar\wrapdefault\aspalpha\aspnum\faauto\adjustright\rin0\lin0\itap0 \rtlch\fcs1 \af0\afs20\alang1025 \ltrch\fcs0 \fs24\lang2057\langfe2057\cgrid\langnp2057\langfenp2057 {\rtlch\fcs1 \af0 \ltrch\fcs0 \insrsid2964757 \chftnsep _x000d__x000a_\par }}{\*\ftnsepc \ltrpar \pard\plain \ltrpar\ql \li0\ri0\widctlpar\wrapdefault\aspalpha\aspnum\faauto\adjustright\rin0\lin0\itap0 \rtlch\fcs1 \af0\afs20\alang1025 \ltrch\fcs0 \fs24\lang2057\langfe2057\cgrid\langnp2057\langfenp2057 {\rtlch\fcs1 \af0 _x000d__x000a_\ltrch\fcs0 \insrsid2964757 \chftnsepc _x000d__x000a_\par }}{\*\aftnsep \ltrpar \pard\plain \ltrpar\ql \li0\ri0\widctlpar\wrapdefault\aspalpha\aspnum\faauto\adjustright\rin0\lin0\itap0 \rtlch\fcs1 \af0\afs20\alang1025 \ltrch\fcs0 \fs24\lang2057\langfe2057\cgrid\langnp2057\langfenp2057 {\rtlch\fcs1 \af0 _x000d__x000a_\ltrch\fcs0 \insrsid2964757 \chftnsep _x000d__x000a_\par }}{\*\aftnsepc \ltrpar \pard\plain \ltrpar\ql \li0\ri0\widctlpar\wrapdefault\aspalpha\aspnum\faauto\adjustright\rin0\lin0\itap0 \rtlch\fcs1 \af0\afs20\alang1025 \ltrch\fcs0 \fs24\lang2057\langfe2057\cgrid\langnp2057\langfenp2057 {\rtlch\fcs1 \af0 _x000d__x000a_\ltrch\fcs0 \insrsid29647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1295097\charrsid11338453 {\*\bkmkstart restart}_x000d__x000a_\hich\af1\dbch\af31501\loch\f1 &lt;Amend&gt;}{\rtlch\fcs1 \af0 \ltrch\fcs0 \insrsid11295097\charrsid11338453 Amendment\tab \tab }{\rtlch\fcs1 \af0 \ltrch\fcs0 _x000d__x000a_\cs17\b0\v\fs20\cf9\lang1024\langfe1024\loch\af1\hich\af1\dbch\af31501\noproof\insrsid11295097\charrsid11338453 \hich\af1\dbch\af31501\loch\f1 &lt;NumAm&gt;}{\rtlch\fcs1 \af0 \ltrch\fcs0 \insrsid11295097\charrsid11338453 #}{\rtlch\fcs1 \af1 \ltrch\fcs0 _x000d__x000a_\cs18\v\f1\fs20\cf15\insrsid11295097\charrsid11338453 ENMIENDA@NRAM@}{\rtlch\fcs1 \af0 \ltrch\fcs0 \insrsid11295097\charrsid11338453 #}{\rtlch\fcs1 \af0 \ltrch\fcs0 _x000d__x000a_\cs17\b0\v\fs20\cf9\lang1024\langfe1024\loch\af1\hich\af1\dbch\af31501\noproof\insrsid11295097\charrsid11338453 \hich\af1\dbch\af31501\loch\f1 &lt;/NumAm&gt;}{\rtlch\fcs1 \af0 \ltrch\fcs0 \insrsid11295097\charrsid1133845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1295097\charrsid11338453 \hich\af1\dbch\af31501\loch\f1 &lt;DocAmend&gt;}{\rtlch\fcs1 \af0 \ltrch\fcs0 \insrsid11295097\charrsid11338453 _x000d__x000a_Proposal for a #}{\rtlch\fcs1 \af1 \ltrch\fcs0 \cs18\v\f1\fs20\cf15\insrsid11295097\charrsid11338453 MNU[DOC1][DOC2][DOC3]@DOCMSG@DOCMNU}{\rtlch\fcs1 \af0 \ltrch\fcs0 \insrsid11295097\charrsid11338453 ##}{\rtlch\fcs1 \af1 \ltrch\fcs0 _x000d__x000a_\cs18\v\f1\fs20\cf15\insrsid11295097\charrsid11338453 MNU[AMACTYES][NOTAPP]@CHOICE@AMACTMNU}{\rtlch\fcs1 \af0 \ltrch\fcs0 \insrsid11295097\charrsid11338453 #}{\rtlch\fcs1 \af0 \ltrch\fcs0 _x000d__x000a_\cs17\b0\v\fs20\cf9\lang1024\langfe1024\loch\af1\hich\af1\dbch\af31501\noproof\insrsid11295097\charrsid11338453 \hich\af1\dbch\af31501\loch\f1 &lt;/DocAmend&gt;}{\rtlch\fcs1 \af0 \ltrch\fcs0 \insrsid11295097\charrsid1133845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1295097\charrsid11338453 \hich\af1\dbch\af31501\loch\f1 &lt;Article&gt;}{\rtlch\fcs1 \af0 \ltrch\fcs0 \insrsid11295097\charrsid11338453 #}{\rtlch\fcs1 \af1 _x000d__x000a_\ltrch\fcs0 \cs18\v\f1\fs20\cf15\insrsid11295097\charrsid11338453 MNU[AMACTPARTYES][AMACTPARTNO]@CHOICE@AMACTMNU}{\rtlch\fcs1 \af0 \ltrch\fcs0 \insrsid11295097\charrsid11338453 #}{\rtlch\fcs1 \af0 \ltrch\fcs0 _x000d__x000a_\cs17\b0\v\fs20\cf9\lang1024\langfe1024\loch\af1\hich\af1\dbch\af31501\noproof\insrsid11295097\charrsid11338453 \hich\af1\dbch\af31501\loch\f1 &lt;/Article&gt;}{\rtlch\fcs1 \af0 \ltrch\fcs0 \insrsid11295097\charrsid1133845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1295097\charrsid11338453 \hich\af1\dbch\af31501\loch\f1 &lt;DocAmend2&gt;&lt;OptDel&gt;}{\rtlch\fcs1 \af0 \ltrch\fcs0 \insrsid11295097\charrsid11338453 #}{\rtlch\fcs1 _x000d__x000a_\af1 \ltrch\fcs0 \cs18\v\f1\fs20\cf15\insrsid11295097\charrsid11338453 MNU[OPTNRACTYES][NOTAPP]@CHOICE@AMACTMNU}{\rtlch\fcs1 \af0 \ltrch\fcs0 \insrsid11295097\charrsid11338453 #}{\rtlch\fcs1 \af0 \ltrch\fcs0 _x000d__x000a_\cs17\v\fs20\cf9\lang1024\langfe1024\loch\af1\hich\af1\dbch\af31501\noproof\insrsid11295097\charrsid11338453 \hich\af1\dbch\af31501\loch\f1 &lt;/OptDel&gt;&lt;/DocAmend2&gt;}{\rtlch\fcs1 \af0 \ltrch\fcs0 \insrsid11295097\charrsid11338453 _x000d__x000a_\par }\pard \ltrpar\ql \li0\ri0\widctlpar\wrapdefault\aspalpha\aspnum\faauto\adjustright\rin0\lin0\itap0\pararsid2517430 {\rtlch\fcs1 \af0 \ltrch\fcs0 \cs17\v\fs20\cf9\lang1024\langfe1024\loch\af1\hich\af1\dbch\af31501\noproof\insrsid11295097\charrsid11338453 _x000d__x000a_\hich\af1\dbch\af31501\loch\f1 &lt;Article2&gt;&lt;OptDel&gt;}{\rtlch\fcs1 \af0 \ltrch\fcs0 \insrsid11295097\charrsid11338453 #}{\rtlch\fcs1 \af1 \ltrch\fcs0 \cs18\v\f1\fs20\cf15\insrsid11295097\charrsid11338453 MNU[OPTACTPARTYES][NOTAPP]@CHOICE@AMACTMNU}{_x000d__x000a_\rtlch\fcs1 \af0 \ltrch\fcs0 \insrsid11295097\charrsid11338453 #}{\rtlch\fcs1 \af0 \ltrch\fcs0 \cs17\v\fs20\cf9\lang1024\langfe1024\loch\af1\hich\af1\dbch\af31501\noproof\insrsid11295097\charrsid11338453 \hich\af1\dbch\af31501\loch\f1 &lt;/OptDel&gt;&lt;/Article2&gt;_x000d__x000a_}{\rtlch\fcs1 \af0 \ltrch\fcs0 \insrsid11295097\charrsid1133845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1295097\charrsid11338453 #}{\rtlch\fcs1 \af1 \ltrch\fcs0 \cs18\v\f1\fs20\cf15\insrsid11295097\charrsid11338453 MNU[OPTLEFTAMACT][LEFTPROP]@CHOICE@AMACTMNU}{_x000d__x000a_\rtlch\fcs1 \af0 \ltrch\fcs0 \insrsid11295097\charrsid11338453 #\cell Amendment\cell }\pard\plain \ltrpar\ql \li0\ri0\widctlpar\intbl\wrapdefault\aspalpha\aspnum\faauto\adjustright\rin0\lin0 \rtlch\fcs1 \af0\afs20\alang1025 \ltrch\fcs0 _x000d__x000a_\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1295097\charrsid11338453 ##\cell ##}{\rtlch\fcs1 \af0\afs24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1295097\charrsid11338453 Or. }{\rtlch\fcs1 \af0 \ltrch\fcs0 \cs17\v\fs20\cf9\lang1024\langfe1024\loch\af1\hich\af1\dbch\af31501\noproof\insrsid11295097\charrsid11338453 \hich\af1\dbch\af31501\loch\f1 &lt;Original&gt;}{\rtlch\fcs1 \af0 \ltrch\fcs0 _x000d__x000a_\insrsid11295097\charrsid11338453 #}{\rtlch\fcs1 \af1 \ltrch\fcs0 \cs18\v\f1\fs20\cf15\insrsid11295097\charrsid11338453 MNU[ORLANGONE][ORLANGMORE]@CHOICE@ORLANGMNU}{\rtlch\fcs1 \af0 \ltrch\fcs0 \insrsid11295097\charrsid11338453 #}{\rtlch\fcs1 \af0 _x000d__x000a_\ltrch\fcs0 \cs17\v\fs20\cf9\lang1024\langfe1024\loch\af1\hich\af1\dbch\af31501\noproof\insrsid11295097\charrsid11338453 \hich\af1\dbch\af31501\loch\f1 &lt;/Original&gt;}{\rtlch\fcs1 \af0 \ltrch\fcs0 \insrsid11295097\charrsid1133845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OptDel&gt;}{\rtlch\fcs1 \af0 \ltrch\fcs0 \insrsid11295097\charrsid11338453 #}{_x000d__x000a_\rtlch\fcs1 \af1 \ltrch\fcs0 \cs18\v\f1\fs20\cf15\insrsid11295097\charrsid11338453 MNU[CROSSREFNO][CROSSREFYES]@CHOICE@}{\rtlch\fcs1 \af0 \ltrch\fcs0 \insrsid11295097\charrsid11338453 #}{\rtlch\fcs1 \af0 \ltrch\fcs0 _x000d__x000a_\cs17\i0\v\fs20\cf9\lang1024\langfe1024\loch\af1\hich\af1\dbch\af31501\noproof\insrsid11295097\charrsid11338453 \hich\af1\dbch\af31501\loch\f1 &lt;/OptDel&gt;}{\rtlch\fcs1 \af0 \ltrch\fcs0 \insrsid11295097\charrsid1133845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TitreJust&gt;}{\rtlch\fcs1 \af0 \ltrch\fcs0 \insrsid11295097\charrsid11338453 _x000d__x000a_Justification}{\rtlch\fcs1 \af0 \ltrch\fcs0 \cs17\i0\v\fs20\cf9\lang1024\langfe1024\loch\af1\hich\af1\dbch\af31501\noproof\insrsid11295097\charrsid11338453 \hich\af1\dbch\af31501\loch\f1 &lt;/TitreJust&gt;}{\rtlch\fcs1 \af0 \ltrch\fcs0 _x000d__x000a_\insrsid11295097\charrsid1133845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1295097\charrsid11338453 \hich\af1\dbch\af31501\loch\f1 &lt;OptDelPrev&gt;}{\rtlch\fcs1 \af0 \ltrch\fcs0 \insrsid11295097\charrsid11338453 #}{\rtlch\fcs1 \af1 _x000d__x000a_\ltrch\fcs0 \cs18\v\f1\fs20\cf15\insrsid11295097\charrsid11338453 MNU[TEXTJUSTYES][TEXTJUSTNO]@CHOICE@}{\rtlch\fcs1 \af0 \ltrch\fcs0 \insrsid11295097\charrsid11338453 #}{\rtlch\fcs1 \af0 \ltrch\fcs0 _x000d__x000a_\cs17\i0\v\fs20\cf9\lang1024\langfe1024\loch\af1\hich\af1\dbch\af31501\noproof\insrsid11295097\charrsid11338453 \hich\af1\dbch\af31501\loch\f1 &lt;/OptDelPrev&gt;}{\rtlch\fcs1 \af0 \ltrch\fcs0 \insrsid11295097\charrsid113384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295097\charrsid1133845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8_x000d__x000a_1d2f645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VTACTPART" w:val="X"/>
    <w:docVar w:name="TVTAMACTPART" w:val="X"/>
    <w:docVar w:name="TXTLANGUE" w:val="FR"/>
    <w:docVar w:name="TXTLANGUEMIN" w:val="fr"/>
    <w:docVar w:name="TXTNRC" w:val="0245/2025"/>
    <w:docVar w:name="TXTNRCOD" w:val="2025/0726"/>
    <w:docVar w:name="TXTNRCOM" w:val="(2025)0726"/>
    <w:docVar w:name="TXTNRFIRSTAM" w:val="1"/>
    <w:docVar w:name="TXTNRLASTAM" w:val="20"/>
    <w:docVar w:name="TXTNRPE" w:val="779.727"/>
    <w:docVar w:name="TXTNRREG" w:val="X"/>
    <w:docVar w:name="TXTPEorAP" w:val="PE"/>
    <w:docVar w:name="TXTROUTE" w:val="PR\1332449FR.docx"/>
    <w:docVar w:name="TXTTITLE" w:val="addressing the negative trade-related effects of global overcapacity on the Union steel market"/>
    <w:docVar w:name="TXTVERSION" w:val="01-00"/>
  </w:docVars>
  <w:rsids>
    <w:rsidRoot w:val="00AD02D5"/>
    <w:rsid w:val="00011AAB"/>
    <w:rsid w:val="00012351"/>
    <w:rsid w:val="000139E5"/>
    <w:rsid w:val="000602E6"/>
    <w:rsid w:val="00084DD2"/>
    <w:rsid w:val="00084E89"/>
    <w:rsid w:val="0008504A"/>
    <w:rsid w:val="000B4392"/>
    <w:rsid w:val="000B62B6"/>
    <w:rsid w:val="000B7489"/>
    <w:rsid w:val="000E460D"/>
    <w:rsid w:val="000F1096"/>
    <w:rsid w:val="000F41C8"/>
    <w:rsid w:val="00114A73"/>
    <w:rsid w:val="00114BA4"/>
    <w:rsid w:val="00120948"/>
    <w:rsid w:val="0012376A"/>
    <w:rsid w:val="00123DD5"/>
    <w:rsid w:val="001277AE"/>
    <w:rsid w:val="00142215"/>
    <w:rsid w:val="001449B2"/>
    <w:rsid w:val="001767E2"/>
    <w:rsid w:val="00187008"/>
    <w:rsid w:val="001B3829"/>
    <w:rsid w:val="001C31B5"/>
    <w:rsid w:val="001C5592"/>
    <w:rsid w:val="001C5B44"/>
    <w:rsid w:val="001C6FFC"/>
    <w:rsid w:val="001F7C7C"/>
    <w:rsid w:val="00212B84"/>
    <w:rsid w:val="002346B0"/>
    <w:rsid w:val="002667C3"/>
    <w:rsid w:val="002669B6"/>
    <w:rsid w:val="00281494"/>
    <w:rsid w:val="00290BED"/>
    <w:rsid w:val="0029247B"/>
    <w:rsid w:val="002D13EE"/>
    <w:rsid w:val="002E2283"/>
    <w:rsid w:val="002E33EE"/>
    <w:rsid w:val="002F40BB"/>
    <w:rsid w:val="002F4B02"/>
    <w:rsid w:val="00305CD9"/>
    <w:rsid w:val="00323EF8"/>
    <w:rsid w:val="003316DD"/>
    <w:rsid w:val="00366A46"/>
    <w:rsid w:val="00370AC3"/>
    <w:rsid w:val="003824EE"/>
    <w:rsid w:val="00392DEB"/>
    <w:rsid w:val="00395C28"/>
    <w:rsid w:val="003A6B9D"/>
    <w:rsid w:val="003B4689"/>
    <w:rsid w:val="003C2068"/>
    <w:rsid w:val="003C37CF"/>
    <w:rsid w:val="004100B1"/>
    <w:rsid w:val="00426E47"/>
    <w:rsid w:val="00455743"/>
    <w:rsid w:val="00457217"/>
    <w:rsid w:val="00461601"/>
    <w:rsid w:val="0046423D"/>
    <w:rsid w:val="00491D61"/>
    <w:rsid w:val="004C0915"/>
    <w:rsid w:val="004D424E"/>
    <w:rsid w:val="004E42C8"/>
    <w:rsid w:val="004E733D"/>
    <w:rsid w:val="004F3FA5"/>
    <w:rsid w:val="0051271F"/>
    <w:rsid w:val="00512875"/>
    <w:rsid w:val="00521F46"/>
    <w:rsid w:val="00522F4C"/>
    <w:rsid w:val="005233AC"/>
    <w:rsid w:val="00551111"/>
    <w:rsid w:val="00551123"/>
    <w:rsid w:val="00556052"/>
    <w:rsid w:val="00570A6A"/>
    <w:rsid w:val="00586E50"/>
    <w:rsid w:val="005874C8"/>
    <w:rsid w:val="0059583D"/>
    <w:rsid w:val="005A42D9"/>
    <w:rsid w:val="005C2BEF"/>
    <w:rsid w:val="005D1A99"/>
    <w:rsid w:val="005D7609"/>
    <w:rsid w:val="005D7EE8"/>
    <w:rsid w:val="005F3DDA"/>
    <w:rsid w:val="00642325"/>
    <w:rsid w:val="006644D3"/>
    <w:rsid w:val="0069092A"/>
    <w:rsid w:val="006A2F5D"/>
    <w:rsid w:val="006C3E5B"/>
    <w:rsid w:val="006D6CEA"/>
    <w:rsid w:val="006E3477"/>
    <w:rsid w:val="006F7907"/>
    <w:rsid w:val="00701D8A"/>
    <w:rsid w:val="00704B45"/>
    <w:rsid w:val="007153C7"/>
    <w:rsid w:val="00717AC1"/>
    <w:rsid w:val="00743189"/>
    <w:rsid w:val="00743D33"/>
    <w:rsid w:val="00766143"/>
    <w:rsid w:val="00775BAF"/>
    <w:rsid w:val="0078303A"/>
    <w:rsid w:val="0078542A"/>
    <w:rsid w:val="007868BE"/>
    <w:rsid w:val="0078703C"/>
    <w:rsid w:val="00790098"/>
    <w:rsid w:val="007932B3"/>
    <w:rsid w:val="00793EA9"/>
    <w:rsid w:val="007D6F68"/>
    <w:rsid w:val="00823E6B"/>
    <w:rsid w:val="00825DB5"/>
    <w:rsid w:val="00826780"/>
    <w:rsid w:val="00837CCD"/>
    <w:rsid w:val="00852F28"/>
    <w:rsid w:val="00860FE1"/>
    <w:rsid w:val="008633CC"/>
    <w:rsid w:val="00865190"/>
    <w:rsid w:val="008719B9"/>
    <w:rsid w:val="00874715"/>
    <w:rsid w:val="00894923"/>
    <w:rsid w:val="00894ECE"/>
    <w:rsid w:val="00896BB4"/>
    <w:rsid w:val="008A7FB8"/>
    <w:rsid w:val="008D1F6E"/>
    <w:rsid w:val="008D7C88"/>
    <w:rsid w:val="008F3E90"/>
    <w:rsid w:val="009022B8"/>
    <w:rsid w:val="009073A8"/>
    <w:rsid w:val="00914537"/>
    <w:rsid w:val="00917CC4"/>
    <w:rsid w:val="00926BC2"/>
    <w:rsid w:val="009763DA"/>
    <w:rsid w:val="00980FA3"/>
    <w:rsid w:val="009975B3"/>
    <w:rsid w:val="009A216D"/>
    <w:rsid w:val="009A2BF2"/>
    <w:rsid w:val="009B4B93"/>
    <w:rsid w:val="009C6D58"/>
    <w:rsid w:val="009D6D7A"/>
    <w:rsid w:val="009F24BE"/>
    <w:rsid w:val="009F6C2F"/>
    <w:rsid w:val="009F767A"/>
    <w:rsid w:val="00A22533"/>
    <w:rsid w:val="00A26F46"/>
    <w:rsid w:val="00A33C6B"/>
    <w:rsid w:val="00A34FD3"/>
    <w:rsid w:val="00A36929"/>
    <w:rsid w:val="00A4311F"/>
    <w:rsid w:val="00A50548"/>
    <w:rsid w:val="00A60EE7"/>
    <w:rsid w:val="00A910C9"/>
    <w:rsid w:val="00AA35B0"/>
    <w:rsid w:val="00AD02D5"/>
    <w:rsid w:val="00AD18C8"/>
    <w:rsid w:val="00AD7FA6"/>
    <w:rsid w:val="00AE4643"/>
    <w:rsid w:val="00AF0416"/>
    <w:rsid w:val="00AF3851"/>
    <w:rsid w:val="00B00C12"/>
    <w:rsid w:val="00B10CB4"/>
    <w:rsid w:val="00B13D6F"/>
    <w:rsid w:val="00B23B72"/>
    <w:rsid w:val="00B42702"/>
    <w:rsid w:val="00B54699"/>
    <w:rsid w:val="00B54EAF"/>
    <w:rsid w:val="00B57B8B"/>
    <w:rsid w:val="00B7127A"/>
    <w:rsid w:val="00B71A3C"/>
    <w:rsid w:val="00B85407"/>
    <w:rsid w:val="00B91827"/>
    <w:rsid w:val="00B95702"/>
    <w:rsid w:val="00BA06C3"/>
    <w:rsid w:val="00BC6489"/>
    <w:rsid w:val="00BD480C"/>
    <w:rsid w:val="00C16F5A"/>
    <w:rsid w:val="00C20954"/>
    <w:rsid w:val="00C23324"/>
    <w:rsid w:val="00C42A41"/>
    <w:rsid w:val="00C47E74"/>
    <w:rsid w:val="00C57A72"/>
    <w:rsid w:val="00C72246"/>
    <w:rsid w:val="00C73602"/>
    <w:rsid w:val="00C85D0F"/>
    <w:rsid w:val="00CA19C7"/>
    <w:rsid w:val="00CB0C91"/>
    <w:rsid w:val="00CC08BE"/>
    <w:rsid w:val="00CC35DB"/>
    <w:rsid w:val="00CF60C8"/>
    <w:rsid w:val="00D141E7"/>
    <w:rsid w:val="00D30DE2"/>
    <w:rsid w:val="00D32924"/>
    <w:rsid w:val="00D36718"/>
    <w:rsid w:val="00D503A3"/>
    <w:rsid w:val="00D50F07"/>
    <w:rsid w:val="00D64870"/>
    <w:rsid w:val="00DA6ED0"/>
    <w:rsid w:val="00DC5011"/>
    <w:rsid w:val="00DF243B"/>
    <w:rsid w:val="00DF5FE5"/>
    <w:rsid w:val="00E171B6"/>
    <w:rsid w:val="00E62345"/>
    <w:rsid w:val="00E72695"/>
    <w:rsid w:val="00E80C41"/>
    <w:rsid w:val="00EA7A1E"/>
    <w:rsid w:val="00EB13A1"/>
    <w:rsid w:val="00EB1753"/>
    <w:rsid w:val="00EB6CFF"/>
    <w:rsid w:val="00EE3996"/>
    <w:rsid w:val="00EF6177"/>
    <w:rsid w:val="00F0185B"/>
    <w:rsid w:val="00F07062"/>
    <w:rsid w:val="00F23CFC"/>
    <w:rsid w:val="00F433E2"/>
    <w:rsid w:val="00F45A6F"/>
    <w:rsid w:val="00F47269"/>
    <w:rsid w:val="00F904AE"/>
    <w:rsid w:val="00F90665"/>
    <w:rsid w:val="00F934F8"/>
    <w:rsid w:val="00F96213"/>
    <w:rsid w:val="00FB52FE"/>
    <w:rsid w:val="00FC0A34"/>
    <w:rsid w:val="00FD1DEF"/>
    <w:rsid w:val="00FE3B3F"/>
    <w:rsid w:val="00FF5D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B71B64"/>
  <w15:chartTrackingRefBased/>
  <w15:docId w15:val="{613AD57A-72B0-4386-8C5D-EB7C82AA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7127A"/>
    <w:pPr>
      <w:tabs>
        <w:tab w:val="right" w:pos="454"/>
        <w:tab w:val="left" w:pos="737"/>
      </w:tabs>
      <w:ind w:left="737" w:hanging="737"/>
    </w:pPr>
    <w:rPr>
      <w:snapToGrid w:val="0"/>
      <w:sz w:val="18"/>
      <w:lang w:eastAsia="en-US"/>
    </w:rPr>
  </w:style>
  <w:style w:type="paragraph" w:customStyle="1" w:styleId="Lgendetitre">
    <w:name w:val="Légende titre"/>
    <w:basedOn w:val="Normal"/>
    <w:rsid w:val="00B7127A"/>
    <w:pPr>
      <w:spacing w:before="240" w:after="240"/>
    </w:pPr>
    <w:rPr>
      <w:b/>
      <w:i/>
      <w:snapToGrid w:val="0"/>
      <w:lang w:eastAsia="en-US"/>
    </w:rPr>
  </w:style>
  <w:style w:type="paragraph" w:customStyle="1" w:styleId="Lgendestandard">
    <w:name w:val="Légende standard"/>
    <w:basedOn w:val="Normal"/>
    <w:rsid w:val="00B7127A"/>
    <w:rPr>
      <w:sz w:val="18"/>
    </w:rPr>
  </w:style>
  <w:style w:type="paragraph" w:customStyle="1" w:styleId="Default">
    <w:name w:val="Default"/>
    <w:rsid w:val="00CC08BE"/>
    <w:pPr>
      <w:autoSpaceDE w:val="0"/>
      <w:autoSpaceDN w:val="0"/>
      <w:adjustRightInd w:val="0"/>
    </w:pPr>
    <w:rPr>
      <w:color w:val="000000"/>
      <w:sz w:val="24"/>
      <w:szCs w:val="24"/>
    </w:rPr>
  </w:style>
  <w:style w:type="character" w:customStyle="1" w:styleId="Normal6Char">
    <w:name w:val="Normal6 Char"/>
    <w:basedOn w:val="DefaultParagraphFont"/>
    <w:link w:val="Normal6"/>
    <w:locked/>
    <w:rsid w:val="00D36718"/>
    <w:rPr>
      <w:sz w:val="24"/>
      <w:lang w:val="fr-FR"/>
    </w:rPr>
  </w:style>
  <w:style w:type="paragraph" w:customStyle="1" w:styleId="Normal6">
    <w:name w:val="Normal6"/>
    <w:basedOn w:val="Normal"/>
    <w:link w:val="Normal6Char"/>
    <w:rsid w:val="00D36718"/>
    <w:pPr>
      <w:spacing w:after="120"/>
    </w:pPr>
  </w:style>
  <w:style w:type="character" w:customStyle="1" w:styleId="NormalBoldChar">
    <w:name w:val="NormalBold Char"/>
    <w:basedOn w:val="DefaultParagraphFont"/>
    <w:link w:val="NormalBold"/>
    <w:locked/>
    <w:rsid w:val="00D36718"/>
    <w:rPr>
      <w:b/>
      <w:sz w:val="24"/>
    </w:rPr>
  </w:style>
  <w:style w:type="paragraph" w:customStyle="1" w:styleId="ColumnHeading">
    <w:name w:val="ColumnHeading"/>
    <w:basedOn w:val="Normal"/>
    <w:rsid w:val="00D36718"/>
    <w:pPr>
      <w:spacing w:after="240"/>
      <w:jc w:val="center"/>
    </w:pPr>
    <w:rPr>
      <w:i/>
    </w:rPr>
  </w:style>
  <w:style w:type="paragraph" w:customStyle="1" w:styleId="AMNumberTabs0">
    <w:name w:val="AMNumberTabs"/>
    <w:basedOn w:val="Normal"/>
    <w:rsid w:val="00D367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6718"/>
    <w:pPr>
      <w:jc w:val="right"/>
    </w:pPr>
  </w:style>
  <w:style w:type="paragraph" w:styleId="Footer">
    <w:name w:val="footer"/>
    <w:basedOn w:val="Normal"/>
    <w:link w:val="FooterChar"/>
    <w:semiHidden/>
    <w:rsid w:val="00D36718"/>
    <w:pPr>
      <w:tabs>
        <w:tab w:val="center" w:pos="4513"/>
        <w:tab w:val="right" w:pos="9026"/>
      </w:tabs>
    </w:pPr>
  </w:style>
  <w:style w:type="character" w:customStyle="1" w:styleId="FooterChar">
    <w:name w:val="Footer Char"/>
    <w:basedOn w:val="DefaultParagraphFont"/>
    <w:link w:val="Footer"/>
    <w:semiHidden/>
    <w:rsid w:val="00D36718"/>
    <w:rPr>
      <w:sz w:val="24"/>
    </w:rPr>
  </w:style>
  <w:style w:type="character" w:styleId="Hyperlink">
    <w:name w:val="Hyperlink"/>
    <w:basedOn w:val="DefaultParagraphFont"/>
    <w:uiPriority w:val="99"/>
    <w:unhideWhenUsed/>
    <w:rsid w:val="00457217"/>
    <w:rPr>
      <w:color w:val="467886"/>
      <w:u w:val="single"/>
    </w:rPr>
  </w:style>
  <w:style w:type="paragraph" w:styleId="Revision">
    <w:name w:val="Revision"/>
    <w:hidden/>
    <w:uiPriority w:val="99"/>
    <w:semiHidden/>
    <w:rsid w:val="00E62345"/>
    <w:rPr>
      <w:sz w:val="24"/>
    </w:rPr>
  </w:style>
  <w:style w:type="character" w:styleId="CommentReference">
    <w:name w:val="annotation reference"/>
    <w:basedOn w:val="DefaultParagraphFont"/>
    <w:rsid w:val="0078542A"/>
    <w:rPr>
      <w:sz w:val="16"/>
      <w:szCs w:val="16"/>
    </w:rPr>
  </w:style>
  <w:style w:type="paragraph" w:styleId="CommentText">
    <w:name w:val="annotation text"/>
    <w:basedOn w:val="Normal"/>
    <w:link w:val="CommentTextChar"/>
    <w:rsid w:val="0078542A"/>
    <w:rPr>
      <w:sz w:val="20"/>
    </w:rPr>
  </w:style>
  <w:style w:type="character" w:customStyle="1" w:styleId="CommentTextChar">
    <w:name w:val="Comment Text Char"/>
    <w:basedOn w:val="DefaultParagraphFont"/>
    <w:link w:val="CommentText"/>
    <w:rsid w:val="0078542A"/>
  </w:style>
  <w:style w:type="paragraph" w:styleId="CommentSubject">
    <w:name w:val="annotation subject"/>
    <w:basedOn w:val="CommentText"/>
    <w:next w:val="CommentText"/>
    <w:link w:val="CommentSubjectChar"/>
    <w:semiHidden/>
    <w:unhideWhenUsed/>
    <w:rsid w:val="0078542A"/>
    <w:rPr>
      <w:b/>
      <w:bCs/>
    </w:rPr>
  </w:style>
  <w:style w:type="character" w:customStyle="1" w:styleId="CommentSubjectChar">
    <w:name w:val="Comment Subject Char"/>
    <w:basedOn w:val="CommentTextChar"/>
    <w:link w:val="CommentSubject"/>
    <w:semiHidden/>
    <w:rsid w:val="0078542A"/>
    <w:rPr>
      <w:b/>
      <w:bCs/>
    </w:rPr>
  </w:style>
  <w:style w:type="character" w:styleId="UnresolvedMention">
    <w:name w:val="Unresolved Mention"/>
    <w:basedOn w:val="DefaultParagraphFont"/>
    <w:uiPriority w:val="99"/>
    <w:semiHidden/>
    <w:unhideWhenUsed/>
    <w:rsid w:val="00A33C6B"/>
    <w:rPr>
      <w:color w:val="605E5C"/>
      <w:shd w:val="clear" w:color="auto" w:fill="E1DFDD"/>
    </w:rPr>
  </w:style>
  <w:style w:type="character" w:styleId="Emphasis">
    <w:name w:val="Emphasis"/>
    <w:basedOn w:val="DefaultParagraphFont"/>
    <w:uiPriority w:val="20"/>
    <w:qFormat/>
    <w:rsid w:val="00A33C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uroparl.europa.eu/data-protect/index.do" TargetMode="Externa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INGE~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1</TotalTime>
  <Pages>18</Pages>
  <Words>4443</Words>
  <Characters>25150</Characters>
  <Application>Microsoft Office Word</Application>
  <DocSecurity>0</DocSecurity>
  <Lines>838</Lines>
  <Paragraphs>287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WINGELINCKX Aurelie</dc:creator>
  <cp:lastModifiedBy>LAGRANGE Nathalie</cp:lastModifiedBy>
  <cp:revision>2</cp:revision>
  <cp:lastPrinted>2004-11-04T09:41:00Z</cp:lastPrinted>
  <dcterms:created xsi:type="dcterms:W3CDTF">2025-12-02T08:31:00Z</dcterms:created>
  <dcterms:modified xsi:type="dcterms:W3CDTF">2025-12-02T08:31:00Z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Bookout">
    <vt:lpwstr>OK - 2025/12/02 09:30</vt:lpwstr>
  </property>
  <property fmtid="{D5CDD505-2E9C-101B-9397-08002B2CF9AE}" pid="9" name="Created with">
    <vt:lpwstr>10.2.0 Build [20251001]</vt:lpwstr>
  </property>
  <property fmtid="{D5CDD505-2E9C-101B-9397-08002B2CF9AE}" pid="10" name="FooterPath">
    <vt:lpwstr>PR\1332449FR.docx</vt:lpwstr>
  </property>
  <property fmtid="{D5CDD505-2E9C-101B-9397-08002B2CF9AE}" pid="11" name="LastEdited with">
    <vt:lpwstr>10.2.0 Build [20251118]</vt:lpwstr>
  </property>
  <property fmtid="{D5CDD505-2E9C-101B-9397-08002B2CF9AE}" pid="12" name="OriLang">
    <vt:lpwstr>EN</vt:lpwstr>
  </property>
  <property fmtid="{D5CDD505-2E9C-101B-9397-08002B2CF9AE}" pid="13" name="PE number">
    <vt:lpwstr>779.727</vt:lpwstr>
  </property>
  <property fmtid="{D5CDD505-2E9C-101B-9397-08002B2CF9AE}" pid="14" name="SDLStudio">
    <vt:lpwstr/>
  </property>
  <property fmtid="{D5CDD505-2E9C-101B-9397-08002B2CF9AE}" pid="15" name="SendToEpades">
    <vt:lpwstr>OK - 2025/11/24 09:37</vt:lpwstr>
  </property>
</Properties>
</file>