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327BC" w14:paraId="54751A24" w14:textId="77777777" w:rsidTr="00C85D0F">
        <w:trPr>
          <w:trHeight w:hRule="exact" w:val="1418"/>
        </w:trPr>
        <w:tc>
          <w:tcPr>
            <w:tcW w:w="6804" w:type="dxa"/>
            <w:shd w:val="clear" w:color="auto" w:fill="auto"/>
            <w:vAlign w:val="center"/>
          </w:tcPr>
          <w:p w14:paraId="37731A7D" w14:textId="77777777" w:rsidR="00B13D6F" w:rsidRPr="00A03DA4" w:rsidRDefault="006766CE" w:rsidP="00C85D0F">
            <w:pPr>
              <w:pStyle w:val="EPName"/>
            </w:pPr>
            <w:r>
              <w:t>Parlamento Europeu</w:t>
            </w:r>
          </w:p>
          <w:p w14:paraId="55CBEBD3" w14:textId="77777777" w:rsidR="00B13D6F" w:rsidRPr="007F29A1" w:rsidRDefault="006766CE" w:rsidP="00C85D0F">
            <w:pPr>
              <w:pStyle w:val="EPTerm"/>
            </w:pPr>
            <w:r>
              <w:t>2024-2029</w:t>
            </w:r>
          </w:p>
        </w:tc>
        <w:tc>
          <w:tcPr>
            <w:tcW w:w="2268" w:type="dxa"/>
            <w:shd w:val="clear" w:color="auto" w:fill="auto"/>
          </w:tcPr>
          <w:p w14:paraId="0B22E342" w14:textId="77777777" w:rsidR="00B13D6F" w:rsidRPr="00A03DA4" w:rsidRDefault="006766CE" w:rsidP="00C85D0F">
            <w:pPr>
              <w:pStyle w:val="EPLogo"/>
            </w:pPr>
            <w:r w:rsidRPr="00A03DA4">
              <w:rPr>
                <w:noProof/>
                <w:lang w:eastAsia="ja-JP"/>
              </w:rPr>
              <w:drawing>
                <wp:inline distT="0" distB="0" distL="0" distR="0" wp14:anchorId="263FADA6" wp14:editId="73F581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78B5A4" w14:textId="77777777" w:rsidR="00461601" w:rsidRPr="00A03DA4" w:rsidRDefault="00461601" w:rsidP="00461601">
      <w:pPr>
        <w:pStyle w:val="LineTop"/>
      </w:pPr>
    </w:p>
    <w:p w14:paraId="50DD10E5" w14:textId="77777777" w:rsidR="00461601" w:rsidRPr="00A03DA4" w:rsidRDefault="006766CE" w:rsidP="00461601">
      <w:pPr>
        <w:pStyle w:val="EPBody"/>
      </w:pPr>
      <w:r>
        <w:rPr>
          <w:rStyle w:val="HideTWBExt"/>
        </w:rPr>
        <w:t>&lt;</w:t>
      </w:r>
      <w:r>
        <w:rPr>
          <w:rStyle w:val="HideTWBExt"/>
          <w:i w:val="0"/>
        </w:rPr>
        <w:t>Commission</w:t>
      </w:r>
      <w:r>
        <w:rPr>
          <w:rStyle w:val="HideTWBExt"/>
        </w:rPr>
        <w:t>&gt;</w:t>
      </w:r>
      <w:r>
        <w:rPr>
          <w:rStyle w:val="HideTWBInt"/>
          <w:color w:val="auto"/>
        </w:rPr>
        <w:t>{INTA}</w:t>
      </w:r>
      <w:r>
        <w:t>Comissão do Comércio Internacional</w:t>
      </w:r>
      <w:r>
        <w:rPr>
          <w:rStyle w:val="HideTWBExt"/>
        </w:rPr>
        <w:t>&lt;/</w:t>
      </w:r>
      <w:r>
        <w:rPr>
          <w:rStyle w:val="HideTWBExt"/>
          <w:i w:val="0"/>
        </w:rPr>
        <w:t>Commission</w:t>
      </w:r>
      <w:r>
        <w:rPr>
          <w:rStyle w:val="HideTWBExt"/>
        </w:rPr>
        <w:t>&gt;</w:t>
      </w:r>
    </w:p>
    <w:p w14:paraId="4BDE037F" w14:textId="77777777" w:rsidR="00461601" w:rsidRPr="00A03DA4" w:rsidRDefault="00461601" w:rsidP="00461601">
      <w:pPr>
        <w:pStyle w:val="LineBottom"/>
      </w:pPr>
    </w:p>
    <w:p w14:paraId="1F3904F7" w14:textId="77777777" w:rsidR="00793EA9" w:rsidRPr="00A03DA4" w:rsidRDefault="006766CE">
      <w:pPr>
        <w:pStyle w:val="CoverReference"/>
      </w:pPr>
      <w:r>
        <w:rPr>
          <w:rStyle w:val="HideTWBExt"/>
          <w:b w:val="0"/>
        </w:rPr>
        <w:t>&lt;RefProc&gt;</w:t>
      </w:r>
      <w:r>
        <w:t>2025/0726</w:t>
      </w:r>
      <w:r>
        <w:rPr>
          <w:rStyle w:val="HideTWBExt"/>
          <w:b w:val="0"/>
        </w:rPr>
        <w:t>&lt;/RefProc&gt;&lt;RefTypeProc&gt;</w:t>
      </w:r>
      <w:r>
        <w:t>(COD)</w:t>
      </w:r>
      <w:r>
        <w:rPr>
          <w:rStyle w:val="HideTWBExt"/>
          <w:b w:val="0"/>
        </w:rPr>
        <w:t>&lt;/RefTypeProc&gt;</w:t>
      </w:r>
    </w:p>
    <w:p w14:paraId="69804BCC" w14:textId="77777777" w:rsidR="00793EA9" w:rsidRPr="00A03DA4" w:rsidRDefault="006766CE">
      <w:pPr>
        <w:pStyle w:val="CoverDate"/>
      </w:pPr>
      <w:r>
        <w:rPr>
          <w:rStyle w:val="HideTWBExt"/>
        </w:rPr>
        <w:t>&lt;Date&gt;</w:t>
      </w:r>
      <w:r>
        <w:rPr>
          <w:rStyle w:val="HideTWBInt"/>
          <w:color w:val="auto"/>
        </w:rPr>
        <w:t>{24/11/2025}</w:t>
      </w:r>
      <w:r>
        <w:t>24.11.2025</w:t>
      </w:r>
      <w:r>
        <w:rPr>
          <w:rStyle w:val="HideTWBExt"/>
        </w:rPr>
        <w:t>&lt;/Date&gt;</w:t>
      </w:r>
    </w:p>
    <w:p w14:paraId="79E8C9AA" w14:textId="77777777" w:rsidR="00793EA9" w:rsidRPr="00A03DA4" w:rsidRDefault="006766CE">
      <w:pPr>
        <w:pStyle w:val="CoverDocType"/>
      </w:pPr>
      <w:r>
        <w:rPr>
          <w:rStyle w:val="HideTWBExt"/>
          <w:b w:val="0"/>
        </w:rPr>
        <w:t>&lt;RefProcLect&gt;</w:t>
      </w:r>
      <w:r>
        <w:t>***I</w:t>
      </w:r>
      <w:r>
        <w:rPr>
          <w:rStyle w:val="HideTWBExt"/>
          <w:b w:val="0"/>
        </w:rPr>
        <w:t>&lt;/RefProcLect&gt;</w:t>
      </w:r>
    </w:p>
    <w:p w14:paraId="728D88EC" w14:textId="77777777" w:rsidR="00793EA9" w:rsidRPr="00A03DA4" w:rsidRDefault="006766CE">
      <w:pPr>
        <w:pStyle w:val="CoverDocType24a"/>
      </w:pPr>
      <w:r>
        <w:rPr>
          <w:rStyle w:val="HideTWBExt"/>
          <w:b w:val="0"/>
        </w:rPr>
        <w:t>&lt;TitreType&gt;</w:t>
      </w:r>
      <w:r>
        <w:t xml:space="preserve">PROJETO DE </w:t>
      </w:r>
      <w:r>
        <w:t>RELATÓRIO</w:t>
      </w:r>
      <w:r>
        <w:rPr>
          <w:rStyle w:val="HideTWBExt"/>
          <w:b w:val="0"/>
        </w:rPr>
        <w:t>&lt;/TitreType&gt;</w:t>
      </w:r>
    </w:p>
    <w:p w14:paraId="3ACAC3D7" w14:textId="77777777" w:rsidR="00793EA9" w:rsidRPr="00A03DA4" w:rsidRDefault="006766CE">
      <w:pPr>
        <w:pStyle w:val="CoverNormal"/>
      </w:pPr>
      <w:r>
        <w:rPr>
          <w:rStyle w:val="HideTWBExt"/>
        </w:rPr>
        <w:t>&lt;Titre&gt;</w:t>
      </w:r>
      <w:r>
        <w:t>sobre a proposta de regulamento do Parlamento Europeu e do Conselho relativo à resposta aos efeitos negativos relacionados com o comércio decorrentes da sobrecapacidade mundial que afetam o mercado siderúrgico da UE</w:t>
      </w:r>
      <w:r>
        <w:rPr>
          <w:rStyle w:val="HideTWBExt"/>
        </w:rPr>
        <w:t>&lt;/Titre&gt;</w:t>
      </w:r>
    </w:p>
    <w:p w14:paraId="0FC7DD8F" w14:textId="77777777" w:rsidR="00793EA9" w:rsidRPr="00A03DA4" w:rsidRDefault="006766CE">
      <w:pPr>
        <w:pStyle w:val="CoverNormal24a"/>
      </w:pPr>
      <w:r>
        <w:rPr>
          <w:rStyle w:val="HideTWBExt"/>
        </w:rPr>
        <w:t>&lt;DocRef&gt;</w:t>
      </w:r>
      <w:r>
        <w:t>(COM(2025)0726 – C10</w:t>
      </w:r>
      <w:r>
        <w:noBreakHyphen/>
        <w:t>0245/2025 – 2025/0726(COD))</w:t>
      </w:r>
      <w:r>
        <w:rPr>
          <w:rStyle w:val="HideTWBExt"/>
        </w:rPr>
        <w:t>&lt;/DocRef&gt;</w:t>
      </w:r>
    </w:p>
    <w:p w14:paraId="018B713F" w14:textId="77777777" w:rsidR="00793EA9" w:rsidRPr="00A03DA4" w:rsidRDefault="006766CE">
      <w:pPr>
        <w:pStyle w:val="CoverNormal24a"/>
      </w:pPr>
      <w:r>
        <w:rPr>
          <w:rStyle w:val="HideTWBExt"/>
        </w:rPr>
        <w:t>&lt;Commission&gt;</w:t>
      </w:r>
      <w:r>
        <w:rPr>
          <w:rStyle w:val="HideTWBInt"/>
          <w:color w:val="auto"/>
        </w:rPr>
        <w:t>{INTA}</w:t>
      </w:r>
      <w:r>
        <w:t>Comissão do Comércio Internacional</w:t>
      </w:r>
      <w:r>
        <w:rPr>
          <w:rStyle w:val="HideTWBExt"/>
        </w:rPr>
        <w:t>&lt;/Commission&gt;</w:t>
      </w:r>
    </w:p>
    <w:p w14:paraId="5D843D80" w14:textId="77777777" w:rsidR="00793EA9" w:rsidRPr="00A03DA4" w:rsidRDefault="006766CE">
      <w:pPr>
        <w:pStyle w:val="CoverNormal24a"/>
      </w:pPr>
      <w:r>
        <w:t xml:space="preserve">Relatora: </w:t>
      </w:r>
      <w:r>
        <w:rPr>
          <w:rStyle w:val="HideTWBExt"/>
        </w:rPr>
        <w:t>&lt;Depute&gt;</w:t>
      </w:r>
      <w:r>
        <w:t>Karin Karlsbro</w:t>
      </w:r>
      <w:r>
        <w:rPr>
          <w:rStyle w:val="HideTWBExt"/>
        </w:rPr>
        <w:t>&lt;/Depute&gt;</w:t>
      </w:r>
    </w:p>
    <w:p w14:paraId="35383982" w14:textId="77777777" w:rsidR="001C5B44" w:rsidRPr="00A03DA4" w:rsidRDefault="001C5B44" w:rsidP="001C5B44">
      <w:pPr>
        <w:pStyle w:val="CoverNormal"/>
      </w:pPr>
    </w:p>
    <w:p w14:paraId="490305A5" w14:textId="3256F506" w:rsidR="007F29A1" w:rsidRDefault="006766CE" w:rsidP="00894923">
      <w:r>
        <w:br w:type="page"/>
      </w:r>
      <w:r>
        <w:lastRenderedPageBreak/>
        <w:fldChar w:fldCharType="begin"/>
      </w:r>
      <w:r>
        <w:instrText xml:space="preserve"> TITLE  \* MERGEFORMAT </w:instrText>
      </w:r>
      <w:r>
        <w:fldChar w:fldCharType="separate"/>
      </w:r>
      <w:r w:rsidRPr="006766CE">
        <w:rPr>
          <w:lang w:val="fr-FR"/>
        </w:rPr>
        <w:t>PR_COD_1amCom</w:t>
      </w:r>
      <w:r>
        <w:rPr>
          <w:lang w:val="fr-FR"/>
        </w:rPr>
        <w:fldChar w:fldCharType="end"/>
      </w:r>
    </w:p>
    <w:p w14:paraId="13FC677B" w14:textId="77777777" w:rsidR="007F29A1" w:rsidRDefault="007F29A1" w:rsidP="00894923">
      <w:pPr>
        <w:rPr>
          <w:lang w:val="fr-FR"/>
        </w:rPr>
      </w:pPr>
    </w:p>
    <w:p w14:paraId="551A99AC" w14:textId="77777777" w:rsidR="007F29A1" w:rsidRDefault="007F29A1"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327BC" w14:paraId="506ABACE" w14:textId="77777777">
        <w:tc>
          <w:tcPr>
            <w:tcW w:w="5811" w:type="dxa"/>
          </w:tcPr>
          <w:p w14:paraId="788639F7" w14:textId="77777777" w:rsidR="007F29A1" w:rsidRDefault="006766CE" w:rsidP="00894923">
            <w:pPr>
              <w:pStyle w:val="Lgendetitre"/>
            </w:pPr>
            <w:r>
              <w:t>Legenda dos símbolos utilizados</w:t>
            </w:r>
          </w:p>
        </w:tc>
      </w:tr>
      <w:tr w:rsidR="007327BC" w14:paraId="2D048143" w14:textId="77777777" w:rsidTr="00C50C36">
        <w:trPr>
          <w:cantSplit/>
          <w:trHeight w:val="1944"/>
        </w:trPr>
        <w:tc>
          <w:tcPr>
            <w:tcW w:w="5811" w:type="dxa"/>
            <w:tcBorders>
              <w:bottom w:val="single" w:sz="4" w:space="0" w:color="auto"/>
            </w:tcBorders>
          </w:tcPr>
          <w:p w14:paraId="298D5744" w14:textId="77777777" w:rsidR="007F29A1" w:rsidRPr="00D74146" w:rsidRDefault="006766CE" w:rsidP="00790D6B">
            <w:pPr>
              <w:pStyle w:val="Lgendesigne"/>
            </w:pPr>
            <w:r>
              <w:tab/>
              <w:t>*</w:t>
            </w:r>
            <w:r>
              <w:tab/>
            </w:r>
            <w:r>
              <w:t>Processo de consulta</w:t>
            </w:r>
          </w:p>
          <w:p w14:paraId="2E598ACB" w14:textId="77777777" w:rsidR="007F29A1" w:rsidRPr="008008AA" w:rsidRDefault="006766CE" w:rsidP="00790D6B">
            <w:pPr>
              <w:pStyle w:val="Lgendesigne"/>
            </w:pPr>
            <w:r>
              <w:tab/>
              <w:t>***</w:t>
            </w:r>
            <w:r>
              <w:tab/>
              <w:t>Processo de aprovação</w:t>
            </w:r>
          </w:p>
          <w:p w14:paraId="3C2E6556" w14:textId="77777777" w:rsidR="007F29A1" w:rsidRPr="00D74146" w:rsidRDefault="006766CE" w:rsidP="00790D6B">
            <w:pPr>
              <w:pStyle w:val="Lgendesigne"/>
            </w:pPr>
            <w:r>
              <w:tab/>
              <w:t>***I</w:t>
            </w:r>
            <w:r>
              <w:tab/>
              <w:t>Processo legislativo ordinário (primeira leitura)</w:t>
            </w:r>
          </w:p>
          <w:p w14:paraId="5AF27B0B" w14:textId="77777777" w:rsidR="007F29A1" w:rsidRPr="00D74146" w:rsidRDefault="006766CE" w:rsidP="00790D6B">
            <w:pPr>
              <w:pStyle w:val="Lgendesigne"/>
            </w:pPr>
            <w:r>
              <w:tab/>
              <w:t>***II</w:t>
            </w:r>
            <w:r>
              <w:tab/>
              <w:t>Processo legislativo ordinário (segunda leitura)</w:t>
            </w:r>
          </w:p>
          <w:p w14:paraId="236736EE" w14:textId="77777777" w:rsidR="007F29A1" w:rsidRPr="00D74146" w:rsidRDefault="006766CE" w:rsidP="00790D6B">
            <w:pPr>
              <w:pStyle w:val="Lgendesigne"/>
            </w:pPr>
            <w:r>
              <w:tab/>
              <w:t>***III</w:t>
            </w:r>
            <w:r>
              <w:tab/>
              <w:t>Processo legislativo ordinário (terceira leitura)</w:t>
            </w:r>
          </w:p>
          <w:p w14:paraId="49B30B72" w14:textId="77777777" w:rsidR="007F29A1" w:rsidRPr="00D74146" w:rsidRDefault="007F29A1" w:rsidP="00790D6B">
            <w:pPr>
              <w:pStyle w:val="Lgendestandard"/>
            </w:pPr>
          </w:p>
          <w:p w14:paraId="74CAFD16" w14:textId="77777777" w:rsidR="007F29A1" w:rsidRDefault="006766CE" w:rsidP="00790D6B">
            <w:pPr>
              <w:pStyle w:val="Lgendestandard"/>
            </w:pPr>
            <w:r>
              <w:t>(O processo indicado tem por fundamento a base jurídica proposta no projeto de ato.)</w:t>
            </w:r>
          </w:p>
          <w:p w14:paraId="2A5C2BAE" w14:textId="77777777" w:rsidR="007F29A1" w:rsidRDefault="007F29A1" w:rsidP="008008AA">
            <w:pPr>
              <w:pStyle w:val="Lgendestandard"/>
              <w:rPr>
                <w:lang w:val="fr-FR"/>
              </w:rPr>
            </w:pPr>
          </w:p>
        </w:tc>
      </w:tr>
    </w:tbl>
    <w:p w14:paraId="20DFB305" w14:textId="77777777" w:rsidR="007F29A1" w:rsidRDefault="007F29A1" w:rsidP="00894923">
      <w:pPr>
        <w:rPr>
          <w:lang w:val="fr-FR"/>
        </w:rPr>
      </w:pPr>
    </w:p>
    <w:p w14:paraId="40E38BD3" w14:textId="77777777" w:rsidR="007F29A1" w:rsidRDefault="007F29A1" w:rsidP="00894923">
      <w:pPr>
        <w:rPr>
          <w:lang w:val="fr-FR"/>
        </w:rPr>
      </w:pPr>
    </w:p>
    <w:p w14:paraId="747802A7" w14:textId="77777777" w:rsidR="007F29A1" w:rsidRDefault="007F29A1" w:rsidP="00894923">
      <w:pPr>
        <w:rPr>
          <w:lang w:val="fr-FR"/>
        </w:rPr>
      </w:pPr>
    </w:p>
    <w:p w14:paraId="3B0ABB2D" w14:textId="77777777" w:rsidR="007F29A1" w:rsidRDefault="007F29A1"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327BC" w14:paraId="26270F25" w14:textId="77777777">
        <w:tc>
          <w:tcPr>
            <w:tcW w:w="5811" w:type="dxa"/>
          </w:tcPr>
          <w:p w14:paraId="25BB8697" w14:textId="77777777" w:rsidR="007F29A1" w:rsidRPr="00817843" w:rsidRDefault="006766CE" w:rsidP="00894923">
            <w:pPr>
              <w:pStyle w:val="Lgendetitre"/>
            </w:pPr>
            <w:r>
              <w:t>Alterações a um projeto de ato</w:t>
            </w:r>
          </w:p>
        </w:tc>
      </w:tr>
      <w:tr w:rsidR="007327BC" w14:paraId="0435476B" w14:textId="77777777" w:rsidTr="000A3E41">
        <w:trPr>
          <w:trHeight w:val="4923"/>
        </w:trPr>
        <w:tc>
          <w:tcPr>
            <w:tcW w:w="5811" w:type="dxa"/>
          </w:tcPr>
          <w:p w14:paraId="437CD270" w14:textId="77777777" w:rsidR="007F29A1" w:rsidRPr="00D74146" w:rsidRDefault="006766CE" w:rsidP="008008AA">
            <w:pPr>
              <w:pStyle w:val="Lgendestandard"/>
              <w:rPr>
                <w:szCs w:val="18"/>
              </w:rPr>
            </w:pPr>
            <w:r>
              <w:rPr>
                <w:b/>
              </w:rPr>
              <w:t>Alterações do Parlamento apresentadas em duas colunas</w:t>
            </w:r>
          </w:p>
          <w:p w14:paraId="26A1DDEB" w14:textId="77777777" w:rsidR="007F29A1" w:rsidRPr="00D74146" w:rsidRDefault="007F29A1" w:rsidP="008008AA">
            <w:pPr>
              <w:pStyle w:val="Lgendestandard"/>
              <w:rPr>
                <w:szCs w:val="18"/>
              </w:rPr>
            </w:pPr>
          </w:p>
          <w:p w14:paraId="2ACB41EF" w14:textId="77777777" w:rsidR="007F29A1" w:rsidRPr="00D74146" w:rsidRDefault="006766CE" w:rsidP="008008AA">
            <w:pPr>
              <w:pStyle w:val="Lgendestandard"/>
            </w:pPr>
            <w:r>
              <w:t>As supressões são assinaladas em</w:t>
            </w:r>
            <w:r>
              <w:rPr>
                <w:b/>
                <w:i/>
              </w:rPr>
              <w:t xml:space="preserve"> itálico </w:t>
            </w:r>
            <w:r>
              <w:t xml:space="preserve">e a </w:t>
            </w:r>
            <w:r>
              <w:rPr>
                <w:b/>
                <w:i/>
              </w:rPr>
              <w:t xml:space="preserve">negrito </w:t>
            </w:r>
            <w:r>
              <w:t xml:space="preserve">na coluna da esquerda. As substituições são </w:t>
            </w:r>
            <w:r>
              <w:t>assinaladas em</w:t>
            </w:r>
            <w:r>
              <w:rPr>
                <w:b/>
                <w:i/>
              </w:rPr>
              <w:t xml:space="preserve"> itálico </w:t>
            </w:r>
            <w:r>
              <w:t xml:space="preserve">e a </w:t>
            </w:r>
            <w:r>
              <w:rPr>
                <w:b/>
                <w:i/>
              </w:rPr>
              <w:t xml:space="preserve">negrito </w:t>
            </w:r>
            <w:r>
              <w:t>na coluna da esquerda e na coluna da direita. O texto novo é assinalado em</w:t>
            </w:r>
            <w:r>
              <w:rPr>
                <w:b/>
                <w:i/>
              </w:rPr>
              <w:t xml:space="preserve"> itálico </w:t>
            </w:r>
            <w:r>
              <w:t xml:space="preserve">e a </w:t>
            </w:r>
            <w:r>
              <w:rPr>
                <w:b/>
                <w:i/>
              </w:rPr>
              <w:t xml:space="preserve">negrito </w:t>
            </w:r>
            <w:r>
              <w:t>na coluna da direita.</w:t>
            </w:r>
          </w:p>
          <w:p w14:paraId="52AD4531" w14:textId="77777777" w:rsidR="007F29A1" w:rsidRPr="00D74146" w:rsidRDefault="007F29A1" w:rsidP="008008AA">
            <w:pPr>
              <w:pStyle w:val="Lgendestandard"/>
              <w:rPr>
                <w:highlight w:val="yellow"/>
              </w:rPr>
            </w:pPr>
          </w:p>
          <w:p w14:paraId="5C443AB2" w14:textId="77777777" w:rsidR="007F29A1" w:rsidRPr="00D74146" w:rsidRDefault="006766CE" w:rsidP="008008AA">
            <w:pPr>
              <w:pStyle w:val="Lgendestandard"/>
            </w:pPr>
            <w:r>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408CACF5" w14:textId="77777777" w:rsidR="007F29A1" w:rsidRPr="00D74146" w:rsidRDefault="007F29A1" w:rsidP="008008AA">
            <w:pPr>
              <w:pStyle w:val="Lgendestandard"/>
            </w:pPr>
          </w:p>
          <w:p w14:paraId="6FD41B3A" w14:textId="77777777" w:rsidR="007F29A1" w:rsidRPr="00D74146" w:rsidRDefault="006766CE" w:rsidP="008008AA">
            <w:pPr>
              <w:pStyle w:val="Lgendestandard"/>
              <w:rPr>
                <w:b/>
                <w:szCs w:val="18"/>
              </w:rPr>
            </w:pPr>
            <w:r>
              <w:rPr>
                <w:b/>
              </w:rPr>
              <w:t>Alterações do Parlamento apresentadas sob a forma de texto consolidado</w:t>
            </w:r>
          </w:p>
          <w:p w14:paraId="37257350" w14:textId="77777777" w:rsidR="007F29A1" w:rsidRPr="00D74146" w:rsidRDefault="007F29A1" w:rsidP="008008AA">
            <w:pPr>
              <w:pStyle w:val="Lgendestandard"/>
              <w:rPr>
                <w:szCs w:val="18"/>
              </w:rPr>
            </w:pPr>
          </w:p>
          <w:p w14:paraId="32C585A0" w14:textId="77777777" w:rsidR="007F29A1" w:rsidRPr="00D74146" w:rsidRDefault="006766CE" w:rsidP="008008AA">
            <w:pPr>
              <w:pStyle w:val="Lgendestandard"/>
            </w:pPr>
            <w:r>
              <w:t xml:space="preserve">Os trechos novos são assinalados em </w:t>
            </w:r>
            <w:r>
              <w:rPr>
                <w:b/>
                <w:i/>
              </w:rPr>
              <w:t>itálico</w:t>
            </w:r>
            <w:r>
              <w:t xml:space="preserve"> e a </w:t>
            </w:r>
            <w:r>
              <w:rPr>
                <w:b/>
                <w:i/>
              </w:rPr>
              <w:t>negrito</w:t>
            </w:r>
            <w:r>
              <w:t xml:space="preserve">. Os trechos suprimidos são assinalados pelo símbolo ▌ou rasurados. As substituições são assinaladas formatando o texto novo em </w:t>
            </w:r>
            <w:r>
              <w:rPr>
                <w:b/>
                <w:i/>
              </w:rPr>
              <w:t>itálico</w:t>
            </w:r>
            <w:r>
              <w:t xml:space="preserve"> e a </w:t>
            </w:r>
            <w:r>
              <w:rPr>
                <w:b/>
                <w:i/>
              </w:rPr>
              <w:t>negrito</w:t>
            </w:r>
            <w:r>
              <w:t xml:space="preserve"> e suprimindo, ou rasurando, o texto substituído.</w:t>
            </w:r>
          </w:p>
          <w:p w14:paraId="5EA4227D" w14:textId="77777777" w:rsidR="007F29A1" w:rsidRDefault="006766CE" w:rsidP="008008AA">
            <w:pPr>
              <w:pStyle w:val="Lgendestandard"/>
            </w:pPr>
            <w:r>
              <w:t>Exceção: as modificações de natureza estritamente técnica introduzidas pelos serviços com vista à elaboração do texto final não são assinaladas.</w:t>
            </w:r>
          </w:p>
          <w:p w14:paraId="59CC0DAB" w14:textId="77777777" w:rsidR="007F29A1" w:rsidRDefault="007F29A1" w:rsidP="0069092A">
            <w:pPr>
              <w:pStyle w:val="Lgendestandard"/>
              <w:rPr>
                <w:lang w:val="fr-FR"/>
              </w:rPr>
            </w:pPr>
          </w:p>
        </w:tc>
      </w:tr>
    </w:tbl>
    <w:p w14:paraId="0B0195BD" w14:textId="77777777" w:rsidR="007F29A1" w:rsidRDefault="007F29A1" w:rsidP="00894923">
      <w:pPr>
        <w:rPr>
          <w:lang w:val="fr-FR"/>
        </w:rPr>
      </w:pPr>
    </w:p>
    <w:p w14:paraId="56DA1A2C" w14:textId="77777777" w:rsidR="00793EA9" w:rsidRPr="007F29A1" w:rsidRDefault="00793EA9" w:rsidP="00012351">
      <w:pPr>
        <w:widowControl/>
        <w:tabs>
          <w:tab w:val="center" w:pos="4677"/>
        </w:tabs>
      </w:pPr>
    </w:p>
    <w:p w14:paraId="082AF1C4" w14:textId="77777777" w:rsidR="00793EA9" w:rsidRPr="00A03DA4" w:rsidRDefault="006766CE">
      <w:pPr>
        <w:pStyle w:val="TOCHeading"/>
      </w:pPr>
      <w:r>
        <w:br w:type="page"/>
      </w:r>
      <w:r>
        <w:lastRenderedPageBreak/>
        <w:t>ÍNDICE</w:t>
      </w:r>
    </w:p>
    <w:p w14:paraId="72898F44" w14:textId="77777777" w:rsidR="00793EA9" w:rsidRPr="00A03DA4" w:rsidRDefault="006766CE">
      <w:pPr>
        <w:pStyle w:val="TOCPage"/>
      </w:pPr>
      <w:r>
        <w:t>Página</w:t>
      </w:r>
    </w:p>
    <w:p w14:paraId="70B07713" w14:textId="7C497EC8" w:rsidR="006766CE" w:rsidRDefault="006766CE">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sidRPr="00A03DA4">
        <w:rPr>
          <w:b/>
        </w:rPr>
        <w:fldChar w:fldCharType="begin"/>
      </w:r>
      <w:r w:rsidRPr="00A03DA4">
        <w:rPr>
          <w:b/>
        </w:rPr>
        <w:instrText xml:space="preserve"> TOC \t "PageHeading</w:instrText>
      </w:r>
      <w:r w:rsidR="007F29A1">
        <w:rPr>
          <w:b/>
        </w:rPr>
        <w:instrText>;</w:instrText>
      </w:r>
      <w:r w:rsidRPr="00A03DA4">
        <w:rPr>
          <w:b/>
        </w:rPr>
        <w:instrText xml:space="preserve">1" </w:instrText>
      </w:r>
      <w:r w:rsidRPr="00A03DA4">
        <w:rPr>
          <w:b/>
        </w:rPr>
        <w:fldChar w:fldCharType="separate"/>
      </w:r>
      <w:r>
        <w:rPr>
          <w:noProof/>
        </w:rPr>
        <w:t>PROJETO DE RESOLUÇÃO LEGISLATIVA DO PARLAMENTO EUROPEU</w:t>
      </w:r>
      <w:r>
        <w:rPr>
          <w:noProof/>
        </w:rPr>
        <w:tab/>
      </w:r>
      <w:r>
        <w:rPr>
          <w:noProof/>
        </w:rPr>
        <w:fldChar w:fldCharType="begin"/>
      </w:r>
      <w:r>
        <w:rPr>
          <w:noProof/>
        </w:rPr>
        <w:instrText xml:space="preserve"> PAGEREF _Toc215668535 \h </w:instrText>
      </w:r>
      <w:r>
        <w:rPr>
          <w:noProof/>
        </w:rPr>
      </w:r>
      <w:r>
        <w:rPr>
          <w:noProof/>
        </w:rPr>
        <w:fldChar w:fldCharType="separate"/>
      </w:r>
      <w:r>
        <w:rPr>
          <w:noProof/>
        </w:rPr>
        <w:t>5</w:t>
      </w:r>
      <w:r>
        <w:rPr>
          <w:noProof/>
        </w:rPr>
        <w:fldChar w:fldCharType="end"/>
      </w:r>
    </w:p>
    <w:p w14:paraId="3CD50113" w14:textId="31966F3A" w:rsidR="006766CE" w:rsidRDefault="006766CE">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Pr>
          <w:noProof/>
        </w:rPr>
        <w:t>EXPOSIÇÃO DE MOTIVOS</w:t>
      </w:r>
      <w:r>
        <w:rPr>
          <w:noProof/>
        </w:rPr>
        <w:tab/>
      </w:r>
      <w:r>
        <w:rPr>
          <w:noProof/>
        </w:rPr>
        <w:fldChar w:fldCharType="begin"/>
      </w:r>
      <w:r>
        <w:rPr>
          <w:noProof/>
        </w:rPr>
        <w:instrText xml:space="preserve"> PAGEREF _Toc215668536 \h </w:instrText>
      </w:r>
      <w:r>
        <w:rPr>
          <w:noProof/>
        </w:rPr>
      </w:r>
      <w:r>
        <w:rPr>
          <w:noProof/>
        </w:rPr>
        <w:fldChar w:fldCharType="separate"/>
      </w:r>
      <w:r>
        <w:rPr>
          <w:noProof/>
        </w:rPr>
        <w:t>16</w:t>
      </w:r>
      <w:r>
        <w:rPr>
          <w:noProof/>
        </w:rPr>
        <w:fldChar w:fldCharType="end"/>
      </w:r>
    </w:p>
    <w:p w14:paraId="52970267" w14:textId="70FFCE4F" w:rsidR="006766CE" w:rsidRDefault="006766CE">
      <w:pPr>
        <w:pStyle w:val="TOC1"/>
        <w:tabs>
          <w:tab w:val="right" w:leader="dot" w:pos="9060"/>
        </w:tabs>
        <w:rPr>
          <w:rFonts w:asciiTheme="minorHAnsi" w:eastAsiaTheme="minorEastAsia" w:hAnsiTheme="minorHAnsi" w:cstheme="minorBidi"/>
          <w:noProof/>
          <w:kern w:val="2"/>
          <w:szCs w:val="24"/>
          <w:lang w:eastAsia="pt-PT"/>
          <w14:ligatures w14:val="standardContextual"/>
        </w:rPr>
      </w:pPr>
      <w:r>
        <w:rPr>
          <w:noProof/>
        </w:rPr>
        <w:t>ANEXO: DECLARAÇÃO DE CONTRIBUTOS</w:t>
      </w:r>
      <w:r>
        <w:rPr>
          <w:noProof/>
        </w:rPr>
        <w:tab/>
      </w:r>
      <w:r>
        <w:rPr>
          <w:noProof/>
        </w:rPr>
        <w:fldChar w:fldCharType="begin"/>
      </w:r>
      <w:r>
        <w:rPr>
          <w:noProof/>
        </w:rPr>
        <w:instrText xml:space="preserve"> PAGEREF _Toc215668537 \h </w:instrText>
      </w:r>
      <w:r>
        <w:rPr>
          <w:noProof/>
        </w:rPr>
      </w:r>
      <w:r>
        <w:rPr>
          <w:noProof/>
        </w:rPr>
        <w:fldChar w:fldCharType="separate"/>
      </w:r>
      <w:r>
        <w:rPr>
          <w:noProof/>
        </w:rPr>
        <w:t>18</w:t>
      </w:r>
      <w:r>
        <w:rPr>
          <w:noProof/>
        </w:rPr>
        <w:fldChar w:fldCharType="end"/>
      </w:r>
    </w:p>
    <w:p w14:paraId="615CD9D5" w14:textId="064414B8" w:rsidR="002346B0" w:rsidRPr="00A03DA4" w:rsidRDefault="006766CE" w:rsidP="00C23324">
      <w:r w:rsidRPr="00A03DA4">
        <w:rPr>
          <w:b/>
        </w:rPr>
        <w:fldChar w:fldCharType="end"/>
      </w:r>
    </w:p>
    <w:p w14:paraId="421DA4C8" w14:textId="77777777" w:rsidR="00793EA9" w:rsidRPr="00A03DA4" w:rsidRDefault="006766CE">
      <w:pPr>
        <w:pStyle w:val="PageHeading"/>
      </w:pPr>
      <w:r>
        <w:br w:type="page"/>
      </w:r>
      <w:r>
        <w:lastRenderedPageBreak/>
        <w:br w:type="page"/>
      </w:r>
      <w:bookmarkStart w:id="0" w:name="_Toc215668535"/>
      <w:r>
        <w:lastRenderedPageBreak/>
        <w:t>PROJETO DE RESOLUÇÃO LEGISLATIVA DO PARLAMENTO EUROPEU</w:t>
      </w:r>
      <w:bookmarkEnd w:id="0"/>
    </w:p>
    <w:p w14:paraId="064775C9" w14:textId="77777777" w:rsidR="00793EA9" w:rsidRPr="00A03DA4" w:rsidRDefault="006766CE">
      <w:pPr>
        <w:pStyle w:val="NormalBold"/>
      </w:pPr>
      <w:r>
        <w:t>sobre a proposta de regulamento do Parlamento Europeu e do Conselho relativo à resposta aos efeitos negativos relacionados com o comércio decorrentes da sobrecapacidade mundial que afetam o mercado siderúrgico da UE</w:t>
      </w:r>
    </w:p>
    <w:p w14:paraId="7E7E4D6C" w14:textId="77777777" w:rsidR="00793EA9" w:rsidRPr="00A03DA4" w:rsidRDefault="006766CE">
      <w:pPr>
        <w:pStyle w:val="NormalBold12a"/>
      </w:pPr>
      <w:r>
        <w:t>(COM(2025)0726 – C10</w:t>
      </w:r>
      <w:r>
        <w:noBreakHyphen/>
        <w:t>0245/2025 – 2025/0726(COD))</w:t>
      </w:r>
    </w:p>
    <w:p w14:paraId="4E6D2B49" w14:textId="77777777" w:rsidR="00793EA9" w:rsidRPr="00A03DA4" w:rsidRDefault="006766CE" w:rsidP="00A910C9">
      <w:pPr>
        <w:pStyle w:val="NormalBold"/>
      </w:pPr>
      <w:r>
        <w:t>(Processo legislativo ordinário: primeira leitura)</w:t>
      </w:r>
    </w:p>
    <w:p w14:paraId="4D225D85" w14:textId="77777777" w:rsidR="007F29A1" w:rsidRPr="00860FE1" w:rsidRDefault="006766CE" w:rsidP="007F29A1">
      <w:pPr>
        <w:pStyle w:val="EPComma"/>
      </w:pPr>
      <w:r>
        <w:rPr>
          <w:i/>
        </w:rPr>
        <w:t>O Parlamento Europeu</w:t>
      </w:r>
      <w:r>
        <w:t>,</w:t>
      </w:r>
    </w:p>
    <w:p w14:paraId="3A6A9487" w14:textId="77777777" w:rsidR="007F29A1" w:rsidRPr="00860FE1" w:rsidRDefault="006766CE" w:rsidP="007F29A1">
      <w:pPr>
        <w:pStyle w:val="NormalHanging12a"/>
      </w:pPr>
      <w:r>
        <w:t>–</w:t>
      </w:r>
      <w:r>
        <w:tab/>
        <w:t>Tendo em conta a proposta da Comissão ao Parlamento Europeu e ao Conselho (COM(2025)0726),</w:t>
      </w:r>
    </w:p>
    <w:p w14:paraId="25D0D763" w14:textId="77777777" w:rsidR="007F29A1" w:rsidRPr="00860FE1" w:rsidRDefault="006766CE" w:rsidP="007F29A1">
      <w:pPr>
        <w:pStyle w:val="NormalHanging12a"/>
      </w:pPr>
      <w:r>
        <w:t>–</w:t>
      </w:r>
      <w:r>
        <w:tab/>
        <w:t>Tendo em conta o artigo 294.º, n.º 2, e o artigo 207.º, n.º 2, do Tratado sobre o Funcionamento da União Europeia, nos termos dos quais a proposta lhe foi apresentada pela Comissão (C10</w:t>
      </w:r>
      <w:r>
        <w:noBreakHyphen/>
        <w:t>0245/2025),</w:t>
      </w:r>
    </w:p>
    <w:p w14:paraId="57E3AA5C" w14:textId="77777777" w:rsidR="007F29A1" w:rsidRPr="00860FE1" w:rsidRDefault="006766CE" w:rsidP="007F29A1">
      <w:pPr>
        <w:pStyle w:val="NormalHanging12a"/>
      </w:pPr>
      <w:r>
        <w:t>–</w:t>
      </w:r>
      <w:r>
        <w:tab/>
        <w:t>Tendo em conta o artigo 294.º, n.º 3, do Tratado sobre o Funcionamento da União Europeia,</w:t>
      </w:r>
    </w:p>
    <w:p w14:paraId="540B6A81" w14:textId="77777777" w:rsidR="007F29A1" w:rsidRPr="00860FE1" w:rsidRDefault="006766CE" w:rsidP="007F29A1">
      <w:pPr>
        <w:pStyle w:val="NormalHanging12a"/>
      </w:pPr>
      <w:r>
        <w:t>–</w:t>
      </w:r>
      <w:r>
        <w:tab/>
        <w:t>Tendo em conta o artigo 60.º do seu Regimento,</w:t>
      </w:r>
    </w:p>
    <w:p w14:paraId="5501C3F5" w14:textId="77777777" w:rsidR="007F29A1" w:rsidRPr="00860FE1" w:rsidRDefault="006766CE" w:rsidP="007F29A1">
      <w:pPr>
        <w:pStyle w:val="NormalHanging12a"/>
      </w:pPr>
      <w:r>
        <w:t>–</w:t>
      </w:r>
      <w:r>
        <w:tab/>
        <w:t>Tendo em conta o parecer da Comissão da Indústria, da Investigação e da Energia,</w:t>
      </w:r>
    </w:p>
    <w:p w14:paraId="3FC779D3" w14:textId="77777777" w:rsidR="007F29A1" w:rsidRPr="00860FE1" w:rsidRDefault="006766CE" w:rsidP="007F29A1">
      <w:pPr>
        <w:pStyle w:val="NormalHanging12a"/>
      </w:pPr>
      <w:r>
        <w:t>–</w:t>
      </w:r>
      <w:r>
        <w:tab/>
        <w:t>Tendo em conta o relatório da Comissão do Comércio Internacional (A10</w:t>
      </w:r>
      <w:r>
        <w:noBreakHyphen/>
        <w:t>0000/2025),</w:t>
      </w:r>
    </w:p>
    <w:p w14:paraId="62997C1A" w14:textId="77777777" w:rsidR="007F29A1" w:rsidRPr="00860FE1" w:rsidRDefault="006766CE" w:rsidP="007F29A1">
      <w:pPr>
        <w:pStyle w:val="NormalHanging12a"/>
      </w:pPr>
      <w:r>
        <w:t>1.</w:t>
      </w:r>
      <w:r>
        <w:tab/>
        <w:t>Aprova a posição em primeira leitura que se segue;</w:t>
      </w:r>
    </w:p>
    <w:p w14:paraId="353AD33A" w14:textId="77777777" w:rsidR="007F29A1" w:rsidRDefault="006766CE" w:rsidP="007F29A1">
      <w:pPr>
        <w:pStyle w:val="NormalHanging12a"/>
      </w:pPr>
      <w:r>
        <w:t>2.</w:t>
      </w:r>
      <w:r>
        <w:tab/>
        <w:t>Requer à Comissão que lhe submeta de novo a sua proposta, se a substituir, se a alterar substancialmente ou se pretender alterá-la substancialmente;</w:t>
      </w:r>
    </w:p>
    <w:p w14:paraId="2CC6337C" w14:textId="77777777" w:rsidR="009F6C2F" w:rsidRPr="00A03DA4" w:rsidRDefault="006766CE" w:rsidP="007F29A1">
      <w:pPr>
        <w:pStyle w:val="NormalHanging12a"/>
      </w:pPr>
      <w:r>
        <w:t>3.</w:t>
      </w:r>
      <w:r>
        <w:tab/>
        <w:t>Encarrega a sua Presidente de transmitir a posição do Parlamento ao Conselho, à Comissão e aos parlamentos nacionais.</w:t>
      </w:r>
    </w:p>
    <w:p w14:paraId="4AB1E69A" w14:textId="77777777" w:rsidR="00D30DE2" w:rsidRPr="00A03DA4" w:rsidRDefault="00D30DE2" w:rsidP="00D30DE2"/>
    <w:p w14:paraId="25E87185" w14:textId="77777777" w:rsidR="007F29A1" w:rsidRPr="00860FE1" w:rsidRDefault="006766CE" w:rsidP="007F29A1">
      <w:pPr>
        <w:pStyle w:val="AmNumberTabs"/>
      </w:pPr>
      <w:r>
        <w:rPr>
          <w:rStyle w:val="HideTWBExt"/>
        </w:rPr>
        <w:t>&lt;RepeatBlock-Amend&gt;&lt;Amend&gt;</w:t>
      </w:r>
      <w:r>
        <w:t>Alteração</w:t>
      </w:r>
      <w:r>
        <w:tab/>
      </w:r>
      <w:r>
        <w:tab/>
      </w:r>
      <w:r>
        <w:rPr>
          <w:rStyle w:val="HideTWBExt"/>
        </w:rPr>
        <w:t>&lt;NumAm&gt;</w:t>
      </w:r>
      <w:r>
        <w:t>1</w:t>
      </w:r>
      <w:r>
        <w:rPr>
          <w:rStyle w:val="HideTWBExt"/>
        </w:rPr>
        <w:t>&lt;/NumAm&gt;</w:t>
      </w:r>
    </w:p>
    <w:p w14:paraId="6157D168"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010977AC" w14:textId="77777777" w:rsidR="007F29A1" w:rsidRPr="00860FE1" w:rsidRDefault="006766CE" w:rsidP="007F29A1">
      <w:pPr>
        <w:pStyle w:val="NormalBold"/>
      </w:pPr>
      <w:r>
        <w:rPr>
          <w:rStyle w:val="HideTWBExt"/>
        </w:rPr>
        <w:t>&lt;Article&gt;</w:t>
      </w:r>
      <w:r>
        <w:t>Considerando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67BFB3F" w14:textId="77777777" w:rsidTr="00B07609">
        <w:trPr>
          <w:trHeight w:val="240"/>
          <w:jc w:val="center"/>
        </w:trPr>
        <w:tc>
          <w:tcPr>
            <w:tcW w:w="9752" w:type="dxa"/>
            <w:gridSpan w:val="2"/>
          </w:tcPr>
          <w:p w14:paraId="6340C2BF" w14:textId="77777777" w:rsidR="007F29A1" w:rsidRPr="00860FE1" w:rsidRDefault="007F29A1" w:rsidP="00B07609"/>
        </w:tc>
      </w:tr>
      <w:tr w:rsidR="007327BC" w14:paraId="06671AB4" w14:textId="77777777" w:rsidTr="00B07609">
        <w:trPr>
          <w:trHeight w:val="240"/>
          <w:jc w:val="center"/>
        </w:trPr>
        <w:tc>
          <w:tcPr>
            <w:tcW w:w="4876" w:type="dxa"/>
            <w:hideMark/>
          </w:tcPr>
          <w:p w14:paraId="1D62675F" w14:textId="77777777" w:rsidR="007F29A1" w:rsidRPr="00860FE1" w:rsidRDefault="006766CE" w:rsidP="00B07609">
            <w:pPr>
              <w:pStyle w:val="AmColumnHeading"/>
            </w:pPr>
            <w:r>
              <w:t>Texto da Comissão</w:t>
            </w:r>
          </w:p>
        </w:tc>
        <w:tc>
          <w:tcPr>
            <w:tcW w:w="4876" w:type="dxa"/>
            <w:hideMark/>
          </w:tcPr>
          <w:p w14:paraId="632465ED" w14:textId="77777777" w:rsidR="007F29A1" w:rsidRPr="00860FE1" w:rsidRDefault="006766CE" w:rsidP="00B07609">
            <w:pPr>
              <w:pStyle w:val="AmColumnHeading"/>
            </w:pPr>
            <w:r>
              <w:t>Alteração</w:t>
            </w:r>
          </w:p>
        </w:tc>
      </w:tr>
      <w:tr w:rsidR="007327BC" w14:paraId="0F793620" w14:textId="77777777" w:rsidTr="00B07609">
        <w:trPr>
          <w:jc w:val="center"/>
        </w:trPr>
        <w:tc>
          <w:tcPr>
            <w:tcW w:w="4876" w:type="dxa"/>
            <w:hideMark/>
          </w:tcPr>
          <w:p w14:paraId="3C782A8E" w14:textId="77777777" w:rsidR="007F29A1" w:rsidRPr="00860FE1" w:rsidRDefault="006766CE" w:rsidP="00B07609">
            <w:pPr>
              <w:pStyle w:val="Normal6a"/>
            </w:pPr>
            <w:r>
              <w:t>(15)</w:t>
            </w:r>
            <w:r>
              <w:tab/>
              <w:t xml:space="preserve">Considerando que, no Regulamento de Execução (UE) 2019/159, o direito extracontingente foi fixado em 25 %, tendo em conta o nível dos direitos aduaneiros no setor siderúrgico noutros mercados </w:t>
            </w:r>
            <w:r>
              <w:lastRenderedPageBreak/>
              <w:t>importantes, é adequado fixar o direito pautal extracontingente a um nível de 50 %, para reduzir ao mínimo o risco de desvio dos fluxos comerciais. Este direito vem acrescentar-se a outros direitos aplicáveis às categorias do produto abrangidas pelo presente regulamento.</w:t>
            </w:r>
          </w:p>
        </w:tc>
        <w:tc>
          <w:tcPr>
            <w:tcW w:w="4876" w:type="dxa"/>
            <w:hideMark/>
          </w:tcPr>
          <w:p w14:paraId="69056825" w14:textId="77777777" w:rsidR="007F29A1" w:rsidRPr="00860FE1" w:rsidRDefault="006766CE" w:rsidP="00B07609">
            <w:pPr>
              <w:pStyle w:val="Normal6a"/>
            </w:pPr>
            <w:r>
              <w:lastRenderedPageBreak/>
              <w:t>(15)</w:t>
            </w:r>
            <w:r>
              <w:tab/>
              <w:t xml:space="preserve">Considerando que, no Regulamento de Execução (UE) 2019/159, o direito extracontingente foi fixado em 25 %, tendo em conta o nível dos direitos aduaneiros no setor siderúrgico noutros mercados </w:t>
            </w:r>
            <w:r>
              <w:lastRenderedPageBreak/>
              <w:t>importantes, é adequado fixar o direito pautal extracontingente a um nível de 50 %, para reduzir ao mínimo o risco de desvio dos fluxos comerciais</w:t>
            </w:r>
            <w:r>
              <w:rPr>
                <w:b/>
                <w:i/>
              </w:rPr>
              <w:t xml:space="preserve"> e para permitir aumentar a capacidade de produção</w:t>
            </w:r>
            <w:r>
              <w:t>. Este direito vem acrescentar-se a outros direitos aplicáveis às categorias do produto abrangidas pelo presente regulament</w:t>
            </w:r>
            <w:r>
              <w:t>o.</w:t>
            </w:r>
          </w:p>
        </w:tc>
      </w:tr>
    </w:tbl>
    <w:p w14:paraId="381E2592" w14:textId="77777777" w:rsidR="007F29A1" w:rsidRPr="00860FE1" w:rsidRDefault="006766CE" w:rsidP="007F29A1">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7941180" w14:textId="77777777" w:rsidR="007F29A1" w:rsidRPr="00860FE1" w:rsidRDefault="006766CE" w:rsidP="007F29A1">
      <w:r>
        <w:rPr>
          <w:rStyle w:val="HideTWBExt"/>
        </w:rPr>
        <w:t>&lt;/Amend&gt;</w:t>
      </w:r>
    </w:p>
    <w:p w14:paraId="067055F0" w14:textId="77777777" w:rsidR="007F29A1" w:rsidRPr="00860FE1" w:rsidRDefault="007F29A1" w:rsidP="007F29A1"/>
    <w:p w14:paraId="1E9D842C" w14:textId="77777777" w:rsidR="007F29A1" w:rsidRPr="00860FE1" w:rsidRDefault="006766CE" w:rsidP="007F29A1">
      <w:pPr>
        <w:pStyle w:val="AmNumberTabs"/>
      </w:pPr>
      <w:r>
        <w:rPr>
          <w:rStyle w:val="HideTWBExt"/>
        </w:rPr>
        <w:t>&lt;Amend&gt;</w:t>
      </w:r>
      <w:r>
        <w:t>Alteração</w:t>
      </w:r>
      <w:r>
        <w:tab/>
      </w:r>
      <w:r>
        <w:tab/>
      </w:r>
      <w:r>
        <w:rPr>
          <w:rStyle w:val="HideTWBExt"/>
        </w:rPr>
        <w:t>&lt;NumAm&gt;</w:t>
      </w:r>
      <w:r>
        <w:t>2</w:t>
      </w:r>
      <w:r>
        <w:rPr>
          <w:rStyle w:val="HideTWBExt"/>
        </w:rPr>
        <w:t>&lt;/NumAm&gt;</w:t>
      </w:r>
    </w:p>
    <w:p w14:paraId="1BE4575D"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21F85A49" w14:textId="77777777" w:rsidR="007F29A1" w:rsidRPr="00860FE1" w:rsidRDefault="006766CE" w:rsidP="007F29A1">
      <w:pPr>
        <w:pStyle w:val="NormalBold"/>
      </w:pPr>
      <w:r>
        <w:rPr>
          <w:rStyle w:val="HideTWBExt"/>
        </w:rPr>
        <w:t>&lt;Article&gt;</w:t>
      </w:r>
      <w:r>
        <w:t>Considerando 16-A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25909997" w14:textId="77777777" w:rsidTr="00B07609">
        <w:trPr>
          <w:trHeight w:val="240"/>
          <w:jc w:val="center"/>
        </w:trPr>
        <w:tc>
          <w:tcPr>
            <w:tcW w:w="9752" w:type="dxa"/>
            <w:gridSpan w:val="2"/>
          </w:tcPr>
          <w:p w14:paraId="4FAC71A5" w14:textId="77777777" w:rsidR="007F29A1" w:rsidRPr="00860FE1" w:rsidRDefault="007F29A1" w:rsidP="00B07609"/>
        </w:tc>
      </w:tr>
      <w:tr w:rsidR="007327BC" w14:paraId="37D68C0B" w14:textId="77777777" w:rsidTr="00B07609">
        <w:trPr>
          <w:trHeight w:val="240"/>
          <w:jc w:val="center"/>
        </w:trPr>
        <w:tc>
          <w:tcPr>
            <w:tcW w:w="4876" w:type="dxa"/>
            <w:hideMark/>
          </w:tcPr>
          <w:p w14:paraId="3760F6BF" w14:textId="77777777" w:rsidR="007F29A1" w:rsidRPr="00860FE1" w:rsidRDefault="006766CE" w:rsidP="00B07609">
            <w:pPr>
              <w:pStyle w:val="AmColumnHeading"/>
            </w:pPr>
            <w:r>
              <w:t>Texto da Comissão</w:t>
            </w:r>
          </w:p>
        </w:tc>
        <w:tc>
          <w:tcPr>
            <w:tcW w:w="4876" w:type="dxa"/>
            <w:hideMark/>
          </w:tcPr>
          <w:p w14:paraId="1DE6BC67" w14:textId="77777777" w:rsidR="007F29A1" w:rsidRPr="00860FE1" w:rsidRDefault="006766CE" w:rsidP="00B07609">
            <w:pPr>
              <w:pStyle w:val="AmColumnHeading"/>
            </w:pPr>
            <w:r>
              <w:t>Alteração</w:t>
            </w:r>
          </w:p>
        </w:tc>
      </w:tr>
      <w:tr w:rsidR="007327BC" w14:paraId="19B52CF4" w14:textId="77777777" w:rsidTr="00B07609">
        <w:trPr>
          <w:jc w:val="center"/>
        </w:trPr>
        <w:tc>
          <w:tcPr>
            <w:tcW w:w="4876" w:type="dxa"/>
          </w:tcPr>
          <w:p w14:paraId="3CC7468E" w14:textId="77777777" w:rsidR="007F29A1" w:rsidRPr="00860FE1" w:rsidRDefault="007F29A1" w:rsidP="00B07609">
            <w:pPr>
              <w:pStyle w:val="Normal6a"/>
            </w:pPr>
          </w:p>
        </w:tc>
        <w:tc>
          <w:tcPr>
            <w:tcW w:w="4876" w:type="dxa"/>
            <w:hideMark/>
          </w:tcPr>
          <w:p w14:paraId="43EA9725" w14:textId="77777777" w:rsidR="007F29A1" w:rsidRPr="00860FE1" w:rsidRDefault="006766CE" w:rsidP="00B07609">
            <w:pPr>
              <w:pStyle w:val="Normal6a"/>
            </w:pPr>
            <w:r>
              <w:rPr>
                <w:b/>
                <w:i/>
              </w:rPr>
              <w:t>(16-A)</w:t>
            </w:r>
            <w:r>
              <w:tab/>
            </w:r>
            <w:r>
              <w:rPr>
                <w:b/>
                <w:i/>
              </w:rPr>
              <w:t xml:space="preserve">O presente regulamento deve ser aplicado em plena </w:t>
            </w:r>
            <w:r>
              <w:rPr>
                <w:b/>
                <w:i/>
              </w:rPr>
              <w:t>conformidade com as obrigações da União no âmbito da OMC. A medida visa combater as distorções comerciais provocadas pela sobrecapacidade mundial e deve ser entendida como um instrumento para restabelecer as condições para um comércio mais aberto e baseado em regras no futuro. O objetivo a longo prazo da União é permitir que esse instrumento facilite uma maior liberalização assim que as condições do mercado sejam normalizadas.</w:t>
            </w:r>
          </w:p>
        </w:tc>
      </w:tr>
    </w:tbl>
    <w:p w14:paraId="568A3D31"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05A759E" w14:textId="77777777" w:rsidR="007F29A1" w:rsidRPr="00860FE1" w:rsidRDefault="006766CE" w:rsidP="007F29A1">
      <w:r>
        <w:rPr>
          <w:rStyle w:val="HideTWBExt"/>
        </w:rPr>
        <w:t>&lt;/Amend&gt;</w:t>
      </w:r>
    </w:p>
    <w:p w14:paraId="795EE8B1" w14:textId="77777777" w:rsidR="007F29A1" w:rsidRPr="00860FE1" w:rsidRDefault="007F29A1" w:rsidP="007F29A1"/>
    <w:p w14:paraId="4911B447" w14:textId="77777777" w:rsidR="007F29A1" w:rsidRPr="00860FE1" w:rsidRDefault="006766CE" w:rsidP="007F29A1">
      <w:pPr>
        <w:pStyle w:val="AmNumberTabs"/>
      </w:pPr>
      <w:r>
        <w:rPr>
          <w:rStyle w:val="HideTWBExt"/>
        </w:rPr>
        <w:t>&lt;Amend&gt;</w:t>
      </w:r>
      <w:r>
        <w:t>Alteração</w:t>
      </w:r>
      <w:r>
        <w:tab/>
      </w:r>
      <w:r>
        <w:tab/>
      </w:r>
      <w:r>
        <w:rPr>
          <w:rStyle w:val="HideTWBExt"/>
        </w:rPr>
        <w:t>&lt;NumAm&gt;</w:t>
      </w:r>
      <w:r>
        <w:t>3</w:t>
      </w:r>
      <w:r>
        <w:rPr>
          <w:rStyle w:val="HideTWBExt"/>
        </w:rPr>
        <w:t>&lt;/NumAm&gt;</w:t>
      </w:r>
    </w:p>
    <w:p w14:paraId="473DE9E0"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2D42074D" w14:textId="77777777" w:rsidR="007F29A1" w:rsidRPr="00860FE1" w:rsidRDefault="006766CE" w:rsidP="007F29A1">
      <w:pPr>
        <w:pStyle w:val="NormalBold"/>
      </w:pPr>
      <w:r>
        <w:rPr>
          <w:rStyle w:val="HideTWBExt"/>
        </w:rPr>
        <w:t>&lt;Article&gt;</w:t>
      </w:r>
      <w:r>
        <w:t>Considerando 20-A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0DF9AA12" w14:textId="77777777" w:rsidTr="00B07609">
        <w:trPr>
          <w:trHeight w:val="240"/>
          <w:jc w:val="center"/>
        </w:trPr>
        <w:tc>
          <w:tcPr>
            <w:tcW w:w="9752" w:type="dxa"/>
            <w:gridSpan w:val="2"/>
          </w:tcPr>
          <w:p w14:paraId="591ECF0A" w14:textId="77777777" w:rsidR="007F29A1" w:rsidRPr="00860FE1" w:rsidRDefault="007F29A1" w:rsidP="00B07609"/>
        </w:tc>
      </w:tr>
      <w:tr w:rsidR="007327BC" w14:paraId="1C46420F" w14:textId="77777777" w:rsidTr="00B07609">
        <w:trPr>
          <w:trHeight w:val="240"/>
          <w:jc w:val="center"/>
        </w:trPr>
        <w:tc>
          <w:tcPr>
            <w:tcW w:w="4876" w:type="dxa"/>
            <w:hideMark/>
          </w:tcPr>
          <w:p w14:paraId="3DFE3C8C" w14:textId="77777777" w:rsidR="007F29A1" w:rsidRPr="00860FE1" w:rsidRDefault="006766CE" w:rsidP="00B07609">
            <w:pPr>
              <w:pStyle w:val="AmColumnHeading"/>
            </w:pPr>
            <w:r>
              <w:t>Texto da Comissão</w:t>
            </w:r>
          </w:p>
        </w:tc>
        <w:tc>
          <w:tcPr>
            <w:tcW w:w="4876" w:type="dxa"/>
            <w:hideMark/>
          </w:tcPr>
          <w:p w14:paraId="5D658FB0" w14:textId="77777777" w:rsidR="007F29A1" w:rsidRPr="00860FE1" w:rsidRDefault="006766CE" w:rsidP="00B07609">
            <w:pPr>
              <w:pStyle w:val="AmColumnHeading"/>
            </w:pPr>
            <w:r>
              <w:t>Alteração</w:t>
            </w:r>
          </w:p>
        </w:tc>
      </w:tr>
      <w:tr w:rsidR="007327BC" w14:paraId="1B358D13" w14:textId="77777777" w:rsidTr="00B07609">
        <w:trPr>
          <w:jc w:val="center"/>
        </w:trPr>
        <w:tc>
          <w:tcPr>
            <w:tcW w:w="4876" w:type="dxa"/>
          </w:tcPr>
          <w:p w14:paraId="4E60FB3C" w14:textId="77777777" w:rsidR="007F29A1" w:rsidRPr="00860FE1" w:rsidRDefault="007F29A1" w:rsidP="00B07609">
            <w:pPr>
              <w:pStyle w:val="Normal6a"/>
            </w:pPr>
          </w:p>
        </w:tc>
        <w:tc>
          <w:tcPr>
            <w:tcW w:w="4876" w:type="dxa"/>
            <w:hideMark/>
          </w:tcPr>
          <w:p w14:paraId="79931911" w14:textId="77777777" w:rsidR="007F29A1" w:rsidRPr="00860FE1" w:rsidRDefault="006766CE" w:rsidP="00B07609">
            <w:pPr>
              <w:pStyle w:val="Normal6a"/>
            </w:pPr>
            <w:r>
              <w:rPr>
                <w:b/>
                <w:i/>
              </w:rPr>
              <w:t>(20-A)</w:t>
            </w:r>
            <w:r>
              <w:tab/>
            </w:r>
            <w:r>
              <w:rPr>
                <w:b/>
                <w:i/>
              </w:rPr>
              <w:t xml:space="preserve">A fim de assegurar a continuidade e evitar perturbações do aprovisionamento, deve ser permitida a </w:t>
            </w:r>
            <w:r>
              <w:rPr>
                <w:b/>
                <w:i/>
              </w:rPr>
              <w:t>transferência dos volumes dos contingentes pautais não utilizados num trimestre para o trimestre seguinte, o que garantirá a flexibilidade operacional necessária, mantendo simultaneamente a eficácia global da medida.</w:t>
            </w:r>
          </w:p>
        </w:tc>
      </w:tr>
    </w:tbl>
    <w:p w14:paraId="7071DAF4"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AE9C6AA" w14:textId="77777777" w:rsidR="007F29A1" w:rsidRPr="00860FE1" w:rsidRDefault="006766CE" w:rsidP="007F29A1">
      <w:r>
        <w:rPr>
          <w:rStyle w:val="HideTWBExt"/>
        </w:rPr>
        <w:t>&lt;/Amend&gt;</w:t>
      </w:r>
    </w:p>
    <w:p w14:paraId="557743B2" w14:textId="77777777" w:rsidR="007F29A1" w:rsidRPr="00860FE1" w:rsidRDefault="007F29A1" w:rsidP="007F29A1"/>
    <w:p w14:paraId="5B6CD8A2" w14:textId="77777777" w:rsidR="007F29A1" w:rsidRPr="00860FE1" w:rsidRDefault="006766CE" w:rsidP="007F29A1">
      <w:pPr>
        <w:pStyle w:val="AmNumberTabs"/>
      </w:pPr>
      <w:r>
        <w:rPr>
          <w:rStyle w:val="HideTWBExt"/>
        </w:rPr>
        <w:t>&lt;Amend&gt;</w:t>
      </w:r>
      <w:r>
        <w:t>Alteração</w:t>
      </w:r>
      <w:r>
        <w:tab/>
      </w:r>
      <w:r>
        <w:tab/>
      </w:r>
      <w:r>
        <w:rPr>
          <w:rStyle w:val="HideTWBExt"/>
        </w:rPr>
        <w:t>&lt;NumAm&gt;</w:t>
      </w:r>
      <w:r>
        <w:t>4</w:t>
      </w:r>
      <w:r>
        <w:rPr>
          <w:rStyle w:val="HideTWBExt"/>
        </w:rPr>
        <w:t>&lt;/NumAm&gt;</w:t>
      </w:r>
    </w:p>
    <w:p w14:paraId="79BF97F0"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4634D144" w14:textId="77777777" w:rsidR="007F29A1" w:rsidRPr="00860FE1" w:rsidRDefault="006766CE" w:rsidP="007F29A1">
      <w:pPr>
        <w:pStyle w:val="NormalBold"/>
      </w:pPr>
      <w:r>
        <w:rPr>
          <w:rStyle w:val="HideTWBExt"/>
        </w:rPr>
        <w:t>&lt;Article&gt;</w:t>
      </w:r>
      <w:r>
        <w:t>Considerando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6B1D5D07" w14:textId="77777777" w:rsidTr="00B07609">
        <w:trPr>
          <w:trHeight w:val="240"/>
          <w:jc w:val="center"/>
        </w:trPr>
        <w:tc>
          <w:tcPr>
            <w:tcW w:w="9752" w:type="dxa"/>
            <w:gridSpan w:val="2"/>
          </w:tcPr>
          <w:p w14:paraId="734CF9F0" w14:textId="77777777" w:rsidR="007F29A1" w:rsidRPr="00860FE1" w:rsidRDefault="007F29A1" w:rsidP="00B07609"/>
        </w:tc>
      </w:tr>
      <w:tr w:rsidR="007327BC" w14:paraId="294DF3A4" w14:textId="77777777" w:rsidTr="00B07609">
        <w:trPr>
          <w:trHeight w:val="240"/>
          <w:jc w:val="center"/>
        </w:trPr>
        <w:tc>
          <w:tcPr>
            <w:tcW w:w="4876" w:type="dxa"/>
            <w:hideMark/>
          </w:tcPr>
          <w:p w14:paraId="6086C4A9" w14:textId="77777777" w:rsidR="007F29A1" w:rsidRPr="00860FE1" w:rsidRDefault="006766CE" w:rsidP="00B07609">
            <w:pPr>
              <w:pStyle w:val="AmColumnHeading"/>
            </w:pPr>
            <w:r>
              <w:t>Texto da Comissão</w:t>
            </w:r>
          </w:p>
        </w:tc>
        <w:tc>
          <w:tcPr>
            <w:tcW w:w="4876" w:type="dxa"/>
            <w:hideMark/>
          </w:tcPr>
          <w:p w14:paraId="2D336F9F" w14:textId="77777777" w:rsidR="007F29A1" w:rsidRPr="00860FE1" w:rsidRDefault="006766CE" w:rsidP="00B07609">
            <w:pPr>
              <w:pStyle w:val="AmColumnHeading"/>
            </w:pPr>
            <w:r>
              <w:t>Alteração</w:t>
            </w:r>
          </w:p>
        </w:tc>
      </w:tr>
      <w:tr w:rsidR="007327BC" w14:paraId="11875B88" w14:textId="77777777" w:rsidTr="00B07609">
        <w:trPr>
          <w:jc w:val="center"/>
        </w:trPr>
        <w:tc>
          <w:tcPr>
            <w:tcW w:w="4876" w:type="dxa"/>
            <w:hideMark/>
          </w:tcPr>
          <w:p w14:paraId="2E889BFE" w14:textId="77777777" w:rsidR="007F29A1" w:rsidRPr="00860FE1" w:rsidRDefault="006766CE" w:rsidP="00B07609">
            <w:pPr>
              <w:pStyle w:val="Normal6a"/>
            </w:pPr>
            <w:r>
              <w:t>(21)</w:t>
            </w:r>
            <w:r>
              <w:tab/>
              <w:t xml:space="preserve">A fim de assegurar que a medida é eficaz para combater os efeitos da sobrecapacidade a nível </w:t>
            </w:r>
            <w:r>
              <w:t>mundial, e tendo em conta as especificidades dos produtos siderúrgicos e das modernas técnicas de produção e aprovisionamento, é importante identificar o país de «fundição e vazamento». Entende-se por país de «fundição e vazamento» o local inicial em que o aço e o ferro em bruto são inicialmente produzidos sob forma líquida num forno de fabricação de aço ou de ferro e subsequentemente vazados no seu estado sólido primário. Este estado sólido primário pode consistir quer num produto semiacabado, como brames,</w:t>
            </w:r>
            <w:r>
              <w:t xml:space="preserve"> biletes ou lingotes, entre outros, ou num produto acabado de aço. Exigir a apresentação de elementos comprovativos do país de «fundição e vazamento» evitará que o aço produzido em determinados países que contribuem para a sobrecapacidade a nível mundial entre indevidamente no mercado da União na sequência de uma transformação posterior noutros países e aumentará a transparência na cadeia de aprovisionamento interna no que se refere </w:t>
            </w:r>
            <w:r>
              <w:lastRenderedPageBreak/>
              <w:t>às importações de aço.</w:t>
            </w:r>
          </w:p>
        </w:tc>
        <w:tc>
          <w:tcPr>
            <w:tcW w:w="4876" w:type="dxa"/>
            <w:hideMark/>
          </w:tcPr>
          <w:p w14:paraId="49D528B4" w14:textId="77777777" w:rsidR="007F29A1" w:rsidRPr="00860FE1" w:rsidRDefault="006766CE" w:rsidP="00B07609">
            <w:pPr>
              <w:pStyle w:val="Normal6a"/>
            </w:pPr>
            <w:r>
              <w:lastRenderedPageBreak/>
              <w:t>(21)</w:t>
            </w:r>
            <w:r>
              <w:tab/>
              <w:t>A fim de assegurar que a medida é eficaz para combater os efeitos da sobrecapacidade a nível mundial, e tendo em conta as especificidades dos produtos siderúrgicos e das modernas técnicas de produção e aprovisionamento, é importante identificar o país de «fundição e vazamento». Entende-se por país de «fundição e vazamento» o local inicial em que o aço e o ferro em bruto são inicialmente produzidos sob forma líquida num forno de fabricação de aço ou de ferro e subsequentemente vazados no seu estado sólido p</w:t>
            </w:r>
            <w:r>
              <w:t>rimário. Este estado sólido primário pode consistir quer num produto semiacabado, como brames, biletes ou lingotes, entre outros, ou num produto acabado de aço. Exigir a apresentação de elementos comprovativos do país de «fundição e vazamento» evitará que o aço produzido em determinados países que contribuem para a sobrecapacidade a nível mundial entre indevidamente no mercado da União na sequência de uma transformação posterior noutros países e aumentará a transparência na cadeia de aprovisionamento intern</w:t>
            </w:r>
            <w:r>
              <w:t xml:space="preserve">a no que se refere </w:t>
            </w:r>
            <w:r>
              <w:lastRenderedPageBreak/>
              <w:t xml:space="preserve">às importações de aço. </w:t>
            </w:r>
            <w:r>
              <w:rPr>
                <w:b/>
                <w:i/>
              </w:rPr>
              <w:t>Esse pedido de elementos comprovativos deve ser efetuado de forma a limitar, tanto quanto possível, os encargos administrativos e a facilitar o cumprimento das normas por parte das pequenas e médias empresas (PME).</w:t>
            </w:r>
          </w:p>
        </w:tc>
      </w:tr>
    </w:tbl>
    <w:p w14:paraId="10CF3797" w14:textId="77777777" w:rsidR="007F29A1" w:rsidRPr="00860FE1" w:rsidRDefault="006766CE" w:rsidP="007F29A1">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789464C2" w14:textId="77777777" w:rsidR="007F29A1" w:rsidRPr="00860FE1" w:rsidRDefault="006766CE" w:rsidP="007F29A1">
      <w:r>
        <w:rPr>
          <w:rStyle w:val="HideTWBExt"/>
        </w:rPr>
        <w:t>&lt;/Amend&gt;</w:t>
      </w:r>
    </w:p>
    <w:p w14:paraId="6FEA5C90" w14:textId="77777777" w:rsidR="007F29A1" w:rsidRPr="00860FE1" w:rsidRDefault="007F29A1" w:rsidP="007F29A1"/>
    <w:p w14:paraId="0CEDE458" w14:textId="77777777" w:rsidR="007F29A1" w:rsidRPr="00860FE1" w:rsidRDefault="006766CE" w:rsidP="007F29A1">
      <w:pPr>
        <w:pStyle w:val="AmNumberTabs"/>
      </w:pPr>
      <w:r>
        <w:rPr>
          <w:rStyle w:val="HideTWBExt"/>
        </w:rPr>
        <w:t>&lt;Amend&gt;</w:t>
      </w:r>
      <w:r>
        <w:t>Alteração</w:t>
      </w:r>
      <w:r>
        <w:tab/>
      </w:r>
      <w:r>
        <w:tab/>
      </w:r>
      <w:r>
        <w:rPr>
          <w:rStyle w:val="HideTWBExt"/>
        </w:rPr>
        <w:t>&lt;NumAm&gt;</w:t>
      </w:r>
      <w:r>
        <w:t>5</w:t>
      </w:r>
      <w:r>
        <w:rPr>
          <w:rStyle w:val="HideTWBExt"/>
        </w:rPr>
        <w:t>&lt;/NumAm&gt;</w:t>
      </w:r>
    </w:p>
    <w:p w14:paraId="1D5DCA54"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3227C17F" w14:textId="77777777" w:rsidR="007F29A1" w:rsidRPr="00860FE1" w:rsidRDefault="006766CE" w:rsidP="007F29A1">
      <w:pPr>
        <w:pStyle w:val="NormalBold"/>
      </w:pPr>
      <w:r>
        <w:rPr>
          <w:rStyle w:val="HideTWBExt"/>
        </w:rPr>
        <w:t>&lt;Article&gt;</w:t>
      </w:r>
      <w:r>
        <w:t>Considerando 21-A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6A67D3EC" w14:textId="77777777" w:rsidTr="00B07609">
        <w:trPr>
          <w:trHeight w:val="240"/>
          <w:jc w:val="center"/>
        </w:trPr>
        <w:tc>
          <w:tcPr>
            <w:tcW w:w="9752" w:type="dxa"/>
            <w:gridSpan w:val="2"/>
          </w:tcPr>
          <w:p w14:paraId="3A36FBD4" w14:textId="77777777" w:rsidR="007F29A1" w:rsidRPr="00860FE1" w:rsidRDefault="007F29A1" w:rsidP="00B07609"/>
        </w:tc>
      </w:tr>
      <w:tr w:rsidR="007327BC" w14:paraId="7DADB94C" w14:textId="77777777" w:rsidTr="00B07609">
        <w:trPr>
          <w:trHeight w:val="240"/>
          <w:jc w:val="center"/>
        </w:trPr>
        <w:tc>
          <w:tcPr>
            <w:tcW w:w="4876" w:type="dxa"/>
            <w:hideMark/>
          </w:tcPr>
          <w:p w14:paraId="2C39F1C2" w14:textId="77777777" w:rsidR="007F29A1" w:rsidRPr="00860FE1" w:rsidRDefault="006766CE" w:rsidP="00B07609">
            <w:pPr>
              <w:pStyle w:val="AmColumnHeading"/>
            </w:pPr>
            <w:r>
              <w:t>Texto da Comissão</w:t>
            </w:r>
          </w:p>
        </w:tc>
        <w:tc>
          <w:tcPr>
            <w:tcW w:w="4876" w:type="dxa"/>
            <w:hideMark/>
          </w:tcPr>
          <w:p w14:paraId="45FC5DF7" w14:textId="77777777" w:rsidR="007F29A1" w:rsidRPr="00860FE1" w:rsidRDefault="006766CE" w:rsidP="00B07609">
            <w:pPr>
              <w:pStyle w:val="AmColumnHeading"/>
            </w:pPr>
            <w:r>
              <w:t>Alteração</w:t>
            </w:r>
          </w:p>
        </w:tc>
      </w:tr>
      <w:tr w:rsidR="007327BC" w14:paraId="4F8FDF25" w14:textId="77777777" w:rsidTr="00B07609">
        <w:trPr>
          <w:jc w:val="center"/>
        </w:trPr>
        <w:tc>
          <w:tcPr>
            <w:tcW w:w="4876" w:type="dxa"/>
          </w:tcPr>
          <w:p w14:paraId="0CAAA062" w14:textId="77777777" w:rsidR="007F29A1" w:rsidRPr="00860FE1" w:rsidRDefault="007F29A1" w:rsidP="00B07609">
            <w:pPr>
              <w:pStyle w:val="Normal6a"/>
            </w:pPr>
          </w:p>
        </w:tc>
        <w:tc>
          <w:tcPr>
            <w:tcW w:w="4876" w:type="dxa"/>
            <w:hideMark/>
          </w:tcPr>
          <w:p w14:paraId="08D7882D" w14:textId="77777777" w:rsidR="007F29A1" w:rsidRPr="00860FE1" w:rsidRDefault="006766CE" w:rsidP="00B07609">
            <w:pPr>
              <w:pStyle w:val="Normal6a"/>
            </w:pPr>
            <w:r>
              <w:rPr>
                <w:b/>
                <w:i/>
              </w:rPr>
              <w:t>(21-A)</w:t>
            </w:r>
            <w:r>
              <w:tab/>
            </w:r>
            <w:r>
              <w:rPr>
                <w:b/>
                <w:i/>
              </w:rPr>
              <w:t>As importações de produtos nos quais tenha sido utilizado aço fundido e vazado na Federação da Rússia ou na Bielorrússia não devem poder aceder ao mercado da União, nem beneficiar de contingentes pautais. Por conseguinte, todos esses produtos devem ser automaticamente proibidos nas fronteiras externas da União.</w:t>
            </w:r>
          </w:p>
        </w:tc>
      </w:tr>
    </w:tbl>
    <w:p w14:paraId="5D705C24"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A8BB8C8" w14:textId="77777777" w:rsidR="007F29A1" w:rsidRPr="00860FE1" w:rsidRDefault="006766CE" w:rsidP="007F29A1">
      <w:r>
        <w:rPr>
          <w:rStyle w:val="HideTWBExt"/>
        </w:rPr>
        <w:t>&lt;/Amend&gt;</w:t>
      </w:r>
    </w:p>
    <w:p w14:paraId="1D3C931F" w14:textId="77777777" w:rsidR="007F29A1" w:rsidRPr="00860FE1" w:rsidRDefault="006766CE" w:rsidP="007F29A1">
      <w:pPr>
        <w:pStyle w:val="AmNumberTabs"/>
      </w:pPr>
      <w:r>
        <w:rPr>
          <w:rStyle w:val="HideTWBExt"/>
        </w:rPr>
        <w:t>&lt;Amend&gt;</w:t>
      </w:r>
      <w:r>
        <w:t>Alteração</w:t>
      </w:r>
      <w:r>
        <w:tab/>
      </w:r>
      <w:r>
        <w:tab/>
      </w:r>
      <w:r>
        <w:rPr>
          <w:rStyle w:val="HideTWBExt"/>
        </w:rPr>
        <w:t>&lt;NumAm&gt;</w:t>
      </w:r>
      <w:r>
        <w:t>6</w:t>
      </w:r>
      <w:r>
        <w:rPr>
          <w:rStyle w:val="HideTWBExt"/>
        </w:rPr>
        <w:t>&lt;/NumAm&gt;</w:t>
      </w:r>
    </w:p>
    <w:p w14:paraId="37E4C429"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5E461FB3" w14:textId="77777777" w:rsidR="007F29A1" w:rsidRPr="00860FE1" w:rsidRDefault="006766CE" w:rsidP="007F29A1">
      <w:pPr>
        <w:pStyle w:val="NormalBold"/>
      </w:pPr>
      <w:r>
        <w:rPr>
          <w:rStyle w:val="HideTWBExt"/>
        </w:rPr>
        <w:t>&lt;Article&gt;</w:t>
      </w:r>
      <w:r>
        <w:t>Considerando 25-A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ACE1E41" w14:textId="77777777" w:rsidTr="00B07609">
        <w:trPr>
          <w:trHeight w:val="240"/>
          <w:jc w:val="center"/>
        </w:trPr>
        <w:tc>
          <w:tcPr>
            <w:tcW w:w="9752" w:type="dxa"/>
            <w:gridSpan w:val="2"/>
          </w:tcPr>
          <w:p w14:paraId="433B08D1" w14:textId="77777777" w:rsidR="007F29A1" w:rsidRPr="00860FE1" w:rsidRDefault="007F29A1" w:rsidP="00B07609"/>
        </w:tc>
      </w:tr>
      <w:tr w:rsidR="007327BC" w14:paraId="13EC9AD2" w14:textId="77777777" w:rsidTr="00B07609">
        <w:trPr>
          <w:trHeight w:val="240"/>
          <w:jc w:val="center"/>
        </w:trPr>
        <w:tc>
          <w:tcPr>
            <w:tcW w:w="4876" w:type="dxa"/>
            <w:hideMark/>
          </w:tcPr>
          <w:p w14:paraId="606B85C5" w14:textId="77777777" w:rsidR="007F29A1" w:rsidRPr="00860FE1" w:rsidRDefault="006766CE" w:rsidP="00B07609">
            <w:pPr>
              <w:pStyle w:val="AmColumnHeading"/>
            </w:pPr>
            <w:r>
              <w:t>Texto da Comissão</w:t>
            </w:r>
          </w:p>
        </w:tc>
        <w:tc>
          <w:tcPr>
            <w:tcW w:w="4876" w:type="dxa"/>
            <w:hideMark/>
          </w:tcPr>
          <w:p w14:paraId="17F7AE76" w14:textId="77777777" w:rsidR="007F29A1" w:rsidRPr="00860FE1" w:rsidRDefault="006766CE" w:rsidP="00B07609">
            <w:pPr>
              <w:pStyle w:val="AmColumnHeading"/>
            </w:pPr>
            <w:r>
              <w:t>Alteração</w:t>
            </w:r>
          </w:p>
        </w:tc>
      </w:tr>
      <w:tr w:rsidR="007327BC" w14:paraId="2E2F4C29" w14:textId="77777777" w:rsidTr="00B07609">
        <w:trPr>
          <w:jc w:val="center"/>
        </w:trPr>
        <w:tc>
          <w:tcPr>
            <w:tcW w:w="4876" w:type="dxa"/>
          </w:tcPr>
          <w:p w14:paraId="76FC155F" w14:textId="77777777" w:rsidR="007F29A1" w:rsidRPr="00860FE1" w:rsidRDefault="007F29A1" w:rsidP="00B07609">
            <w:pPr>
              <w:pStyle w:val="Normal6a"/>
            </w:pPr>
          </w:p>
        </w:tc>
        <w:tc>
          <w:tcPr>
            <w:tcW w:w="4876" w:type="dxa"/>
            <w:hideMark/>
          </w:tcPr>
          <w:p w14:paraId="3FCCC85C" w14:textId="77777777" w:rsidR="007F29A1" w:rsidRPr="00860FE1" w:rsidRDefault="006766CE" w:rsidP="00B07609">
            <w:pPr>
              <w:pStyle w:val="Normal6a"/>
            </w:pPr>
            <w:r>
              <w:rPr>
                <w:b/>
                <w:i/>
              </w:rPr>
              <w:t>(25-A)</w:t>
            </w:r>
            <w:r>
              <w:tab/>
            </w:r>
            <w:r>
              <w:rPr>
                <w:b/>
                <w:i/>
              </w:rPr>
              <w:t xml:space="preserve">Em consonância com o compromisso da União de apoiar a economia da </w:t>
            </w:r>
            <w:r>
              <w:rPr>
                <w:b/>
                <w:i/>
              </w:rPr>
              <w:t>Ucrânia durante a atual guerra de agressão e com o Regulamento (UE) 2025/1153 do Parlamento Europeu e do Conselho</w:t>
            </w:r>
            <w:r>
              <w:rPr>
                <w:b/>
                <w:i/>
                <w:vertAlign w:val="superscript"/>
              </w:rPr>
              <w:t>1-A</w:t>
            </w:r>
            <w:r>
              <w:rPr>
                <w:b/>
                <w:i/>
              </w:rPr>
              <w:t xml:space="preserve">, as importações provenientes da Ucrânia devem beneficiar de uma isenção total enquanto este país </w:t>
            </w:r>
            <w:r>
              <w:rPr>
                <w:b/>
                <w:i/>
              </w:rPr>
              <w:lastRenderedPageBreak/>
              <w:t>enfrentar uma situação excecional e imediata em matéria de segurança.</w:t>
            </w:r>
          </w:p>
        </w:tc>
      </w:tr>
      <w:tr w:rsidR="007327BC" w14:paraId="03B2CE59" w14:textId="77777777" w:rsidTr="00B07609">
        <w:trPr>
          <w:jc w:val="center"/>
        </w:trPr>
        <w:tc>
          <w:tcPr>
            <w:tcW w:w="4876" w:type="dxa"/>
          </w:tcPr>
          <w:p w14:paraId="67899975" w14:textId="77777777" w:rsidR="007F29A1" w:rsidRPr="00860FE1" w:rsidRDefault="007F29A1" w:rsidP="00B07609">
            <w:pPr>
              <w:pStyle w:val="Normal6a"/>
            </w:pPr>
          </w:p>
        </w:tc>
        <w:tc>
          <w:tcPr>
            <w:tcW w:w="4876" w:type="dxa"/>
          </w:tcPr>
          <w:p w14:paraId="24D1122B" w14:textId="77777777" w:rsidR="007F29A1" w:rsidRPr="00860FE1" w:rsidRDefault="006766CE" w:rsidP="00B07609">
            <w:pPr>
              <w:pStyle w:val="Normal6a"/>
              <w:rPr>
                <w:b/>
                <w:i/>
              </w:rPr>
            </w:pPr>
            <w:r>
              <w:rPr>
                <w:b/>
                <w:i/>
              </w:rPr>
              <w:t>_________________</w:t>
            </w:r>
          </w:p>
        </w:tc>
      </w:tr>
      <w:tr w:rsidR="007327BC" w14:paraId="5E5FD3CA" w14:textId="77777777" w:rsidTr="00B07609">
        <w:trPr>
          <w:jc w:val="center"/>
        </w:trPr>
        <w:tc>
          <w:tcPr>
            <w:tcW w:w="4876" w:type="dxa"/>
          </w:tcPr>
          <w:p w14:paraId="7DA2CDD2" w14:textId="77777777" w:rsidR="007F29A1" w:rsidRPr="00B91827" w:rsidRDefault="007F29A1" w:rsidP="00B07609">
            <w:pPr>
              <w:pStyle w:val="Normal6a"/>
              <w:rPr>
                <w:b/>
                <w:bCs/>
                <w:i/>
                <w:iCs/>
              </w:rPr>
            </w:pPr>
          </w:p>
        </w:tc>
        <w:tc>
          <w:tcPr>
            <w:tcW w:w="4876" w:type="dxa"/>
          </w:tcPr>
          <w:p w14:paraId="69BEF8E8" w14:textId="77777777" w:rsidR="007F29A1" w:rsidRPr="00B91827" w:rsidRDefault="006766CE" w:rsidP="00B07609">
            <w:pPr>
              <w:pStyle w:val="Normal6a"/>
              <w:rPr>
                <w:b/>
                <w:bCs/>
                <w:i/>
                <w:iCs/>
              </w:rPr>
            </w:pPr>
            <w:r>
              <w:rPr>
                <w:b/>
                <w:i/>
                <w:vertAlign w:val="superscript"/>
              </w:rPr>
              <w:t>1-A</w:t>
            </w:r>
            <w:r>
              <w:rPr>
                <w:b/>
                <w:i/>
              </w:rPr>
              <w:t xml:space="preserve"> Regulamento (UE) 2025/1153 do Parlamento Europeu e do Conselho, de 5 de junho de 2025, que suspende determinadas disposições do Regulamento (UE) 2015/478 no que diz respeito às importações de produtos ucranianos para a União (</w:t>
            </w:r>
            <w:r>
              <w:rPr>
                <w:rStyle w:val="Emphasis"/>
                <w:b/>
              </w:rPr>
              <w:t>JO L, 2025/1153, 5.6.2025, ELI:</w:t>
            </w:r>
            <w:r>
              <w:rPr>
                <w:rStyle w:val="Emphasis"/>
                <w:b/>
              </w:rPr>
              <w:t> </w:t>
            </w:r>
            <w:hyperlink r:id="rId9" w:tgtFrame="_blank" w:tooltip="Permite aceder ao documento através do seu identificador ELI." w:history="1">
              <w:r>
                <w:rPr>
                  <w:rStyle w:val="Hyperlink"/>
                  <w:b/>
                  <w:i/>
                  <w:color w:val="auto"/>
                </w:rPr>
                <w:t>http://data.europa.eu/eli/reg/2025/1153/oj</w:t>
              </w:r>
            </w:hyperlink>
            <w:r>
              <w:rPr>
                <w:rStyle w:val="Emphasis"/>
                <w:b/>
              </w:rPr>
              <w:t>).</w:t>
            </w:r>
          </w:p>
        </w:tc>
      </w:tr>
    </w:tbl>
    <w:p w14:paraId="1D4CE1B9"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97C3AEB" w14:textId="77777777" w:rsidR="007F29A1" w:rsidRPr="00860FE1" w:rsidRDefault="006766CE" w:rsidP="007F29A1">
      <w:r>
        <w:rPr>
          <w:rStyle w:val="HideTWBExt"/>
        </w:rPr>
        <w:t>&lt;/Amend&gt;</w:t>
      </w:r>
    </w:p>
    <w:p w14:paraId="1DED1281" w14:textId="77777777" w:rsidR="007F29A1" w:rsidRPr="00860FE1" w:rsidRDefault="006766CE" w:rsidP="007F29A1">
      <w:pPr>
        <w:pStyle w:val="AmNumberTabs"/>
      </w:pPr>
      <w:r>
        <w:rPr>
          <w:rStyle w:val="HideTWBExt"/>
        </w:rPr>
        <w:t>&lt;Amend&gt;</w:t>
      </w:r>
      <w:r>
        <w:t>Alteração</w:t>
      </w:r>
      <w:r>
        <w:tab/>
      </w:r>
      <w:r>
        <w:tab/>
      </w:r>
      <w:r>
        <w:rPr>
          <w:rStyle w:val="HideTWBExt"/>
        </w:rPr>
        <w:t>&lt;NumAm&gt;</w:t>
      </w:r>
      <w:r>
        <w:t>7</w:t>
      </w:r>
      <w:r>
        <w:rPr>
          <w:rStyle w:val="HideTWBExt"/>
        </w:rPr>
        <w:t>&lt;/NumAm&gt;</w:t>
      </w:r>
    </w:p>
    <w:p w14:paraId="2AEB9D21"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2BF7D2A8" w14:textId="77777777" w:rsidR="007F29A1" w:rsidRPr="00860FE1" w:rsidRDefault="006766CE" w:rsidP="007F29A1">
      <w:pPr>
        <w:pStyle w:val="NormalBold"/>
      </w:pPr>
      <w:r>
        <w:rPr>
          <w:rStyle w:val="HideTWBExt"/>
        </w:rPr>
        <w:t>&lt;Article&gt;</w:t>
      </w:r>
      <w:r>
        <w:t>Considerando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3BD2C7F" w14:textId="77777777" w:rsidTr="00B07609">
        <w:trPr>
          <w:trHeight w:val="240"/>
          <w:jc w:val="center"/>
        </w:trPr>
        <w:tc>
          <w:tcPr>
            <w:tcW w:w="9752" w:type="dxa"/>
            <w:gridSpan w:val="2"/>
          </w:tcPr>
          <w:p w14:paraId="5D593E70" w14:textId="77777777" w:rsidR="007F29A1" w:rsidRPr="00860FE1" w:rsidRDefault="007F29A1" w:rsidP="00B07609"/>
        </w:tc>
      </w:tr>
      <w:tr w:rsidR="007327BC" w14:paraId="5A9A18FB" w14:textId="77777777" w:rsidTr="00B07609">
        <w:trPr>
          <w:trHeight w:val="240"/>
          <w:jc w:val="center"/>
        </w:trPr>
        <w:tc>
          <w:tcPr>
            <w:tcW w:w="4876" w:type="dxa"/>
            <w:hideMark/>
          </w:tcPr>
          <w:p w14:paraId="4B60EDDC" w14:textId="77777777" w:rsidR="007F29A1" w:rsidRPr="00860FE1" w:rsidRDefault="006766CE" w:rsidP="00B07609">
            <w:pPr>
              <w:pStyle w:val="AmColumnHeading"/>
            </w:pPr>
            <w:r>
              <w:t>Texto da Comissão</w:t>
            </w:r>
          </w:p>
        </w:tc>
        <w:tc>
          <w:tcPr>
            <w:tcW w:w="4876" w:type="dxa"/>
            <w:hideMark/>
          </w:tcPr>
          <w:p w14:paraId="6091F613" w14:textId="77777777" w:rsidR="007F29A1" w:rsidRPr="00860FE1" w:rsidRDefault="006766CE" w:rsidP="00B07609">
            <w:pPr>
              <w:pStyle w:val="AmColumnHeading"/>
            </w:pPr>
            <w:r>
              <w:t>Alteração</w:t>
            </w:r>
          </w:p>
        </w:tc>
      </w:tr>
      <w:tr w:rsidR="007327BC" w14:paraId="17A8759E" w14:textId="77777777" w:rsidTr="00B07609">
        <w:trPr>
          <w:jc w:val="center"/>
        </w:trPr>
        <w:tc>
          <w:tcPr>
            <w:tcW w:w="4876" w:type="dxa"/>
            <w:hideMark/>
          </w:tcPr>
          <w:p w14:paraId="64BD4C78" w14:textId="77777777" w:rsidR="007F29A1" w:rsidRPr="00860FE1" w:rsidRDefault="006766CE" w:rsidP="00B07609">
            <w:pPr>
              <w:pStyle w:val="Normal6a"/>
            </w:pPr>
            <w:r>
              <w:t>(26)</w:t>
            </w:r>
            <w:r>
              <w:tab/>
            </w:r>
            <w:r>
              <w:t xml:space="preserve">A Comissão deve avaliar, o mais tardar no prazo de </w:t>
            </w:r>
            <w:r>
              <w:rPr>
                <w:b/>
                <w:i/>
              </w:rPr>
              <w:t>2 anos</w:t>
            </w:r>
            <w:r>
              <w:t xml:space="preserve"> a contar da </w:t>
            </w:r>
            <w:r>
              <w:rPr>
                <w:b/>
                <w:i/>
              </w:rPr>
              <w:t>adoção</w:t>
            </w:r>
            <w:r>
              <w:t xml:space="preserve"> do presente regulamento, a necessidade de ajustar o âmbito dos produtos abrangidos pelo presente regulamento e, se for caso disso, ponderar a possibilidade de apresentar uma proposta legislativa para acrescentar </w:t>
            </w:r>
            <w:r>
              <w:rPr>
                <w:b/>
                <w:i/>
              </w:rPr>
              <w:t>outros</w:t>
            </w:r>
            <w:r>
              <w:t xml:space="preserve"> produtos siderúrgicos, incluindo produtos fabricados com aço ou que contenham uma quantidade significativa de aço.</w:t>
            </w:r>
          </w:p>
        </w:tc>
        <w:tc>
          <w:tcPr>
            <w:tcW w:w="4876" w:type="dxa"/>
            <w:hideMark/>
          </w:tcPr>
          <w:p w14:paraId="4D2B7807" w14:textId="77777777" w:rsidR="007F29A1" w:rsidRPr="00860FE1" w:rsidRDefault="006766CE" w:rsidP="00B07609">
            <w:pPr>
              <w:pStyle w:val="Normal6a"/>
            </w:pPr>
            <w:r>
              <w:t>(26)</w:t>
            </w:r>
            <w:r>
              <w:tab/>
              <w:t xml:space="preserve">A Comissão deve avaliar, o mais tardar no prazo de </w:t>
            </w:r>
            <w:r>
              <w:rPr>
                <w:b/>
                <w:i/>
              </w:rPr>
              <w:t>um ano</w:t>
            </w:r>
            <w:r>
              <w:t xml:space="preserve"> a contar da </w:t>
            </w:r>
            <w:r>
              <w:rPr>
                <w:b/>
                <w:i/>
              </w:rPr>
              <w:t>data de entrada em vigor</w:t>
            </w:r>
            <w:r>
              <w:t xml:space="preserve"> do presente regulamento, a necessidade de ajustar o âmbito dos produtos abrangidos pelo presente regulamento e, se for caso disso, ponderar a possibilidade de apresentar uma proposta legislativa para acrescentar </w:t>
            </w:r>
            <w:r>
              <w:rPr>
                <w:b/>
                <w:i/>
              </w:rPr>
              <w:t xml:space="preserve">ou suprimir </w:t>
            </w:r>
            <w:r>
              <w:t xml:space="preserve">produtos siderúrgicos, incluindo produtos fabricados com aço ou que contenham uma quantidade significativa de aço. </w:t>
            </w:r>
            <w:r>
              <w:rPr>
                <w:b/>
                <w:i/>
              </w:rPr>
              <w:t xml:space="preserve">A fim de garantir a eficácia do presente regulamento, é essencial, no âmbito </w:t>
            </w:r>
            <w:r>
              <w:rPr>
                <w:b/>
                <w:i/>
              </w:rPr>
              <w:t>desta avaliação, analisar cuidadosamente se os problemas que o presente regulamento procura solucionar estão mesmo a ser resolvidos e não a ser inadvertidamente transferidos para outra fase da cadeia de valor.</w:t>
            </w:r>
          </w:p>
        </w:tc>
      </w:tr>
    </w:tbl>
    <w:p w14:paraId="34B4F668"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D5DBC9D" w14:textId="77777777" w:rsidR="007F29A1" w:rsidRPr="00860FE1" w:rsidRDefault="006766CE" w:rsidP="007F29A1">
      <w:r>
        <w:rPr>
          <w:rStyle w:val="HideTWBExt"/>
        </w:rPr>
        <w:t>&lt;/Amend&gt;</w:t>
      </w:r>
    </w:p>
    <w:p w14:paraId="30199BCB" w14:textId="77777777" w:rsidR="007F29A1" w:rsidRPr="00860FE1" w:rsidRDefault="006766CE" w:rsidP="007F29A1">
      <w:pPr>
        <w:pStyle w:val="AmNumberTabs"/>
      </w:pPr>
      <w:r>
        <w:rPr>
          <w:rStyle w:val="HideTWBExt"/>
        </w:rPr>
        <w:lastRenderedPageBreak/>
        <w:t>&lt;Amend&gt;</w:t>
      </w:r>
      <w:r>
        <w:t>Alteração</w:t>
      </w:r>
      <w:r>
        <w:tab/>
      </w:r>
      <w:r>
        <w:tab/>
      </w:r>
      <w:r>
        <w:rPr>
          <w:rStyle w:val="HideTWBExt"/>
        </w:rPr>
        <w:t>&lt;NumAm&gt;</w:t>
      </w:r>
      <w:r>
        <w:t>8</w:t>
      </w:r>
      <w:r>
        <w:rPr>
          <w:rStyle w:val="HideTWBExt"/>
        </w:rPr>
        <w:t>&lt;/NumAm&gt;</w:t>
      </w:r>
    </w:p>
    <w:p w14:paraId="617A7C88"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330859AE" w14:textId="77777777" w:rsidR="007F29A1" w:rsidRPr="00860FE1" w:rsidRDefault="006766CE" w:rsidP="007F29A1">
      <w:pPr>
        <w:pStyle w:val="NormalBold"/>
      </w:pPr>
      <w:r>
        <w:rPr>
          <w:rStyle w:val="HideTWBExt"/>
        </w:rPr>
        <w:t>&lt;Article&gt;</w:t>
      </w:r>
      <w:r>
        <w:t>Considerando 26-A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5E98C171" w14:textId="77777777" w:rsidTr="00B07609">
        <w:trPr>
          <w:trHeight w:val="240"/>
          <w:jc w:val="center"/>
        </w:trPr>
        <w:tc>
          <w:tcPr>
            <w:tcW w:w="9752" w:type="dxa"/>
            <w:gridSpan w:val="2"/>
          </w:tcPr>
          <w:p w14:paraId="62652DBE" w14:textId="77777777" w:rsidR="007F29A1" w:rsidRPr="00860FE1" w:rsidRDefault="007F29A1" w:rsidP="00B07609"/>
        </w:tc>
      </w:tr>
      <w:tr w:rsidR="007327BC" w14:paraId="2E6E7951" w14:textId="77777777" w:rsidTr="00B07609">
        <w:trPr>
          <w:trHeight w:val="240"/>
          <w:jc w:val="center"/>
        </w:trPr>
        <w:tc>
          <w:tcPr>
            <w:tcW w:w="4876" w:type="dxa"/>
            <w:hideMark/>
          </w:tcPr>
          <w:p w14:paraId="2541E9B7" w14:textId="77777777" w:rsidR="007F29A1" w:rsidRPr="00860FE1" w:rsidRDefault="006766CE" w:rsidP="00B07609">
            <w:pPr>
              <w:pStyle w:val="AmColumnHeading"/>
            </w:pPr>
            <w:r>
              <w:t>Texto da Comissão</w:t>
            </w:r>
          </w:p>
        </w:tc>
        <w:tc>
          <w:tcPr>
            <w:tcW w:w="4876" w:type="dxa"/>
            <w:hideMark/>
          </w:tcPr>
          <w:p w14:paraId="6CAFC6E7" w14:textId="77777777" w:rsidR="007F29A1" w:rsidRPr="00860FE1" w:rsidRDefault="006766CE" w:rsidP="00B07609">
            <w:pPr>
              <w:pStyle w:val="AmColumnHeading"/>
            </w:pPr>
            <w:r>
              <w:t>Alteração</w:t>
            </w:r>
          </w:p>
        </w:tc>
      </w:tr>
      <w:tr w:rsidR="007327BC" w14:paraId="51888D4F" w14:textId="77777777" w:rsidTr="00B07609">
        <w:trPr>
          <w:jc w:val="center"/>
        </w:trPr>
        <w:tc>
          <w:tcPr>
            <w:tcW w:w="4876" w:type="dxa"/>
          </w:tcPr>
          <w:p w14:paraId="5F30D365" w14:textId="77777777" w:rsidR="007F29A1" w:rsidRPr="00860FE1" w:rsidRDefault="007F29A1" w:rsidP="00B07609">
            <w:pPr>
              <w:pStyle w:val="Normal6a"/>
            </w:pPr>
          </w:p>
        </w:tc>
        <w:tc>
          <w:tcPr>
            <w:tcW w:w="4876" w:type="dxa"/>
            <w:hideMark/>
          </w:tcPr>
          <w:p w14:paraId="6F2AA1A8" w14:textId="77777777" w:rsidR="007F29A1" w:rsidRPr="00860FE1" w:rsidRDefault="006766CE" w:rsidP="00B07609">
            <w:pPr>
              <w:pStyle w:val="Normal6a"/>
            </w:pPr>
            <w:r>
              <w:rPr>
                <w:b/>
                <w:i/>
              </w:rPr>
              <w:t>(26-A)</w:t>
            </w:r>
            <w:r>
              <w:tab/>
            </w:r>
            <w:r>
              <w:rPr>
                <w:b/>
                <w:i/>
              </w:rPr>
              <w:t xml:space="preserve">A Comissão deve elaborar um relatório anual sobre a execução do presente regulamento e apresentá-lo ao Parlamento Europeu e ao Conselho. Esse relatório anual deve conter, </w:t>
            </w:r>
            <w:r>
              <w:rPr>
                <w:b/>
                <w:i/>
              </w:rPr>
              <w:t>nomeadamente, informações sobre a utilização e a evolução dos contingentes, bem como sobre a categoria e o volume das importações às quais se aplica um direito de 50 %. O relatório é tornado público.</w:t>
            </w:r>
          </w:p>
        </w:tc>
      </w:tr>
    </w:tbl>
    <w:p w14:paraId="7EA20376"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86BB80F" w14:textId="77777777" w:rsidR="007F29A1" w:rsidRPr="00860FE1" w:rsidRDefault="006766CE" w:rsidP="007F29A1">
      <w:r>
        <w:rPr>
          <w:rStyle w:val="HideTWBExt"/>
        </w:rPr>
        <w:t>&lt;/Amend&gt;</w:t>
      </w:r>
    </w:p>
    <w:p w14:paraId="4780EA65" w14:textId="77777777" w:rsidR="007F29A1" w:rsidRPr="00860FE1" w:rsidRDefault="006766CE" w:rsidP="007F29A1">
      <w:pPr>
        <w:pStyle w:val="AmNumberTabs"/>
      </w:pPr>
      <w:r>
        <w:rPr>
          <w:rStyle w:val="HideTWBExt"/>
        </w:rPr>
        <w:t>&lt;Amend&gt;</w:t>
      </w:r>
      <w:r>
        <w:t>Alteração</w:t>
      </w:r>
      <w:r>
        <w:tab/>
      </w:r>
      <w:r>
        <w:tab/>
      </w:r>
      <w:r>
        <w:rPr>
          <w:rStyle w:val="HideTWBExt"/>
        </w:rPr>
        <w:t>&lt;NumAm&gt;</w:t>
      </w:r>
      <w:r>
        <w:t>9</w:t>
      </w:r>
      <w:r>
        <w:rPr>
          <w:rStyle w:val="HideTWBExt"/>
        </w:rPr>
        <w:t>&lt;/NumAm&gt;</w:t>
      </w:r>
    </w:p>
    <w:p w14:paraId="37AD0174"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031D940A" w14:textId="77777777" w:rsidR="007F29A1" w:rsidRPr="00860FE1" w:rsidRDefault="006766CE" w:rsidP="007F29A1">
      <w:pPr>
        <w:pStyle w:val="NormalBold"/>
      </w:pPr>
      <w:r>
        <w:rPr>
          <w:rStyle w:val="HideTWBExt"/>
        </w:rPr>
        <w:t>&lt;Article&gt;</w:t>
      </w:r>
      <w:r>
        <w:t>Considerando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3E20AC2B" w14:textId="77777777" w:rsidTr="00B07609">
        <w:trPr>
          <w:trHeight w:val="240"/>
          <w:jc w:val="center"/>
        </w:trPr>
        <w:tc>
          <w:tcPr>
            <w:tcW w:w="9752" w:type="dxa"/>
            <w:gridSpan w:val="2"/>
          </w:tcPr>
          <w:p w14:paraId="20C4EF65" w14:textId="77777777" w:rsidR="007F29A1" w:rsidRPr="00860FE1" w:rsidRDefault="007F29A1" w:rsidP="00B07609"/>
        </w:tc>
      </w:tr>
      <w:tr w:rsidR="007327BC" w14:paraId="45C8A5FC" w14:textId="77777777" w:rsidTr="00B07609">
        <w:trPr>
          <w:trHeight w:val="240"/>
          <w:jc w:val="center"/>
        </w:trPr>
        <w:tc>
          <w:tcPr>
            <w:tcW w:w="4876" w:type="dxa"/>
            <w:hideMark/>
          </w:tcPr>
          <w:p w14:paraId="0679BA20" w14:textId="77777777" w:rsidR="007F29A1" w:rsidRPr="00860FE1" w:rsidRDefault="006766CE" w:rsidP="00B07609">
            <w:pPr>
              <w:pStyle w:val="AmColumnHeading"/>
            </w:pPr>
            <w:r>
              <w:t>Texto da Comissão</w:t>
            </w:r>
          </w:p>
        </w:tc>
        <w:tc>
          <w:tcPr>
            <w:tcW w:w="4876" w:type="dxa"/>
            <w:hideMark/>
          </w:tcPr>
          <w:p w14:paraId="06E62290" w14:textId="77777777" w:rsidR="007F29A1" w:rsidRPr="00860FE1" w:rsidRDefault="006766CE" w:rsidP="00B07609">
            <w:pPr>
              <w:pStyle w:val="AmColumnHeading"/>
            </w:pPr>
            <w:r>
              <w:t>Alteração</w:t>
            </w:r>
          </w:p>
        </w:tc>
      </w:tr>
      <w:tr w:rsidR="007327BC" w14:paraId="7BADBFE6" w14:textId="77777777" w:rsidTr="00B07609">
        <w:trPr>
          <w:jc w:val="center"/>
        </w:trPr>
        <w:tc>
          <w:tcPr>
            <w:tcW w:w="4876" w:type="dxa"/>
            <w:hideMark/>
          </w:tcPr>
          <w:p w14:paraId="3D948CD0" w14:textId="77777777" w:rsidR="007F29A1" w:rsidRPr="00860FE1" w:rsidRDefault="006766CE" w:rsidP="00B07609">
            <w:pPr>
              <w:pStyle w:val="Normal6a"/>
            </w:pPr>
            <w:r>
              <w:t>(27)</w:t>
            </w:r>
            <w:r>
              <w:tab/>
              <w:t xml:space="preserve">Antes </w:t>
            </w:r>
            <w:r>
              <w:rPr>
                <w:b/>
                <w:i/>
              </w:rPr>
              <w:t>de 1 de julho</w:t>
            </w:r>
            <w:r>
              <w:t xml:space="preserve"> de </w:t>
            </w:r>
            <w:r>
              <w:rPr>
                <w:b/>
                <w:i/>
              </w:rPr>
              <w:t>2031</w:t>
            </w:r>
            <w:r>
              <w:t xml:space="preserve"> e, posteriormente, de </w:t>
            </w:r>
            <w:r>
              <w:rPr>
                <w:b/>
                <w:i/>
              </w:rPr>
              <w:t>cinco</w:t>
            </w:r>
            <w:r>
              <w:t xml:space="preserve"> em </w:t>
            </w:r>
            <w:r>
              <w:rPr>
                <w:b/>
                <w:i/>
              </w:rPr>
              <w:t>cinco</w:t>
            </w:r>
            <w:r>
              <w:t xml:space="preserve"> anos, a Comissão deve avaliar a evolução dos principais parâmetros que justificaram a adoção do presente regulamento, incluindo a evolução e as tendências da sobrecapacidade a nível mundial, assim como os seus efeitos no mercado do aço. A Comissão deve igualmente rever a situação das medidas restritivas do comércio de produtos siderúrgicos adotadas por países terceiros e as implicações e os efeitos que têm, ou são suscetíveis de ter, em termos de risco de desvio dos fluxos comerciais para o mercado da Uniã</w:t>
            </w:r>
            <w:r>
              <w:t xml:space="preserve">o. A Comissão deve ainda analisar a situação relativa à existência de políticas e práticas que não respeitam o mercado em países terceiros e o seu impacto no mercado siderúrgico da </w:t>
            </w:r>
            <w:r>
              <w:lastRenderedPageBreak/>
              <w:t>União. A Comissão deve também avaliar a evolução dos resultados económicos da indústria siderúrgica da União, bem como a evolução dos seus projetos de descarbonização,</w:t>
            </w:r>
          </w:p>
        </w:tc>
        <w:tc>
          <w:tcPr>
            <w:tcW w:w="4876" w:type="dxa"/>
            <w:hideMark/>
          </w:tcPr>
          <w:p w14:paraId="06EAE05B" w14:textId="77777777" w:rsidR="007F29A1" w:rsidRPr="00860FE1" w:rsidRDefault="006766CE" w:rsidP="00B07609">
            <w:pPr>
              <w:pStyle w:val="Normal6a"/>
            </w:pPr>
            <w:r>
              <w:lastRenderedPageBreak/>
              <w:t>(27)</w:t>
            </w:r>
            <w:r>
              <w:tab/>
              <w:t xml:space="preserve">Antes </w:t>
            </w:r>
            <w:r>
              <w:rPr>
                <w:b/>
                <w:i/>
              </w:rPr>
              <w:t>do final do segundo ano a contar da data</w:t>
            </w:r>
            <w:r>
              <w:t xml:space="preserve"> de </w:t>
            </w:r>
            <w:r>
              <w:rPr>
                <w:b/>
                <w:i/>
              </w:rPr>
              <w:t>entrada em vigor do presente regulamento</w:t>
            </w:r>
            <w:r>
              <w:t xml:space="preserve"> e, posteriormente, de </w:t>
            </w:r>
            <w:r>
              <w:rPr>
                <w:b/>
                <w:i/>
              </w:rPr>
              <w:t>dois</w:t>
            </w:r>
            <w:r>
              <w:t xml:space="preserve"> em </w:t>
            </w:r>
            <w:r>
              <w:rPr>
                <w:b/>
                <w:i/>
              </w:rPr>
              <w:t>dois</w:t>
            </w:r>
            <w:r>
              <w:t xml:space="preserve"> anos, a Comissão deve avaliar a evolução dos principais parâmetros que justificaram a adoção do presente regulamento, incluindo a evolução e as tendências da sobrecapacidade a nível mundial, assim como os seus efeitos no mercado do aço</w:t>
            </w:r>
            <w:r>
              <w:rPr>
                <w:b/>
                <w:i/>
              </w:rPr>
              <w:t xml:space="preserve"> e nas cadeias de valor a jusante</w:t>
            </w:r>
            <w:r>
              <w:t>. A Comissão deve igualmente rever a situação das medidas restritivas do comércio de produtos siderúrgicos adotadas p</w:t>
            </w:r>
            <w:r>
              <w:t xml:space="preserve">or países terceiros e as implicações e os efeitos que têm, ou são suscetíveis de ter, em termos de risco de desvio dos fluxos comerciais para o mercado da União. A Comissão deve ainda analisar a situação relativa à existência de </w:t>
            </w:r>
            <w:r>
              <w:lastRenderedPageBreak/>
              <w:t>políticas e práticas que não respeitam o mercado em países terceiros e o seu impacto no mercado siderúrgico da União. A Comissão deve também avaliar a evolução dos resultados económicos da indústria siderúrgica da União</w:t>
            </w:r>
            <w:r>
              <w:rPr>
                <w:b/>
                <w:i/>
              </w:rPr>
              <w:t>, nomeadamente os níveis dos preços e a utilização das capacidad</w:t>
            </w:r>
            <w:r>
              <w:rPr>
                <w:b/>
                <w:i/>
              </w:rPr>
              <w:t>es</w:t>
            </w:r>
            <w:r>
              <w:t>, bem como a evolução dos seus projetos de descarbonização,</w:t>
            </w:r>
          </w:p>
        </w:tc>
      </w:tr>
    </w:tbl>
    <w:p w14:paraId="53A7C746" w14:textId="77777777" w:rsidR="007F29A1" w:rsidRPr="00860FE1" w:rsidRDefault="006766CE" w:rsidP="007F29A1">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694B7D9" w14:textId="77777777" w:rsidR="007F29A1" w:rsidRPr="00860FE1" w:rsidRDefault="006766CE" w:rsidP="007F29A1">
      <w:r>
        <w:rPr>
          <w:rStyle w:val="HideTWBExt"/>
        </w:rPr>
        <w:t>&lt;/Amend&gt;</w:t>
      </w:r>
    </w:p>
    <w:p w14:paraId="725DDD7D" w14:textId="77777777" w:rsidR="007F29A1" w:rsidRPr="00860FE1" w:rsidRDefault="006766CE" w:rsidP="007F29A1">
      <w:pPr>
        <w:pStyle w:val="AmNumberTabs"/>
      </w:pPr>
      <w:r>
        <w:rPr>
          <w:rStyle w:val="HideTWBExt"/>
        </w:rPr>
        <w:t>&lt;Amend&gt;</w:t>
      </w:r>
      <w:r>
        <w:t>Alteração</w:t>
      </w:r>
      <w:r>
        <w:tab/>
      </w:r>
      <w:r>
        <w:tab/>
      </w:r>
      <w:r>
        <w:rPr>
          <w:rStyle w:val="HideTWBExt"/>
        </w:rPr>
        <w:t>&lt;NumAm&gt;</w:t>
      </w:r>
      <w:r>
        <w:t>10</w:t>
      </w:r>
      <w:r>
        <w:rPr>
          <w:rStyle w:val="HideTWBExt"/>
        </w:rPr>
        <w:t>&lt;/NumAm&gt;</w:t>
      </w:r>
    </w:p>
    <w:p w14:paraId="16070690"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2693896C" w14:textId="77777777" w:rsidR="007F29A1" w:rsidRPr="00860FE1" w:rsidRDefault="006766CE" w:rsidP="007F29A1">
      <w:pPr>
        <w:pStyle w:val="NormalBold"/>
      </w:pPr>
      <w:r>
        <w:rPr>
          <w:rStyle w:val="HideTWBExt"/>
        </w:rPr>
        <w:t>&lt;Article&gt;</w:t>
      </w:r>
      <w:r>
        <w:t>Artigo 1-A– parágrafo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2D5889D5" w14:textId="77777777" w:rsidTr="00B07609">
        <w:trPr>
          <w:trHeight w:val="240"/>
          <w:jc w:val="center"/>
        </w:trPr>
        <w:tc>
          <w:tcPr>
            <w:tcW w:w="9752" w:type="dxa"/>
            <w:gridSpan w:val="2"/>
          </w:tcPr>
          <w:p w14:paraId="050BB62D" w14:textId="77777777" w:rsidR="007F29A1" w:rsidRPr="00860FE1" w:rsidRDefault="007F29A1" w:rsidP="00B07609"/>
        </w:tc>
      </w:tr>
      <w:tr w:rsidR="007327BC" w14:paraId="5054D280" w14:textId="77777777" w:rsidTr="00B07609">
        <w:trPr>
          <w:trHeight w:val="240"/>
          <w:jc w:val="center"/>
        </w:trPr>
        <w:tc>
          <w:tcPr>
            <w:tcW w:w="4876" w:type="dxa"/>
            <w:hideMark/>
          </w:tcPr>
          <w:p w14:paraId="38AC6DAC" w14:textId="77777777" w:rsidR="007F29A1" w:rsidRPr="00860FE1" w:rsidRDefault="006766CE" w:rsidP="00B07609">
            <w:pPr>
              <w:pStyle w:val="AmColumnHeading"/>
            </w:pPr>
            <w:r>
              <w:t>Texto da Comissão</w:t>
            </w:r>
          </w:p>
        </w:tc>
        <w:tc>
          <w:tcPr>
            <w:tcW w:w="4876" w:type="dxa"/>
            <w:hideMark/>
          </w:tcPr>
          <w:p w14:paraId="49F8294A" w14:textId="77777777" w:rsidR="007F29A1" w:rsidRPr="00860FE1" w:rsidRDefault="006766CE" w:rsidP="00B07609">
            <w:pPr>
              <w:pStyle w:val="AmColumnHeading"/>
            </w:pPr>
            <w:r>
              <w:t>Alteração</w:t>
            </w:r>
          </w:p>
        </w:tc>
      </w:tr>
      <w:tr w:rsidR="007327BC" w14:paraId="7477777E" w14:textId="77777777" w:rsidTr="00B07609">
        <w:trPr>
          <w:jc w:val="center"/>
        </w:trPr>
        <w:tc>
          <w:tcPr>
            <w:tcW w:w="4876" w:type="dxa"/>
            <w:hideMark/>
          </w:tcPr>
          <w:p w14:paraId="611C5170" w14:textId="77777777" w:rsidR="007F29A1" w:rsidRPr="00860FE1" w:rsidRDefault="006766CE" w:rsidP="00B07609">
            <w:pPr>
              <w:pStyle w:val="Normal6a"/>
            </w:pPr>
            <w:r>
              <w:t>O artigo 1.º não se aplica aos produtos originários da Noruega, da Islândia ou do Listenstaine.</w:t>
            </w:r>
          </w:p>
        </w:tc>
        <w:tc>
          <w:tcPr>
            <w:tcW w:w="4876" w:type="dxa"/>
            <w:hideMark/>
          </w:tcPr>
          <w:p w14:paraId="166D26D5" w14:textId="77777777" w:rsidR="007F29A1" w:rsidRPr="00860FE1" w:rsidRDefault="006766CE" w:rsidP="00B07609">
            <w:pPr>
              <w:pStyle w:val="Normal6a"/>
            </w:pPr>
            <w:r>
              <w:t xml:space="preserve">O artigo 1.º não se aplica aos </w:t>
            </w:r>
            <w:r>
              <w:t>produtos originários da Noruega, da Islândia ou do Listenstaine</w:t>
            </w:r>
            <w:r>
              <w:rPr>
                <w:b/>
                <w:i/>
              </w:rPr>
              <w:t>, nem a um país candidato enquanto esse país enfrentar uma situação de segurança excecional e imediata em matéria de segurança</w:t>
            </w:r>
            <w:r>
              <w:t>.</w:t>
            </w:r>
          </w:p>
        </w:tc>
      </w:tr>
    </w:tbl>
    <w:p w14:paraId="26300CDE"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C6A704D" w14:textId="77777777" w:rsidR="007F29A1" w:rsidRPr="00860FE1" w:rsidRDefault="006766CE" w:rsidP="007F29A1">
      <w:r>
        <w:rPr>
          <w:rStyle w:val="HideTWBExt"/>
        </w:rPr>
        <w:t>&lt;/Amend&gt;</w:t>
      </w:r>
    </w:p>
    <w:p w14:paraId="3A62F0AC" w14:textId="77777777" w:rsidR="007F29A1" w:rsidRPr="00860FE1" w:rsidRDefault="006766CE" w:rsidP="007F29A1">
      <w:pPr>
        <w:pStyle w:val="AmNumberTabs"/>
      </w:pPr>
      <w:r>
        <w:rPr>
          <w:rStyle w:val="HideTWBExt"/>
        </w:rPr>
        <w:t>&lt;Amend&gt;</w:t>
      </w:r>
      <w:r>
        <w:t>Alteração</w:t>
      </w:r>
      <w:r>
        <w:tab/>
      </w:r>
      <w:r>
        <w:tab/>
      </w:r>
      <w:r>
        <w:rPr>
          <w:rStyle w:val="HideTWBExt"/>
        </w:rPr>
        <w:t>&lt;NumAm&gt;</w:t>
      </w:r>
      <w:r>
        <w:t>11</w:t>
      </w:r>
      <w:r>
        <w:rPr>
          <w:rStyle w:val="HideTWBExt"/>
        </w:rPr>
        <w:t>&lt;/NumAm&gt;</w:t>
      </w:r>
    </w:p>
    <w:p w14:paraId="00B7C0E4"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246FAC78" w14:textId="77777777" w:rsidR="007F29A1" w:rsidRPr="00860FE1" w:rsidRDefault="006766CE" w:rsidP="007F29A1">
      <w:pPr>
        <w:pStyle w:val="NormalBold"/>
      </w:pPr>
      <w:r>
        <w:rPr>
          <w:rStyle w:val="HideTWBExt"/>
        </w:rPr>
        <w:t>&lt;Article&gt;</w:t>
      </w:r>
      <w:r>
        <w:t>Artigo 2 – n.º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6585A6F3" w14:textId="77777777" w:rsidTr="00B07609">
        <w:trPr>
          <w:trHeight w:val="240"/>
          <w:jc w:val="center"/>
        </w:trPr>
        <w:tc>
          <w:tcPr>
            <w:tcW w:w="9752" w:type="dxa"/>
            <w:gridSpan w:val="2"/>
          </w:tcPr>
          <w:p w14:paraId="6B382F90" w14:textId="77777777" w:rsidR="007F29A1" w:rsidRPr="00860FE1" w:rsidRDefault="007F29A1" w:rsidP="00B07609"/>
        </w:tc>
      </w:tr>
      <w:tr w:rsidR="007327BC" w14:paraId="5CDB7C9A" w14:textId="77777777" w:rsidTr="00B07609">
        <w:trPr>
          <w:trHeight w:val="240"/>
          <w:jc w:val="center"/>
        </w:trPr>
        <w:tc>
          <w:tcPr>
            <w:tcW w:w="4876" w:type="dxa"/>
            <w:hideMark/>
          </w:tcPr>
          <w:p w14:paraId="5362B5A2" w14:textId="77777777" w:rsidR="007F29A1" w:rsidRPr="00860FE1" w:rsidRDefault="006766CE" w:rsidP="00B07609">
            <w:pPr>
              <w:pStyle w:val="AmColumnHeading"/>
            </w:pPr>
            <w:r>
              <w:t>Texto da Comissão</w:t>
            </w:r>
          </w:p>
        </w:tc>
        <w:tc>
          <w:tcPr>
            <w:tcW w:w="4876" w:type="dxa"/>
            <w:hideMark/>
          </w:tcPr>
          <w:p w14:paraId="0CDEDD46" w14:textId="77777777" w:rsidR="007F29A1" w:rsidRPr="00860FE1" w:rsidRDefault="006766CE" w:rsidP="00B07609">
            <w:pPr>
              <w:pStyle w:val="AmColumnHeading"/>
            </w:pPr>
            <w:r>
              <w:t>Alteração</w:t>
            </w:r>
          </w:p>
        </w:tc>
      </w:tr>
      <w:tr w:rsidR="007327BC" w14:paraId="6EA72481" w14:textId="77777777" w:rsidTr="00B07609">
        <w:trPr>
          <w:jc w:val="center"/>
        </w:trPr>
        <w:tc>
          <w:tcPr>
            <w:tcW w:w="4876" w:type="dxa"/>
            <w:hideMark/>
          </w:tcPr>
          <w:p w14:paraId="6B48064C" w14:textId="77777777" w:rsidR="007F29A1" w:rsidRPr="00860FE1" w:rsidRDefault="006766CE" w:rsidP="00B07609">
            <w:pPr>
              <w:pStyle w:val="Normal6a"/>
            </w:pPr>
            <w:r>
              <w:t>4.</w:t>
            </w:r>
            <w:r>
              <w:tab/>
            </w:r>
            <w:r>
              <w:t xml:space="preserve">Os volumes dos contingentes pautais não utilizados num trimestre </w:t>
            </w:r>
            <w:r>
              <w:rPr>
                <w:b/>
                <w:i/>
              </w:rPr>
              <w:t xml:space="preserve">não </w:t>
            </w:r>
            <w:r>
              <w:t>podem ser transferidos para o trimestre seguinte.</w:t>
            </w:r>
          </w:p>
        </w:tc>
        <w:tc>
          <w:tcPr>
            <w:tcW w:w="4876" w:type="dxa"/>
            <w:hideMark/>
          </w:tcPr>
          <w:p w14:paraId="45267018" w14:textId="77777777" w:rsidR="007F29A1" w:rsidRPr="00860FE1" w:rsidRDefault="006766CE" w:rsidP="00B07609">
            <w:pPr>
              <w:pStyle w:val="Normal6a"/>
            </w:pPr>
            <w:r>
              <w:t>4.</w:t>
            </w:r>
            <w:r>
              <w:tab/>
              <w:t>Os volumes dos contingentes pautais não utilizados num trimestre podem ser transferidos para o trimestre seguinte.</w:t>
            </w:r>
          </w:p>
        </w:tc>
      </w:tr>
    </w:tbl>
    <w:p w14:paraId="1D305643"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26A034E" w14:textId="77777777" w:rsidR="007F29A1" w:rsidRPr="00860FE1" w:rsidRDefault="006766CE" w:rsidP="007F29A1">
      <w:r>
        <w:rPr>
          <w:rStyle w:val="HideTWBExt"/>
        </w:rPr>
        <w:t>&lt;/Amend&gt;</w:t>
      </w:r>
    </w:p>
    <w:p w14:paraId="180DC5AB" w14:textId="77777777" w:rsidR="007F29A1" w:rsidRPr="00860FE1" w:rsidRDefault="006766CE" w:rsidP="007F29A1">
      <w:pPr>
        <w:pStyle w:val="AmNumberTabs"/>
      </w:pPr>
      <w:r>
        <w:rPr>
          <w:rStyle w:val="HideTWBExt"/>
        </w:rPr>
        <w:lastRenderedPageBreak/>
        <w:t>&lt;Amend&gt;</w:t>
      </w:r>
      <w:r>
        <w:t>Alteração</w:t>
      </w:r>
      <w:r>
        <w:tab/>
      </w:r>
      <w:r>
        <w:tab/>
      </w:r>
      <w:r>
        <w:rPr>
          <w:rStyle w:val="HideTWBExt"/>
        </w:rPr>
        <w:t>&lt;NumAm&gt;</w:t>
      </w:r>
      <w:r>
        <w:t>12</w:t>
      </w:r>
      <w:r>
        <w:rPr>
          <w:rStyle w:val="HideTWBExt"/>
        </w:rPr>
        <w:t>&lt;/NumAm&gt;</w:t>
      </w:r>
    </w:p>
    <w:p w14:paraId="6364EE09"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320CC2F6" w14:textId="77777777" w:rsidR="007F29A1" w:rsidRPr="00860FE1" w:rsidRDefault="006766CE" w:rsidP="007F29A1">
      <w:pPr>
        <w:pStyle w:val="NormalBold"/>
      </w:pPr>
      <w:r>
        <w:rPr>
          <w:rStyle w:val="HideTWBExt"/>
        </w:rPr>
        <w:t>&lt;Article&gt;</w:t>
      </w:r>
      <w:r>
        <w:t>Artigo 2 – n.º 4-A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F67B423" w14:textId="77777777" w:rsidTr="00B07609">
        <w:trPr>
          <w:trHeight w:val="240"/>
          <w:jc w:val="center"/>
        </w:trPr>
        <w:tc>
          <w:tcPr>
            <w:tcW w:w="9752" w:type="dxa"/>
            <w:gridSpan w:val="2"/>
          </w:tcPr>
          <w:p w14:paraId="2EA01C3A" w14:textId="77777777" w:rsidR="007F29A1" w:rsidRPr="00860FE1" w:rsidRDefault="007F29A1" w:rsidP="00B07609"/>
        </w:tc>
      </w:tr>
      <w:tr w:rsidR="007327BC" w14:paraId="1E1D3EA7" w14:textId="77777777" w:rsidTr="00B07609">
        <w:trPr>
          <w:trHeight w:val="240"/>
          <w:jc w:val="center"/>
        </w:trPr>
        <w:tc>
          <w:tcPr>
            <w:tcW w:w="4876" w:type="dxa"/>
            <w:hideMark/>
          </w:tcPr>
          <w:p w14:paraId="58767F1A" w14:textId="77777777" w:rsidR="007F29A1" w:rsidRPr="00860FE1" w:rsidRDefault="006766CE" w:rsidP="00B07609">
            <w:pPr>
              <w:pStyle w:val="AmColumnHeading"/>
            </w:pPr>
            <w:r>
              <w:t>Texto da Comissão</w:t>
            </w:r>
          </w:p>
        </w:tc>
        <w:tc>
          <w:tcPr>
            <w:tcW w:w="4876" w:type="dxa"/>
            <w:hideMark/>
          </w:tcPr>
          <w:p w14:paraId="54F6E0DC" w14:textId="77777777" w:rsidR="007F29A1" w:rsidRPr="00860FE1" w:rsidRDefault="006766CE" w:rsidP="00B07609">
            <w:pPr>
              <w:pStyle w:val="AmColumnHeading"/>
            </w:pPr>
            <w:r>
              <w:t>Alteração</w:t>
            </w:r>
          </w:p>
        </w:tc>
      </w:tr>
      <w:tr w:rsidR="007327BC" w14:paraId="1A9E6F4A" w14:textId="77777777" w:rsidTr="00B07609">
        <w:trPr>
          <w:jc w:val="center"/>
        </w:trPr>
        <w:tc>
          <w:tcPr>
            <w:tcW w:w="4876" w:type="dxa"/>
          </w:tcPr>
          <w:p w14:paraId="62F94144" w14:textId="77777777" w:rsidR="007F29A1" w:rsidRPr="00860FE1" w:rsidRDefault="007F29A1" w:rsidP="00B07609">
            <w:pPr>
              <w:pStyle w:val="Normal6a"/>
            </w:pPr>
          </w:p>
        </w:tc>
        <w:tc>
          <w:tcPr>
            <w:tcW w:w="4876" w:type="dxa"/>
            <w:hideMark/>
          </w:tcPr>
          <w:p w14:paraId="0F49BB2D" w14:textId="77777777" w:rsidR="007F29A1" w:rsidRPr="00860FE1" w:rsidRDefault="006766CE" w:rsidP="00B07609">
            <w:pPr>
              <w:pStyle w:val="Normal6a"/>
            </w:pPr>
            <w:r>
              <w:rPr>
                <w:b/>
                <w:i/>
              </w:rPr>
              <w:t>4-A.</w:t>
            </w:r>
            <w:r>
              <w:tab/>
            </w:r>
            <w:r>
              <w:rPr>
                <w:b/>
                <w:i/>
              </w:rPr>
              <w:t xml:space="preserve">As medidas ao abrigo do presente regulamento devem ser </w:t>
            </w:r>
            <w:r>
              <w:rPr>
                <w:b/>
                <w:i/>
              </w:rPr>
              <w:t>aplicadas em conformidade com as regras da OMC e não devem restringir o comércio além do estritamente necessário para fazer face aos efeitos negativos da sobrecapacidade mundial resultante de condições de mercado desleais.</w:t>
            </w:r>
          </w:p>
        </w:tc>
      </w:tr>
    </w:tbl>
    <w:p w14:paraId="4B20175D"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92D2E71" w14:textId="77777777" w:rsidR="007F29A1" w:rsidRPr="00860FE1" w:rsidRDefault="006766CE" w:rsidP="007F29A1">
      <w:r>
        <w:rPr>
          <w:rStyle w:val="HideTWBExt"/>
        </w:rPr>
        <w:t>&lt;/Amend&gt;</w:t>
      </w:r>
    </w:p>
    <w:p w14:paraId="455B6EDB" w14:textId="77777777" w:rsidR="007F29A1" w:rsidRPr="00860FE1" w:rsidRDefault="006766CE" w:rsidP="007F29A1">
      <w:pPr>
        <w:pStyle w:val="AmNumberTabs"/>
      </w:pPr>
      <w:r>
        <w:rPr>
          <w:rStyle w:val="HideTWBExt"/>
        </w:rPr>
        <w:t>&lt;Amend&gt;</w:t>
      </w:r>
      <w:r>
        <w:t>Alteração</w:t>
      </w:r>
      <w:r>
        <w:tab/>
      </w:r>
      <w:r>
        <w:tab/>
      </w:r>
      <w:r>
        <w:rPr>
          <w:rStyle w:val="HideTWBExt"/>
        </w:rPr>
        <w:t>&lt;NumAm&gt;</w:t>
      </w:r>
      <w:r>
        <w:t>13</w:t>
      </w:r>
      <w:r>
        <w:rPr>
          <w:rStyle w:val="HideTWBExt"/>
        </w:rPr>
        <w:t>&lt;/NumAm&gt;</w:t>
      </w:r>
    </w:p>
    <w:p w14:paraId="5FB89E2D"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4898FD4A" w14:textId="77777777" w:rsidR="007F29A1" w:rsidRPr="00860FE1" w:rsidRDefault="006766CE" w:rsidP="007F29A1">
      <w:pPr>
        <w:pStyle w:val="NormalBold"/>
      </w:pPr>
      <w:r>
        <w:rPr>
          <w:rStyle w:val="HideTWBExt"/>
        </w:rPr>
        <w:t>&lt;Article&gt;</w:t>
      </w:r>
      <w:r>
        <w:t>Artigo 3 – n.º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342099E0" w14:textId="77777777" w:rsidTr="00B07609">
        <w:trPr>
          <w:trHeight w:val="240"/>
          <w:jc w:val="center"/>
        </w:trPr>
        <w:tc>
          <w:tcPr>
            <w:tcW w:w="9752" w:type="dxa"/>
            <w:gridSpan w:val="2"/>
          </w:tcPr>
          <w:p w14:paraId="3039CAAA" w14:textId="77777777" w:rsidR="007F29A1" w:rsidRPr="00860FE1" w:rsidRDefault="007F29A1" w:rsidP="00B07609"/>
        </w:tc>
      </w:tr>
      <w:tr w:rsidR="007327BC" w14:paraId="7D7F6490" w14:textId="77777777" w:rsidTr="00B07609">
        <w:trPr>
          <w:trHeight w:val="240"/>
          <w:jc w:val="center"/>
        </w:trPr>
        <w:tc>
          <w:tcPr>
            <w:tcW w:w="4876" w:type="dxa"/>
            <w:hideMark/>
          </w:tcPr>
          <w:p w14:paraId="61BBF01A" w14:textId="77777777" w:rsidR="007F29A1" w:rsidRPr="00860FE1" w:rsidRDefault="006766CE" w:rsidP="00B07609">
            <w:pPr>
              <w:pStyle w:val="AmColumnHeading"/>
            </w:pPr>
            <w:r>
              <w:t>Texto da Comissão</w:t>
            </w:r>
          </w:p>
        </w:tc>
        <w:tc>
          <w:tcPr>
            <w:tcW w:w="4876" w:type="dxa"/>
            <w:hideMark/>
          </w:tcPr>
          <w:p w14:paraId="01F70B76" w14:textId="77777777" w:rsidR="007F29A1" w:rsidRPr="00860FE1" w:rsidRDefault="006766CE" w:rsidP="00B07609">
            <w:pPr>
              <w:pStyle w:val="AmColumnHeading"/>
            </w:pPr>
            <w:r>
              <w:t>Alteração</w:t>
            </w:r>
          </w:p>
        </w:tc>
      </w:tr>
      <w:tr w:rsidR="007327BC" w14:paraId="3A82D356" w14:textId="77777777" w:rsidTr="00B07609">
        <w:trPr>
          <w:jc w:val="center"/>
        </w:trPr>
        <w:tc>
          <w:tcPr>
            <w:tcW w:w="4876" w:type="dxa"/>
            <w:hideMark/>
          </w:tcPr>
          <w:p w14:paraId="1B41D916" w14:textId="77777777" w:rsidR="007F29A1" w:rsidRPr="00860FE1" w:rsidRDefault="006766CE" w:rsidP="00B07609">
            <w:pPr>
              <w:pStyle w:val="Normal6a"/>
            </w:pPr>
            <w:r>
              <w:t>2.</w:t>
            </w:r>
            <w:r>
              <w:tab/>
              <w:t>Aquando da importação, os importadores devem apresentar elementos de prova adequados</w:t>
            </w:r>
            <w:r>
              <w:rPr>
                <w:b/>
                <w:i/>
              </w:rPr>
              <w:t xml:space="preserve">, por </w:t>
            </w:r>
            <w:r>
              <w:rPr>
                <w:b/>
                <w:i/>
              </w:rPr>
              <w:t>exemplo um certificado da aciaria que confirme</w:t>
            </w:r>
            <w:r>
              <w:t xml:space="preserve"> o país de «fundição e vazamento» do aço utilizado na produção do produto.</w:t>
            </w:r>
          </w:p>
        </w:tc>
        <w:tc>
          <w:tcPr>
            <w:tcW w:w="4876" w:type="dxa"/>
            <w:hideMark/>
          </w:tcPr>
          <w:p w14:paraId="4831D345" w14:textId="77777777" w:rsidR="007F29A1" w:rsidRPr="00860FE1" w:rsidRDefault="006766CE" w:rsidP="00B07609">
            <w:pPr>
              <w:pStyle w:val="Normal6a"/>
            </w:pPr>
            <w:r>
              <w:t>2.</w:t>
            </w:r>
            <w:r>
              <w:tab/>
              <w:t>Aquando da importação, os importadores devem apresentar elementos de prova adequados</w:t>
            </w:r>
            <w:r>
              <w:rPr>
                <w:b/>
                <w:i/>
              </w:rPr>
              <w:t xml:space="preserve"> para confirmar</w:t>
            </w:r>
            <w:r>
              <w:t xml:space="preserve"> o país de «fundição e vazamento» do aço utilizado na produção do produto.</w:t>
            </w:r>
          </w:p>
        </w:tc>
      </w:tr>
    </w:tbl>
    <w:p w14:paraId="47F258D8"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7471EB3" w14:textId="77777777" w:rsidR="007F29A1" w:rsidRPr="00860FE1" w:rsidRDefault="006766CE" w:rsidP="007F29A1">
      <w:r>
        <w:rPr>
          <w:rStyle w:val="HideTWBExt"/>
        </w:rPr>
        <w:t>&lt;/Amend&gt;</w:t>
      </w:r>
    </w:p>
    <w:p w14:paraId="3E7196C3" w14:textId="77777777" w:rsidR="007F29A1" w:rsidRPr="00860FE1" w:rsidRDefault="006766CE" w:rsidP="007F29A1">
      <w:pPr>
        <w:pStyle w:val="AmNumberTabs"/>
      </w:pPr>
      <w:r>
        <w:rPr>
          <w:rStyle w:val="HideTWBExt"/>
        </w:rPr>
        <w:t>&lt;Amend&gt;</w:t>
      </w:r>
      <w:r>
        <w:t>Alteração</w:t>
      </w:r>
      <w:r>
        <w:tab/>
      </w:r>
      <w:r>
        <w:tab/>
      </w:r>
      <w:r>
        <w:rPr>
          <w:rStyle w:val="HideTWBExt"/>
        </w:rPr>
        <w:t>&lt;NumAm&gt;</w:t>
      </w:r>
      <w:r>
        <w:t>14</w:t>
      </w:r>
      <w:r>
        <w:rPr>
          <w:rStyle w:val="HideTWBExt"/>
        </w:rPr>
        <w:t>&lt;/NumAm&gt;</w:t>
      </w:r>
    </w:p>
    <w:p w14:paraId="26B19999"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065E457F" w14:textId="77777777" w:rsidR="007F29A1" w:rsidRPr="00860FE1" w:rsidRDefault="006766CE" w:rsidP="007F29A1">
      <w:pPr>
        <w:pStyle w:val="NormalBold"/>
      </w:pPr>
      <w:r>
        <w:rPr>
          <w:rStyle w:val="HideTWBExt"/>
        </w:rPr>
        <w:t>&lt;Article&gt;</w:t>
      </w:r>
      <w:r>
        <w:t>Artigo 3 – n.º 2-A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0904721" w14:textId="77777777" w:rsidTr="00B07609">
        <w:trPr>
          <w:trHeight w:val="240"/>
          <w:jc w:val="center"/>
        </w:trPr>
        <w:tc>
          <w:tcPr>
            <w:tcW w:w="9752" w:type="dxa"/>
            <w:gridSpan w:val="2"/>
          </w:tcPr>
          <w:p w14:paraId="699CD47A" w14:textId="77777777" w:rsidR="007F29A1" w:rsidRPr="00860FE1" w:rsidRDefault="007F29A1" w:rsidP="00B07609"/>
        </w:tc>
      </w:tr>
      <w:tr w:rsidR="007327BC" w14:paraId="41C2DBB1" w14:textId="77777777" w:rsidTr="00B07609">
        <w:trPr>
          <w:trHeight w:val="240"/>
          <w:jc w:val="center"/>
        </w:trPr>
        <w:tc>
          <w:tcPr>
            <w:tcW w:w="4876" w:type="dxa"/>
            <w:hideMark/>
          </w:tcPr>
          <w:p w14:paraId="7A058BA9" w14:textId="77777777" w:rsidR="007F29A1" w:rsidRPr="00860FE1" w:rsidRDefault="006766CE" w:rsidP="00B07609">
            <w:pPr>
              <w:pStyle w:val="AmColumnHeading"/>
            </w:pPr>
            <w:r>
              <w:t>Texto da Comissão</w:t>
            </w:r>
          </w:p>
        </w:tc>
        <w:tc>
          <w:tcPr>
            <w:tcW w:w="4876" w:type="dxa"/>
            <w:hideMark/>
          </w:tcPr>
          <w:p w14:paraId="41CBC7F5" w14:textId="77777777" w:rsidR="007F29A1" w:rsidRPr="00860FE1" w:rsidRDefault="006766CE" w:rsidP="00B07609">
            <w:pPr>
              <w:pStyle w:val="AmColumnHeading"/>
            </w:pPr>
            <w:r>
              <w:t>Alteração</w:t>
            </w:r>
          </w:p>
        </w:tc>
      </w:tr>
      <w:tr w:rsidR="007327BC" w14:paraId="272BA67D" w14:textId="77777777" w:rsidTr="00B07609">
        <w:trPr>
          <w:jc w:val="center"/>
        </w:trPr>
        <w:tc>
          <w:tcPr>
            <w:tcW w:w="4876" w:type="dxa"/>
          </w:tcPr>
          <w:p w14:paraId="6B72FF66" w14:textId="77777777" w:rsidR="007F29A1" w:rsidRPr="00860FE1" w:rsidRDefault="007F29A1" w:rsidP="00B07609">
            <w:pPr>
              <w:pStyle w:val="Normal6a"/>
            </w:pPr>
          </w:p>
        </w:tc>
        <w:tc>
          <w:tcPr>
            <w:tcW w:w="4876" w:type="dxa"/>
            <w:hideMark/>
          </w:tcPr>
          <w:p w14:paraId="35BCCDB0" w14:textId="77777777" w:rsidR="007F29A1" w:rsidRPr="00860FE1" w:rsidRDefault="006766CE" w:rsidP="00B07609">
            <w:pPr>
              <w:pStyle w:val="Normal6a"/>
            </w:pPr>
            <w:r>
              <w:rPr>
                <w:b/>
                <w:i/>
              </w:rPr>
              <w:t>2-A.</w:t>
            </w:r>
            <w:r>
              <w:tab/>
            </w:r>
            <w:r>
              <w:rPr>
                <w:b/>
                <w:i/>
              </w:rPr>
              <w:t xml:space="preserve">Para </w:t>
            </w:r>
            <w:r>
              <w:rPr>
                <w:b/>
                <w:i/>
              </w:rPr>
              <w:t>efeitos do presente artigo, constituem «elementos de prova adequados», nomeadamente, os seguintes documentos:</w:t>
            </w:r>
          </w:p>
        </w:tc>
      </w:tr>
      <w:tr w:rsidR="007327BC" w14:paraId="4ED4D03C" w14:textId="77777777" w:rsidTr="00B07609">
        <w:trPr>
          <w:jc w:val="center"/>
        </w:trPr>
        <w:tc>
          <w:tcPr>
            <w:tcW w:w="4876" w:type="dxa"/>
          </w:tcPr>
          <w:p w14:paraId="509EE32C" w14:textId="77777777" w:rsidR="007F29A1" w:rsidRPr="00860FE1" w:rsidRDefault="007F29A1" w:rsidP="00B07609">
            <w:pPr>
              <w:pStyle w:val="Normal6a"/>
            </w:pPr>
          </w:p>
        </w:tc>
        <w:tc>
          <w:tcPr>
            <w:tcW w:w="4876" w:type="dxa"/>
            <w:hideMark/>
          </w:tcPr>
          <w:p w14:paraId="7A7E000C" w14:textId="77777777" w:rsidR="007F29A1" w:rsidRPr="00860FE1" w:rsidRDefault="006766CE" w:rsidP="00B07609">
            <w:pPr>
              <w:pStyle w:val="Normal6a"/>
            </w:pPr>
            <w:r>
              <w:rPr>
                <w:b/>
                <w:i/>
              </w:rPr>
              <w:t>(a) Certificados de aciaria;</w:t>
            </w:r>
          </w:p>
        </w:tc>
      </w:tr>
      <w:tr w:rsidR="007327BC" w14:paraId="1C71145A" w14:textId="77777777" w:rsidTr="00B07609">
        <w:trPr>
          <w:jc w:val="center"/>
        </w:trPr>
        <w:tc>
          <w:tcPr>
            <w:tcW w:w="4876" w:type="dxa"/>
          </w:tcPr>
          <w:p w14:paraId="55455BA5" w14:textId="77777777" w:rsidR="007F29A1" w:rsidRPr="00860FE1" w:rsidRDefault="007F29A1" w:rsidP="00B07609">
            <w:pPr>
              <w:pStyle w:val="Normal6a"/>
            </w:pPr>
          </w:p>
        </w:tc>
        <w:tc>
          <w:tcPr>
            <w:tcW w:w="4876" w:type="dxa"/>
            <w:hideMark/>
          </w:tcPr>
          <w:p w14:paraId="60D9BE94" w14:textId="77777777" w:rsidR="007F29A1" w:rsidRPr="00860FE1" w:rsidRDefault="006766CE" w:rsidP="00B07609">
            <w:pPr>
              <w:pStyle w:val="Normal6a"/>
            </w:pPr>
            <w:r>
              <w:rPr>
                <w:b/>
                <w:i/>
              </w:rPr>
              <w:t>(b) Faturas;</w:t>
            </w:r>
          </w:p>
        </w:tc>
      </w:tr>
      <w:tr w:rsidR="007327BC" w14:paraId="5A98C9E0" w14:textId="77777777" w:rsidTr="00B07609">
        <w:trPr>
          <w:jc w:val="center"/>
        </w:trPr>
        <w:tc>
          <w:tcPr>
            <w:tcW w:w="4876" w:type="dxa"/>
          </w:tcPr>
          <w:p w14:paraId="39267958" w14:textId="77777777" w:rsidR="007F29A1" w:rsidRPr="00860FE1" w:rsidRDefault="007F29A1" w:rsidP="00B07609">
            <w:pPr>
              <w:pStyle w:val="Normal6a"/>
            </w:pPr>
          </w:p>
        </w:tc>
        <w:tc>
          <w:tcPr>
            <w:tcW w:w="4876" w:type="dxa"/>
            <w:hideMark/>
          </w:tcPr>
          <w:p w14:paraId="1409E4BC" w14:textId="77777777" w:rsidR="007F29A1" w:rsidRPr="00860FE1" w:rsidRDefault="006766CE" w:rsidP="00B07609">
            <w:pPr>
              <w:pStyle w:val="Normal6a"/>
            </w:pPr>
            <w:r>
              <w:rPr>
                <w:b/>
                <w:i/>
              </w:rPr>
              <w:t>(c) Guias de entrega;</w:t>
            </w:r>
          </w:p>
        </w:tc>
      </w:tr>
      <w:tr w:rsidR="007327BC" w14:paraId="28BDDA49" w14:textId="77777777" w:rsidTr="00B07609">
        <w:trPr>
          <w:jc w:val="center"/>
        </w:trPr>
        <w:tc>
          <w:tcPr>
            <w:tcW w:w="4876" w:type="dxa"/>
          </w:tcPr>
          <w:p w14:paraId="32857E74" w14:textId="77777777" w:rsidR="007F29A1" w:rsidRPr="00860FE1" w:rsidRDefault="007F29A1" w:rsidP="00B07609">
            <w:pPr>
              <w:pStyle w:val="Normal6a"/>
            </w:pPr>
          </w:p>
        </w:tc>
        <w:tc>
          <w:tcPr>
            <w:tcW w:w="4876" w:type="dxa"/>
            <w:hideMark/>
          </w:tcPr>
          <w:p w14:paraId="4650E715" w14:textId="77777777" w:rsidR="007F29A1" w:rsidRPr="00860FE1" w:rsidRDefault="006766CE" w:rsidP="00B07609">
            <w:pPr>
              <w:pStyle w:val="Normal6a"/>
            </w:pPr>
            <w:r>
              <w:rPr>
                <w:b/>
                <w:i/>
              </w:rPr>
              <w:t>(d) Certificados da qualidade;</w:t>
            </w:r>
          </w:p>
        </w:tc>
      </w:tr>
      <w:tr w:rsidR="007327BC" w14:paraId="1994E426" w14:textId="77777777" w:rsidTr="00B07609">
        <w:trPr>
          <w:jc w:val="center"/>
        </w:trPr>
        <w:tc>
          <w:tcPr>
            <w:tcW w:w="4876" w:type="dxa"/>
          </w:tcPr>
          <w:p w14:paraId="166BEB34" w14:textId="77777777" w:rsidR="007F29A1" w:rsidRPr="00860FE1" w:rsidRDefault="007F29A1" w:rsidP="00B07609">
            <w:pPr>
              <w:pStyle w:val="Normal6a"/>
            </w:pPr>
          </w:p>
        </w:tc>
        <w:tc>
          <w:tcPr>
            <w:tcW w:w="4876" w:type="dxa"/>
            <w:hideMark/>
          </w:tcPr>
          <w:p w14:paraId="452AE4B6" w14:textId="77777777" w:rsidR="007F29A1" w:rsidRPr="00860FE1" w:rsidRDefault="006766CE" w:rsidP="00B07609">
            <w:pPr>
              <w:pStyle w:val="Normal6a"/>
            </w:pPr>
            <w:r>
              <w:rPr>
                <w:b/>
                <w:i/>
              </w:rPr>
              <w:t>(e) Declarações a longo prazo dos fornecedores;</w:t>
            </w:r>
          </w:p>
        </w:tc>
      </w:tr>
      <w:tr w:rsidR="007327BC" w14:paraId="0BB64C9B" w14:textId="77777777" w:rsidTr="00B07609">
        <w:trPr>
          <w:jc w:val="center"/>
        </w:trPr>
        <w:tc>
          <w:tcPr>
            <w:tcW w:w="4876" w:type="dxa"/>
          </w:tcPr>
          <w:p w14:paraId="00014AF8" w14:textId="77777777" w:rsidR="007F29A1" w:rsidRPr="00860FE1" w:rsidRDefault="007F29A1" w:rsidP="00B07609">
            <w:pPr>
              <w:pStyle w:val="Normal6a"/>
            </w:pPr>
          </w:p>
        </w:tc>
        <w:tc>
          <w:tcPr>
            <w:tcW w:w="4876" w:type="dxa"/>
            <w:hideMark/>
          </w:tcPr>
          <w:p w14:paraId="4CA5B24F" w14:textId="77777777" w:rsidR="007F29A1" w:rsidRPr="00860FE1" w:rsidRDefault="006766CE" w:rsidP="00B07609">
            <w:pPr>
              <w:pStyle w:val="Normal6a"/>
            </w:pPr>
            <w:r>
              <w:rPr>
                <w:b/>
                <w:i/>
              </w:rPr>
              <w:t>(f) Documentos de contabilidade analítica e de produção;</w:t>
            </w:r>
          </w:p>
        </w:tc>
      </w:tr>
      <w:tr w:rsidR="007327BC" w14:paraId="6AA7105A" w14:textId="77777777" w:rsidTr="00B07609">
        <w:trPr>
          <w:jc w:val="center"/>
        </w:trPr>
        <w:tc>
          <w:tcPr>
            <w:tcW w:w="4876" w:type="dxa"/>
          </w:tcPr>
          <w:p w14:paraId="6BA597B8" w14:textId="77777777" w:rsidR="007F29A1" w:rsidRPr="00860FE1" w:rsidRDefault="007F29A1" w:rsidP="00B07609">
            <w:pPr>
              <w:pStyle w:val="Normal6a"/>
            </w:pPr>
          </w:p>
        </w:tc>
        <w:tc>
          <w:tcPr>
            <w:tcW w:w="4876" w:type="dxa"/>
            <w:hideMark/>
          </w:tcPr>
          <w:p w14:paraId="4ABA5DA3" w14:textId="77777777" w:rsidR="007F29A1" w:rsidRPr="00860FE1" w:rsidRDefault="006766CE" w:rsidP="00B07609">
            <w:pPr>
              <w:pStyle w:val="Normal6a"/>
            </w:pPr>
            <w:r>
              <w:rPr>
                <w:b/>
                <w:i/>
              </w:rPr>
              <w:t>(g) Documentos aduaneiros do país de exportação;</w:t>
            </w:r>
          </w:p>
        </w:tc>
      </w:tr>
      <w:tr w:rsidR="007327BC" w14:paraId="60B6BCAF" w14:textId="77777777" w:rsidTr="00B07609">
        <w:trPr>
          <w:jc w:val="center"/>
        </w:trPr>
        <w:tc>
          <w:tcPr>
            <w:tcW w:w="4876" w:type="dxa"/>
          </w:tcPr>
          <w:p w14:paraId="262B3A3E" w14:textId="77777777" w:rsidR="007F29A1" w:rsidRPr="00860FE1" w:rsidRDefault="007F29A1" w:rsidP="00B07609">
            <w:pPr>
              <w:pStyle w:val="Normal6a"/>
            </w:pPr>
          </w:p>
        </w:tc>
        <w:tc>
          <w:tcPr>
            <w:tcW w:w="4876" w:type="dxa"/>
            <w:hideMark/>
          </w:tcPr>
          <w:p w14:paraId="6366256D" w14:textId="77777777" w:rsidR="007F29A1" w:rsidRPr="00860FE1" w:rsidRDefault="006766CE" w:rsidP="00B07609">
            <w:pPr>
              <w:pStyle w:val="Normal6a"/>
            </w:pPr>
            <w:r>
              <w:rPr>
                <w:b/>
                <w:i/>
              </w:rPr>
              <w:t>(h) Correspondência comercial;</w:t>
            </w:r>
          </w:p>
        </w:tc>
      </w:tr>
      <w:tr w:rsidR="007327BC" w14:paraId="3EC7FA3B" w14:textId="77777777" w:rsidTr="00B07609">
        <w:trPr>
          <w:jc w:val="center"/>
        </w:trPr>
        <w:tc>
          <w:tcPr>
            <w:tcW w:w="4876" w:type="dxa"/>
          </w:tcPr>
          <w:p w14:paraId="5D71699A" w14:textId="77777777" w:rsidR="007F29A1" w:rsidRPr="00860FE1" w:rsidRDefault="007F29A1" w:rsidP="00B07609">
            <w:pPr>
              <w:pStyle w:val="Normal6a"/>
            </w:pPr>
          </w:p>
        </w:tc>
        <w:tc>
          <w:tcPr>
            <w:tcW w:w="4876" w:type="dxa"/>
            <w:hideMark/>
          </w:tcPr>
          <w:p w14:paraId="62ED2597" w14:textId="77777777" w:rsidR="007F29A1" w:rsidRPr="00860FE1" w:rsidRDefault="006766CE" w:rsidP="00B07609">
            <w:pPr>
              <w:pStyle w:val="Normal6a"/>
            </w:pPr>
            <w:r>
              <w:rPr>
                <w:b/>
                <w:i/>
              </w:rPr>
              <w:t>(i) Descrições dos produtos; ou</w:t>
            </w:r>
          </w:p>
        </w:tc>
      </w:tr>
      <w:tr w:rsidR="007327BC" w14:paraId="5BC2AD69" w14:textId="77777777" w:rsidTr="00B07609">
        <w:trPr>
          <w:jc w:val="center"/>
        </w:trPr>
        <w:tc>
          <w:tcPr>
            <w:tcW w:w="4876" w:type="dxa"/>
          </w:tcPr>
          <w:p w14:paraId="18D78440" w14:textId="77777777" w:rsidR="007F29A1" w:rsidRPr="00860FE1" w:rsidRDefault="007F29A1" w:rsidP="00B07609">
            <w:pPr>
              <w:pStyle w:val="Normal6a"/>
            </w:pPr>
          </w:p>
        </w:tc>
        <w:tc>
          <w:tcPr>
            <w:tcW w:w="4876" w:type="dxa"/>
            <w:hideMark/>
          </w:tcPr>
          <w:p w14:paraId="1EF9446C" w14:textId="77777777" w:rsidR="007F29A1" w:rsidRPr="00860FE1" w:rsidRDefault="006766CE" w:rsidP="00B07609">
            <w:pPr>
              <w:pStyle w:val="Normal6a"/>
            </w:pPr>
            <w:r>
              <w:rPr>
                <w:b/>
                <w:i/>
              </w:rPr>
              <w:t xml:space="preserve">(j) Declarações do fabricante, se estiverem diretamente </w:t>
            </w:r>
            <w:r>
              <w:rPr>
                <w:b/>
                <w:i/>
              </w:rPr>
              <w:t>relacionadas com a remessa em questão.</w:t>
            </w:r>
          </w:p>
        </w:tc>
      </w:tr>
    </w:tbl>
    <w:p w14:paraId="56838E9A"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00294A5" w14:textId="77777777" w:rsidR="007F29A1" w:rsidRPr="00860FE1" w:rsidRDefault="006766CE" w:rsidP="007F29A1">
      <w:r>
        <w:rPr>
          <w:rStyle w:val="HideTWBExt"/>
        </w:rPr>
        <w:t>&lt;/Amend&gt;</w:t>
      </w:r>
    </w:p>
    <w:p w14:paraId="4E0D4A98" w14:textId="77777777" w:rsidR="007F29A1" w:rsidRPr="00860FE1" w:rsidRDefault="006766CE" w:rsidP="007F29A1">
      <w:pPr>
        <w:pStyle w:val="AmNumberTabs"/>
      </w:pPr>
      <w:r>
        <w:rPr>
          <w:rStyle w:val="HideTWBExt"/>
        </w:rPr>
        <w:t>&lt;Amend&gt;</w:t>
      </w:r>
      <w:r>
        <w:t>Alteração</w:t>
      </w:r>
      <w:r>
        <w:tab/>
      </w:r>
      <w:r>
        <w:tab/>
      </w:r>
      <w:r>
        <w:rPr>
          <w:rStyle w:val="HideTWBExt"/>
        </w:rPr>
        <w:t>&lt;NumAm&gt;</w:t>
      </w:r>
      <w:r>
        <w:t>15</w:t>
      </w:r>
      <w:r>
        <w:rPr>
          <w:rStyle w:val="HideTWBExt"/>
        </w:rPr>
        <w:t>&lt;/NumAm&gt;</w:t>
      </w:r>
    </w:p>
    <w:p w14:paraId="6EF37C16"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0DEC5427" w14:textId="77777777" w:rsidR="007F29A1" w:rsidRPr="00860FE1" w:rsidRDefault="006766CE" w:rsidP="007F29A1">
      <w:pPr>
        <w:pStyle w:val="NormalBold"/>
      </w:pPr>
      <w:r>
        <w:rPr>
          <w:rStyle w:val="HideTWBExt"/>
        </w:rPr>
        <w:t>&lt;Article&gt;</w:t>
      </w:r>
      <w:r>
        <w:t>Artigo 3 – n.º 2-B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45F93FE8" w14:textId="77777777" w:rsidTr="00B07609">
        <w:trPr>
          <w:trHeight w:val="240"/>
          <w:jc w:val="center"/>
        </w:trPr>
        <w:tc>
          <w:tcPr>
            <w:tcW w:w="9752" w:type="dxa"/>
            <w:gridSpan w:val="2"/>
          </w:tcPr>
          <w:p w14:paraId="3E650EE5" w14:textId="77777777" w:rsidR="007F29A1" w:rsidRPr="00860FE1" w:rsidRDefault="007F29A1" w:rsidP="00B07609"/>
        </w:tc>
      </w:tr>
      <w:tr w:rsidR="007327BC" w14:paraId="36F90DB7" w14:textId="77777777" w:rsidTr="00B07609">
        <w:trPr>
          <w:trHeight w:val="240"/>
          <w:jc w:val="center"/>
        </w:trPr>
        <w:tc>
          <w:tcPr>
            <w:tcW w:w="4876" w:type="dxa"/>
            <w:hideMark/>
          </w:tcPr>
          <w:p w14:paraId="06158386" w14:textId="77777777" w:rsidR="007F29A1" w:rsidRPr="00860FE1" w:rsidRDefault="006766CE" w:rsidP="00B07609">
            <w:pPr>
              <w:pStyle w:val="AmColumnHeading"/>
            </w:pPr>
            <w:r>
              <w:t>Texto da Comissão</w:t>
            </w:r>
          </w:p>
        </w:tc>
        <w:tc>
          <w:tcPr>
            <w:tcW w:w="4876" w:type="dxa"/>
            <w:hideMark/>
          </w:tcPr>
          <w:p w14:paraId="02634FCD" w14:textId="77777777" w:rsidR="007F29A1" w:rsidRPr="00860FE1" w:rsidRDefault="006766CE" w:rsidP="00B07609">
            <w:pPr>
              <w:pStyle w:val="AmColumnHeading"/>
            </w:pPr>
            <w:r>
              <w:t>Alteração</w:t>
            </w:r>
          </w:p>
        </w:tc>
      </w:tr>
      <w:tr w:rsidR="007327BC" w14:paraId="7C641801" w14:textId="77777777" w:rsidTr="00B07609">
        <w:trPr>
          <w:jc w:val="center"/>
        </w:trPr>
        <w:tc>
          <w:tcPr>
            <w:tcW w:w="4876" w:type="dxa"/>
          </w:tcPr>
          <w:p w14:paraId="0B8FFFB3" w14:textId="77777777" w:rsidR="007F29A1" w:rsidRPr="00860FE1" w:rsidRDefault="007F29A1" w:rsidP="00B07609">
            <w:pPr>
              <w:pStyle w:val="Normal6a"/>
            </w:pPr>
          </w:p>
        </w:tc>
        <w:tc>
          <w:tcPr>
            <w:tcW w:w="4876" w:type="dxa"/>
            <w:hideMark/>
          </w:tcPr>
          <w:p w14:paraId="2E5134D2" w14:textId="77777777" w:rsidR="007F29A1" w:rsidRPr="00860FE1" w:rsidRDefault="006766CE" w:rsidP="00B07609">
            <w:pPr>
              <w:pStyle w:val="Normal6a"/>
            </w:pPr>
            <w:r>
              <w:rPr>
                <w:b/>
                <w:i/>
              </w:rPr>
              <w:t>2-B.</w:t>
            </w:r>
            <w:r>
              <w:tab/>
            </w:r>
            <w:r>
              <w:rPr>
                <w:b/>
                <w:i/>
              </w:rPr>
              <w:t xml:space="preserve">A </w:t>
            </w:r>
            <w:r>
              <w:rPr>
                <w:b/>
                <w:i/>
              </w:rPr>
              <w:t>Comissão pode adotar orientações sobre a forma de apresentação dos elementos de prova adequados com o objetivo de limitar os encargos administrativos e facilitar o cumprimento das normas por parte das PME.</w:t>
            </w:r>
          </w:p>
        </w:tc>
      </w:tr>
    </w:tbl>
    <w:p w14:paraId="26F9D5A7"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598621BC" w14:textId="77777777" w:rsidR="007F29A1" w:rsidRPr="00860FE1" w:rsidRDefault="006766CE" w:rsidP="007F29A1">
      <w:r>
        <w:rPr>
          <w:rStyle w:val="HideTWBExt"/>
        </w:rPr>
        <w:t>&lt;/Amend&gt;</w:t>
      </w:r>
    </w:p>
    <w:p w14:paraId="09C920BC" w14:textId="77777777" w:rsidR="007F29A1" w:rsidRPr="00860FE1" w:rsidRDefault="006766CE" w:rsidP="007F29A1">
      <w:pPr>
        <w:pStyle w:val="AmNumberTabs"/>
      </w:pPr>
      <w:r>
        <w:rPr>
          <w:rStyle w:val="HideTWBExt"/>
        </w:rPr>
        <w:t>&lt;Amend&gt;</w:t>
      </w:r>
      <w:r>
        <w:t>Alteração</w:t>
      </w:r>
      <w:r>
        <w:tab/>
      </w:r>
      <w:r>
        <w:tab/>
      </w:r>
      <w:r>
        <w:rPr>
          <w:rStyle w:val="HideTWBExt"/>
        </w:rPr>
        <w:t>&lt;NumAm&gt;</w:t>
      </w:r>
      <w:r>
        <w:t>16</w:t>
      </w:r>
      <w:r>
        <w:rPr>
          <w:rStyle w:val="HideTWBExt"/>
        </w:rPr>
        <w:t>&lt;/NumAm&gt;</w:t>
      </w:r>
    </w:p>
    <w:p w14:paraId="03F9944F"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18BB3D2B" w14:textId="77777777" w:rsidR="007F29A1" w:rsidRPr="00860FE1" w:rsidRDefault="006766CE" w:rsidP="007F29A1">
      <w:pPr>
        <w:pStyle w:val="NormalBold"/>
      </w:pPr>
      <w:r>
        <w:rPr>
          <w:rStyle w:val="HideTWBExt"/>
        </w:rPr>
        <w:t>&lt;Article&gt;</w:t>
      </w:r>
      <w:r>
        <w:t>Artigo 3 – n.º 2-C (novo)</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75BF4206" w14:textId="77777777" w:rsidTr="00B07609">
        <w:trPr>
          <w:trHeight w:val="240"/>
          <w:jc w:val="center"/>
        </w:trPr>
        <w:tc>
          <w:tcPr>
            <w:tcW w:w="9752" w:type="dxa"/>
            <w:gridSpan w:val="2"/>
          </w:tcPr>
          <w:p w14:paraId="62266360" w14:textId="77777777" w:rsidR="007F29A1" w:rsidRPr="00860FE1" w:rsidRDefault="007F29A1" w:rsidP="00B07609"/>
        </w:tc>
      </w:tr>
      <w:tr w:rsidR="007327BC" w14:paraId="2D17ECC6" w14:textId="77777777" w:rsidTr="00B07609">
        <w:trPr>
          <w:trHeight w:val="240"/>
          <w:jc w:val="center"/>
        </w:trPr>
        <w:tc>
          <w:tcPr>
            <w:tcW w:w="4876" w:type="dxa"/>
            <w:hideMark/>
          </w:tcPr>
          <w:p w14:paraId="4554CC73" w14:textId="77777777" w:rsidR="007F29A1" w:rsidRPr="00860FE1" w:rsidRDefault="006766CE" w:rsidP="00B07609">
            <w:pPr>
              <w:pStyle w:val="AmColumnHeading"/>
            </w:pPr>
            <w:r>
              <w:lastRenderedPageBreak/>
              <w:t>Texto da Comissão</w:t>
            </w:r>
          </w:p>
        </w:tc>
        <w:tc>
          <w:tcPr>
            <w:tcW w:w="4876" w:type="dxa"/>
            <w:hideMark/>
          </w:tcPr>
          <w:p w14:paraId="613443BF" w14:textId="77777777" w:rsidR="007F29A1" w:rsidRPr="00860FE1" w:rsidRDefault="006766CE" w:rsidP="00B07609">
            <w:pPr>
              <w:pStyle w:val="AmColumnHeading"/>
            </w:pPr>
            <w:r>
              <w:t>Alteração</w:t>
            </w:r>
          </w:p>
        </w:tc>
      </w:tr>
      <w:tr w:rsidR="007327BC" w14:paraId="12B2F9FD" w14:textId="77777777" w:rsidTr="00B07609">
        <w:trPr>
          <w:jc w:val="center"/>
        </w:trPr>
        <w:tc>
          <w:tcPr>
            <w:tcW w:w="4876" w:type="dxa"/>
          </w:tcPr>
          <w:p w14:paraId="09E34179" w14:textId="77777777" w:rsidR="007F29A1" w:rsidRPr="00860FE1" w:rsidRDefault="007F29A1" w:rsidP="00B07609">
            <w:pPr>
              <w:pStyle w:val="Normal6a"/>
            </w:pPr>
          </w:p>
        </w:tc>
        <w:tc>
          <w:tcPr>
            <w:tcW w:w="4876" w:type="dxa"/>
            <w:hideMark/>
          </w:tcPr>
          <w:p w14:paraId="6E5374C1" w14:textId="77777777" w:rsidR="007F29A1" w:rsidRPr="00860FE1" w:rsidRDefault="006766CE" w:rsidP="00B07609">
            <w:pPr>
              <w:pStyle w:val="Normal6a"/>
            </w:pPr>
            <w:r>
              <w:rPr>
                <w:b/>
                <w:i/>
              </w:rPr>
              <w:t>2-C.</w:t>
            </w:r>
            <w:r>
              <w:tab/>
            </w:r>
            <w:r>
              <w:rPr>
                <w:b/>
                <w:i/>
              </w:rPr>
              <w:t xml:space="preserve">As importações de produtos nos quais tenha sido utilizado aço fundido e vazado na </w:t>
            </w:r>
            <w:r>
              <w:rPr>
                <w:b/>
                <w:i/>
              </w:rPr>
              <w:t>Federação da Rússia ou na Bielorrússia não devem poder aceder ao mercado da União, nem beneficiar de contingentes pautais. Todos esses produtos devem ser automaticamente proibidos nas fronteiras externas da União.</w:t>
            </w:r>
          </w:p>
        </w:tc>
      </w:tr>
    </w:tbl>
    <w:p w14:paraId="772D2BB5"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1AF2C5ED" w14:textId="77777777" w:rsidR="007F29A1" w:rsidRPr="00860FE1" w:rsidRDefault="006766CE" w:rsidP="007F29A1">
      <w:r>
        <w:rPr>
          <w:rStyle w:val="HideTWBExt"/>
        </w:rPr>
        <w:t>&lt;/Amend&gt;</w:t>
      </w:r>
    </w:p>
    <w:p w14:paraId="6E9FE2A5" w14:textId="77777777" w:rsidR="007F29A1" w:rsidRPr="00860FE1" w:rsidRDefault="006766CE" w:rsidP="007F29A1">
      <w:pPr>
        <w:pStyle w:val="AmNumberTabs"/>
      </w:pPr>
      <w:r>
        <w:rPr>
          <w:rStyle w:val="HideTWBExt"/>
        </w:rPr>
        <w:t>&lt;Amend&gt;</w:t>
      </w:r>
      <w:r>
        <w:t>Alteração</w:t>
      </w:r>
      <w:r>
        <w:tab/>
      </w:r>
      <w:r>
        <w:tab/>
      </w:r>
      <w:r>
        <w:rPr>
          <w:rStyle w:val="HideTWBExt"/>
        </w:rPr>
        <w:t>&lt;NumAm&gt;</w:t>
      </w:r>
      <w:r>
        <w:t>17</w:t>
      </w:r>
      <w:r>
        <w:rPr>
          <w:rStyle w:val="HideTWBExt"/>
        </w:rPr>
        <w:t>&lt;/NumAm&gt;</w:t>
      </w:r>
    </w:p>
    <w:p w14:paraId="06C6D413"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14C28165" w14:textId="77777777" w:rsidR="007F29A1" w:rsidRPr="00860FE1" w:rsidRDefault="006766CE" w:rsidP="007F29A1">
      <w:pPr>
        <w:pStyle w:val="NormalBold"/>
      </w:pPr>
      <w:r>
        <w:rPr>
          <w:rStyle w:val="HideTWBExt"/>
        </w:rPr>
        <w:t>&lt;Article&gt;</w:t>
      </w:r>
      <w:r>
        <w:t>Artigo 9 – n.º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3D8BCBE7" w14:textId="77777777" w:rsidTr="00B07609">
        <w:trPr>
          <w:trHeight w:val="240"/>
          <w:jc w:val="center"/>
        </w:trPr>
        <w:tc>
          <w:tcPr>
            <w:tcW w:w="9752" w:type="dxa"/>
            <w:gridSpan w:val="2"/>
          </w:tcPr>
          <w:p w14:paraId="04EAC4C7" w14:textId="77777777" w:rsidR="007F29A1" w:rsidRPr="00860FE1" w:rsidRDefault="007F29A1" w:rsidP="00B07609"/>
        </w:tc>
      </w:tr>
      <w:tr w:rsidR="007327BC" w14:paraId="2A8C9585" w14:textId="77777777" w:rsidTr="00B07609">
        <w:trPr>
          <w:trHeight w:val="240"/>
          <w:jc w:val="center"/>
        </w:trPr>
        <w:tc>
          <w:tcPr>
            <w:tcW w:w="4876" w:type="dxa"/>
            <w:hideMark/>
          </w:tcPr>
          <w:p w14:paraId="371A2CF1" w14:textId="77777777" w:rsidR="007F29A1" w:rsidRPr="00860FE1" w:rsidRDefault="006766CE" w:rsidP="00B07609">
            <w:pPr>
              <w:pStyle w:val="AmColumnHeading"/>
            </w:pPr>
            <w:r>
              <w:t>Texto da Comissão</w:t>
            </w:r>
          </w:p>
        </w:tc>
        <w:tc>
          <w:tcPr>
            <w:tcW w:w="4876" w:type="dxa"/>
            <w:hideMark/>
          </w:tcPr>
          <w:p w14:paraId="023AF318" w14:textId="77777777" w:rsidR="007F29A1" w:rsidRPr="00860FE1" w:rsidRDefault="006766CE" w:rsidP="00B07609">
            <w:pPr>
              <w:pStyle w:val="AmColumnHeading"/>
            </w:pPr>
            <w:r>
              <w:t>Alteração</w:t>
            </w:r>
          </w:p>
        </w:tc>
      </w:tr>
      <w:tr w:rsidR="007327BC" w14:paraId="11D15A3D" w14:textId="77777777" w:rsidTr="00B07609">
        <w:trPr>
          <w:jc w:val="center"/>
        </w:trPr>
        <w:tc>
          <w:tcPr>
            <w:tcW w:w="4876" w:type="dxa"/>
            <w:hideMark/>
          </w:tcPr>
          <w:p w14:paraId="6E50D2D4" w14:textId="77777777" w:rsidR="007F29A1" w:rsidRPr="00860FE1" w:rsidRDefault="006766CE" w:rsidP="00B07609">
            <w:pPr>
              <w:pStyle w:val="Normal6a"/>
            </w:pPr>
            <w:r>
              <w:t>1.</w:t>
            </w:r>
            <w:r>
              <w:tab/>
              <w:t xml:space="preserve">Até </w:t>
            </w:r>
            <w:r>
              <w:rPr>
                <w:b/>
                <w:i/>
              </w:rPr>
              <w:t>[Serviço das Publicações: inserir a</w:t>
            </w:r>
            <w:r>
              <w:t xml:space="preserve"> data </w:t>
            </w:r>
            <w:r>
              <w:rPr>
                <w:b/>
                <w:i/>
              </w:rPr>
              <w:t xml:space="preserve">correspondente a dois anos após a </w:t>
            </w:r>
            <w:r>
              <w:rPr>
                <w:b/>
                <w:i/>
              </w:rPr>
              <w:t>adoção</w:t>
            </w:r>
            <w:r>
              <w:t xml:space="preserve"> do presente</w:t>
            </w:r>
            <w:r>
              <w:rPr>
                <w:b/>
                <w:i/>
              </w:rPr>
              <w:t xml:space="preserve"> projeto</w:t>
            </w:r>
            <w:r>
              <w:t xml:space="preserve"> de regulamento], a Comissão avalia a necessidade de alterar a definição do produto do presente regulamento e pode apresentar uma proposta legislativa para alterar o presente regulamento. Esta avaliação é realizada </w:t>
            </w:r>
            <w:r>
              <w:rPr>
                <w:b/>
                <w:i/>
              </w:rPr>
              <w:t>periodicamente, de dois em dois anos, após o primeiro reexame</w:t>
            </w:r>
            <w:r>
              <w:t>.</w:t>
            </w:r>
          </w:p>
        </w:tc>
        <w:tc>
          <w:tcPr>
            <w:tcW w:w="4876" w:type="dxa"/>
            <w:hideMark/>
          </w:tcPr>
          <w:p w14:paraId="2DB4F2BF" w14:textId="77777777" w:rsidR="007F29A1" w:rsidRPr="00860FE1" w:rsidRDefault="006766CE" w:rsidP="00B07609">
            <w:pPr>
              <w:pStyle w:val="Normal6a"/>
            </w:pPr>
            <w:r>
              <w:t>1.</w:t>
            </w:r>
            <w:r>
              <w:tab/>
              <w:t xml:space="preserve">Até </w:t>
            </w:r>
            <w:r>
              <w:rPr>
                <w:b/>
                <w:i/>
              </w:rPr>
              <w:t>...</w:t>
            </w:r>
            <w:r>
              <w:t xml:space="preserve"> </w:t>
            </w:r>
            <w:r>
              <w:rPr>
                <w:b/>
                <w:i/>
              </w:rPr>
              <w:t>[um ano a contar da</w:t>
            </w:r>
            <w:r>
              <w:t xml:space="preserve"> data </w:t>
            </w:r>
            <w:r>
              <w:rPr>
                <w:b/>
                <w:i/>
              </w:rPr>
              <w:t>de entrada em vigor</w:t>
            </w:r>
            <w:r>
              <w:t xml:space="preserve"> do presente de regulamento], a Comissão avalia a necessidade de alterar a definição do produto do presente regulamento e pode apresentar uma proposta legislativa para alterar o presente regulamento. Esta avaliação é realizada </w:t>
            </w:r>
            <w:r>
              <w:rPr>
                <w:b/>
                <w:i/>
              </w:rPr>
              <w:t>anualmente</w:t>
            </w:r>
            <w:r>
              <w:t>.</w:t>
            </w:r>
          </w:p>
        </w:tc>
      </w:tr>
    </w:tbl>
    <w:p w14:paraId="277F8943"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62C1A488" w14:textId="77777777" w:rsidR="007F29A1" w:rsidRPr="00860FE1" w:rsidRDefault="006766CE" w:rsidP="007F29A1">
      <w:r>
        <w:rPr>
          <w:rStyle w:val="HideTWBExt"/>
        </w:rPr>
        <w:t>&lt;/Amend&gt;</w:t>
      </w:r>
    </w:p>
    <w:p w14:paraId="39D1E367" w14:textId="77777777" w:rsidR="007F29A1" w:rsidRPr="00860FE1" w:rsidRDefault="006766CE" w:rsidP="007F29A1">
      <w:pPr>
        <w:pStyle w:val="AmNumberTabs"/>
      </w:pPr>
      <w:r>
        <w:rPr>
          <w:rStyle w:val="HideTWBExt"/>
        </w:rPr>
        <w:t>&lt;Amend&gt;</w:t>
      </w:r>
      <w:r>
        <w:t>Alteração</w:t>
      </w:r>
      <w:r>
        <w:tab/>
      </w:r>
      <w:r>
        <w:tab/>
      </w:r>
      <w:r>
        <w:rPr>
          <w:rStyle w:val="HideTWBExt"/>
        </w:rPr>
        <w:t>&lt;NumAm&gt;</w:t>
      </w:r>
      <w:r>
        <w:t>18</w:t>
      </w:r>
      <w:r>
        <w:rPr>
          <w:rStyle w:val="HideTWBExt"/>
        </w:rPr>
        <w:t>&lt;/NumAm&gt;</w:t>
      </w:r>
    </w:p>
    <w:p w14:paraId="440DB2C5"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5C900CED" w14:textId="77777777" w:rsidR="007F29A1" w:rsidRPr="00860FE1" w:rsidRDefault="006766CE" w:rsidP="007F29A1">
      <w:pPr>
        <w:pStyle w:val="NormalBold"/>
      </w:pPr>
      <w:r>
        <w:rPr>
          <w:rStyle w:val="HideTWBExt"/>
          <w:lang w:val="fr-BE"/>
        </w:rPr>
        <w:t>&lt;Article&gt;</w:t>
      </w:r>
      <w:r>
        <w:t>Artigo 9 – n.º 1-A (novo)</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25632865" w14:textId="77777777" w:rsidTr="00B07609">
        <w:trPr>
          <w:trHeight w:val="240"/>
          <w:jc w:val="center"/>
        </w:trPr>
        <w:tc>
          <w:tcPr>
            <w:tcW w:w="9752" w:type="dxa"/>
            <w:gridSpan w:val="2"/>
          </w:tcPr>
          <w:p w14:paraId="1D4CC661" w14:textId="77777777" w:rsidR="007F29A1" w:rsidRPr="00860FE1" w:rsidRDefault="007F29A1" w:rsidP="00B07609">
            <w:pPr>
              <w:rPr>
                <w:lang w:val="fr-BE"/>
              </w:rPr>
            </w:pPr>
          </w:p>
        </w:tc>
      </w:tr>
      <w:tr w:rsidR="007327BC" w14:paraId="6D1352E3" w14:textId="77777777" w:rsidTr="00B07609">
        <w:trPr>
          <w:trHeight w:val="240"/>
          <w:jc w:val="center"/>
        </w:trPr>
        <w:tc>
          <w:tcPr>
            <w:tcW w:w="4876" w:type="dxa"/>
            <w:hideMark/>
          </w:tcPr>
          <w:p w14:paraId="68116429" w14:textId="77777777" w:rsidR="007F29A1" w:rsidRPr="00860FE1" w:rsidRDefault="006766CE" w:rsidP="00B07609">
            <w:pPr>
              <w:pStyle w:val="AmColumnHeading"/>
            </w:pPr>
            <w:r>
              <w:t>Texto da Comissão</w:t>
            </w:r>
          </w:p>
        </w:tc>
        <w:tc>
          <w:tcPr>
            <w:tcW w:w="4876" w:type="dxa"/>
            <w:hideMark/>
          </w:tcPr>
          <w:p w14:paraId="7E3C5EF2" w14:textId="77777777" w:rsidR="007F29A1" w:rsidRPr="00860FE1" w:rsidRDefault="006766CE" w:rsidP="00B07609">
            <w:pPr>
              <w:pStyle w:val="AmColumnHeading"/>
            </w:pPr>
            <w:r>
              <w:t>Alteração</w:t>
            </w:r>
          </w:p>
        </w:tc>
      </w:tr>
      <w:tr w:rsidR="007327BC" w14:paraId="710FE916" w14:textId="77777777" w:rsidTr="00B07609">
        <w:trPr>
          <w:jc w:val="center"/>
        </w:trPr>
        <w:tc>
          <w:tcPr>
            <w:tcW w:w="4876" w:type="dxa"/>
          </w:tcPr>
          <w:p w14:paraId="195FBABD" w14:textId="77777777" w:rsidR="007F29A1" w:rsidRPr="00860FE1" w:rsidRDefault="007F29A1" w:rsidP="00B07609">
            <w:pPr>
              <w:pStyle w:val="Normal6a"/>
            </w:pPr>
          </w:p>
        </w:tc>
        <w:tc>
          <w:tcPr>
            <w:tcW w:w="4876" w:type="dxa"/>
            <w:hideMark/>
          </w:tcPr>
          <w:p w14:paraId="088BAA46" w14:textId="77777777" w:rsidR="007F29A1" w:rsidRPr="00860FE1" w:rsidRDefault="006766CE" w:rsidP="00B07609">
            <w:pPr>
              <w:pStyle w:val="Normal6a"/>
            </w:pPr>
            <w:r>
              <w:rPr>
                <w:b/>
                <w:i/>
              </w:rPr>
              <w:t>1-A.</w:t>
            </w:r>
            <w:r>
              <w:tab/>
            </w:r>
            <w:r>
              <w:rPr>
                <w:b/>
                <w:i/>
              </w:rPr>
              <w:t xml:space="preserve">A Comissão apresenta ao Parlamento Europeu e ao Conselho um relatório anual sobre a execução do </w:t>
            </w:r>
            <w:r>
              <w:rPr>
                <w:b/>
                <w:i/>
              </w:rPr>
              <w:lastRenderedPageBreak/>
              <w:t>presente regulamento. Esse relatório é tornado público.</w:t>
            </w:r>
          </w:p>
        </w:tc>
      </w:tr>
    </w:tbl>
    <w:p w14:paraId="0A6DF0E6" w14:textId="77777777" w:rsidR="007F29A1" w:rsidRPr="00860FE1" w:rsidRDefault="006766CE" w:rsidP="007F29A1">
      <w:pPr>
        <w:pStyle w:val="AmOrLang"/>
      </w:pPr>
      <w:r w:rsidRPr="00860FE1">
        <w:lastRenderedPageBreak/>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36BF5D6E" w14:textId="77777777" w:rsidR="007F29A1" w:rsidRPr="00860FE1" w:rsidRDefault="006766CE" w:rsidP="007F29A1">
      <w:r>
        <w:rPr>
          <w:rStyle w:val="HideTWBExt"/>
        </w:rPr>
        <w:t>&lt;/Amend&gt;</w:t>
      </w:r>
    </w:p>
    <w:p w14:paraId="66700F70" w14:textId="77777777" w:rsidR="007F29A1" w:rsidRPr="00860FE1" w:rsidRDefault="006766CE" w:rsidP="007F29A1">
      <w:pPr>
        <w:pStyle w:val="AmNumberTabs"/>
      </w:pPr>
      <w:r>
        <w:rPr>
          <w:rStyle w:val="HideTWBExt"/>
        </w:rPr>
        <w:t>&lt;Amend&gt;</w:t>
      </w:r>
      <w:r>
        <w:t>Alteração</w:t>
      </w:r>
      <w:r>
        <w:tab/>
      </w:r>
      <w:r>
        <w:tab/>
      </w:r>
      <w:r>
        <w:rPr>
          <w:rStyle w:val="HideTWBExt"/>
        </w:rPr>
        <w:t>&lt;NumAm&gt;</w:t>
      </w:r>
      <w:r>
        <w:t>19</w:t>
      </w:r>
      <w:r>
        <w:rPr>
          <w:rStyle w:val="HideTWBExt"/>
        </w:rPr>
        <w:t>&lt;/NumAm&gt;</w:t>
      </w:r>
    </w:p>
    <w:p w14:paraId="740D2AA7" w14:textId="77777777" w:rsidR="007F29A1" w:rsidRPr="00860FE1" w:rsidRDefault="006766CE" w:rsidP="007F29A1">
      <w:pPr>
        <w:pStyle w:val="NormalBold12b"/>
      </w:pPr>
      <w:r>
        <w:rPr>
          <w:rStyle w:val="HideTWBExt"/>
        </w:rPr>
        <w:t>&lt;DocAmend&gt;</w:t>
      </w:r>
      <w:r>
        <w:t>Proposta de regulamento</w:t>
      </w:r>
      <w:r>
        <w:rPr>
          <w:rStyle w:val="HideTWBExt"/>
        </w:rPr>
        <w:t>&lt;/DocAmend&gt;</w:t>
      </w:r>
    </w:p>
    <w:p w14:paraId="382A493F" w14:textId="77777777" w:rsidR="007F29A1" w:rsidRPr="00860FE1" w:rsidRDefault="006766CE" w:rsidP="007F29A1">
      <w:pPr>
        <w:pStyle w:val="NormalBold"/>
      </w:pPr>
      <w:r>
        <w:rPr>
          <w:rStyle w:val="HideTWBExt"/>
        </w:rPr>
        <w:t>&lt;Article&gt;</w:t>
      </w:r>
      <w:r>
        <w:t>Artigo 9 – n.º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27BC" w14:paraId="0795786C" w14:textId="77777777" w:rsidTr="00B07609">
        <w:trPr>
          <w:trHeight w:val="240"/>
          <w:jc w:val="center"/>
        </w:trPr>
        <w:tc>
          <w:tcPr>
            <w:tcW w:w="9752" w:type="dxa"/>
            <w:gridSpan w:val="2"/>
          </w:tcPr>
          <w:p w14:paraId="4948C409" w14:textId="77777777" w:rsidR="007F29A1" w:rsidRPr="00860FE1" w:rsidRDefault="007F29A1" w:rsidP="00B07609"/>
        </w:tc>
      </w:tr>
      <w:tr w:rsidR="007327BC" w14:paraId="7A967DFC" w14:textId="77777777" w:rsidTr="00B07609">
        <w:trPr>
          <w:trHeight w:val="240"/>
          <w:jc w:val="center"/>
        </w:trPr>
        <w:tc>
          <w:tcPr>
            <w:tcW w:w="4876" w:type="dxa"/>
            <w:hideMark/>
          </w:tcPr>
          <w:p w14:paraId="0C3970F9" w14:textId="77777777" w:rsidR="007F29A1" w:rsidRPr="00860FE1" w:rsidRDefault="006766CE" w:rsidP="00B07609">
            <w:pPr>
              <w:pStyle w:val="AmColumnHeading"/>
            </w:pPr>
            <w:r>
              <w:t>Texto da Comissão</w:t>
            </w:r>
          </w:p>
        </w:tc>
        <w:tc>
          <w:tcPr>
            <w:tcW w:w="4876" w:type="dxa"/>
            <w:hideMark/>
          </w:tcPr>
          <w:p w14:paraId="12AFBA9B" w14:textId="77777777" w:rsidR="007F29A1" w:rsidRPr="00860FE1" w:rsidRDefault="006766CE" w:rsidP="00B07609">
            <w:pPr>
              <w:pStyle w:val="AmColumnHeading"/>
            </w:pPr>
            <w:r>
              <w:t>Alteração</w:t>
            </w:r>
          </w:p>
        </w:tc>
      </w:tr>
      <w:tr w:rsidR="007327BC" w14:paraId="3E7BFD7A" w14:textId="77777777" w:rsidTr="00B07609">
        <w:trPr>
          <w:jc w:val="center"/>
        </w:trPr>
        <w:tc>
          <w:tcPr>
            <w:tcW w:w="4876" w:type="dxa"/>
            <w:hideMark/>
          </w:tcPr>
          <w:p w14:paraId="7A6C16CB" w14:textId="77777777" w:rsidR="007F29A1" w:rsidRPr="00860FE1" w:rsidRDefault="006766CE" w:rsidP="00B07609">
            <w:pPr>
              <w:pStyle w:val="Normal6a"/>
            </w:pPr>
            <w:r>
              <w:t>2.</w:t>
            </w:r>
            <w:r>
              <w:tab/>
              <w:t xml:space="preserve">Antes de </w:t>
            </w:r>
            <w:r>
              <w:rPr>
                <w:b/>
                <w:i/>
              </w:rPr>
              <w:t>1 </w:t>
            </w:r>
            <w:r>
              <w:t>de</w:t>
            </w:r>
            <w:r>
              <w:rPr>
                <w:b/>
                <w:i/>
              </w:rPr>
              <w:t> julho de 2031</w:t>
            </w:r>
            <w:r>
              <w:t xml:space="preserve">, e, posteriormente, de </w:t>
            </w:r>
            <w:r>
              <w:rPr>
                <w:b/>
                <w:i/>
              </w:rPr>
              <w:t>cinco</w:t>
            </w:r>
            <w:r>
              <w:t xml:space="preserve"> em </w:t>
            </w:r>
            <w:r>
              <w:rPr>
                <w:b/>
                <w:i/>
              </w:rPr>
              <w:t>cinco</w:t>
            </w:r>
            <w:r>
              <w:t xml:space="preserve"> anos, a Comissão avalia a</w:t>
            </w:r>
            <w:r>
              <w:rPr>
                <w:b/>
                <w:i/>
              </w:rPr>
              <w:t> </w:t>
            </w:r>
            <w:r>
              <w:t>eficácia do presente regulamento. Esta avaliação deve ter em conta a continuação das circunstâncias que justificaram a adoção do presente regulamento e a situação da indústria siderúrgica da União. Com base nessa avaliação, a Comissão pode apresentar uma proposta legislativa para alterar ou revogar o presente regulamento.</w:t>
            </w:r>
          </w:p>
        </w:tc>
        <w:tc>
          <w:tcPr>
            <w:tcW w:w="4876" w:type="dxa"/>
            <w:hideMark/>
          </w:tcPr>
          <w:p w14:paraId="1FB35977" w14:textId="77777777" w:rsidR="007F29A1" w:rsidRPr="00860FE1" w:rsidRDefault="006766CE" w:rsidP="00B07609">
            <w:pPr>
              <w:pStyle w:val="Normal6a"/>
            </w:pPr>
            <w:r>
              <w:t>2.</w:t>
            </w:r>
            <w:r>
              <w:tab/>
              <w:t xml:space="preserve">Antes de </w:t>
            </w:r>
            <w:r>
              <w:rPr>
                <w:b/>
                <w:i/>
              </w:rPr>
              <w:t>...</w:t>
            </w:r>
            <w:r>
              <w:t xml:space="preserve"> </w:t>
            </w:r>
            <w:r>
              <w:rPr>
                <w:b/>
                <w:i/>
              </w:rPr>
              <w:t xml:space="preserve">[dois anos a contar da data </w:t>
            </w:r>
            <w:r>
              <w:t>de</w:t>
            </w:r>
            <w:r>
              <w:rPr>
                <w:b/>
                <w:i/>
              </w:rPr>
              <w:t xml:space="preserve"> entrada em vigor do presente regulamento]</w:t>
            </w:r>
            <w:r>
              <w:t xml:space="preserve">, e, posteriormente, de </w:t>
            </w:r>
            <w:r>
              <w:rPr>
                <w:b/>
                <w:i/>
              </w:rPr>
              <w:t>dois</w:t>
            </w:r>
            <w:r>
              <w:t xml:space="preserve"> em </w:t>
            </w:r>
            <w:r>
              <w:rPr>
                <w:b/>
                <w:i/>
              </w:rPr>
              <w:t>dois</w:t>
            </w:r>
            <w:r>
              <w:t xml:space="preserve"> anos, a Comissão avalia a</w:t>
            </w:r>
            <w:r>
              <w:rPr>
                <w:b/>
                <w:i/>
              </w:rPr>
              <w:t xml:space="preserve"> </w:t>
            </w:r>
            <w:r>
              <w:t>eficácia do presente regulamento. Esta avaliação deve ter em conta a continuação das circunstâncias que justificaram a adoção do presente regulamento e a situação da indústria siderúrgica da União</w:t>
            </w:r>
            <w:r>
              <w:rPr>
                <w:b/>
                <w:i/>
              </w:rPr>
              <w:t>, nomeadamente os níveis dos preços e a utilização das capacidades, bem como as cadeias de valor a jusante</w:t>
            </w:r>
            <w:r>
              <w:t>. Com base nessa avaliação, a Comissão pode apresentar uma pr</w:t>
            </w:r>
            <w:r>
              <w:t>oposta legislativa para alterar ou revogar o presente regulamento.</w:t>
            </w:r>
          </w:p>
        </w:tc>
      </w:tr>
    </w:tbl>
    <w:p w14:paraId="35B80398" w14:textId="77777777" w:rsidR="007F29A1" w:rsidRPr="00860FE1" w:rsidRDefault="006766CE" w:rsidP="007F29A1">
      <w:pPr>
        <w:pStyle w:val="AmOrLang"/>
      </w:pPr>
      <w:r w:rsidRPr="00860FE1">
        <w:t xml:space="preserve">Or. </w:t>
      </w:r>
      <w:r w:rsidRPr="00860FE1">
        <w:rPr>
          <w:rStyle w:val="HideTWBExt"/>
        </w:rPr>
        <w:t>&lt;Original&gt;</w:t>
      </w:r>
      <w:r w:rsidRPr="00860FE1">
        <w:rPr>
          <w:rStyle w:val="HideTWBInt"/>
        </w:rPr>
        <w:t>{EN}</w:t>
      </w:r>
      <w:r w:rsidRPr="00860FE1">
        <w:t>en</w:t>
      </w:r>
      <w:r w:rsidRPr="00860FE1">
        <w:rPr>
          <w:rStyle w:val="HideTWBExt"/>
        </w:rPr>
        <w:t>&lt;/Original&gt;</w:t>
      </w:r>
    </w:p>
    <w:p w14:paraId="21D6BD79" w14:textId="77777777" w:rsidR="002032BE" w:rsidRDefault="002032BE">
      <w:pPr>
        <w:widowControl/>
        <w:rPr>
          <w:rStyle w:val="HideTWBExt"/>
          <w:vanish w:val="0"/>
        </w:rPr>
      </w:pPr>
      <w:r>
        <w:rPr>
          <w:rStyle w:val="HideTWBExt"/>
          <w:vanish w:val="0"/>
        </w:rPr>
        <w:br w:type="page"/>
      </w:r>
    </w:p>
    <w:p w14:paraId="6F6EA2A0" w14:textId="2EEEFFC4" w:rsidR="007F29A1" w:rsidRPr="00860FE1" w:rsidRDefault="006766CE" w:rsidP="007F29A1">
      <w:r>
        <w:rPr>
          <w:rStyle w:val="HideTWBExt"/>
        </w:rPr>
        <w:lastRenderedPageBreak/>
        <w:t>&lt;/Amend&gt;</w:t>
      </w:r>
    </w:p>
    <w:p w14:paraId="0261CE1D" w14:textId="77777777" w:rsidR="007F29A1" w:rsidRPr="00860FE1" w:rsidRDefault="006766CE" w:rsidP="007F29A1">
      <w:r>
        <w:rPr>
          <w:rStyle w:val="HideTWBExt"/>
        </w:rPr>
        <w:t>&lt;/RepeatBlock-Amend&gt;</w:t>
      </w:r>
      <w:bookmarkStart w:id="1" w:name="_Toc163033371"/>
      <w:bookmarkStart w:id="2" w:name="_Toc203408167"/>
    </w:p>
    <w:p w14:paraId="7D2CD6EB" w14:textId="77777777" w:rsidR="007F29A1" w:rsidRPr="00860FE1" w:rsidRDefault="006766CE" w:rsidP="007F29A1">
      <w:pPr>
        <w:pStyle w:val="PageHeading"/>
        <w:rPr>
          <w:bCs/>
          <w:sz w:val="28"/>
          <w:szCs w:val="28"/>
        </w:rPr>
      </w:pPr>
      <w:bookmarkStart w:id="3" w:name="_Toc214894346"/>
      <w:bookmarkStart w:id="4" w:name="_Toc215668536"/>
      <w:bookmarkEnd w:id="1"/>
      <w:bookmarkEnd w:id="2"/>
      <w:r>
        <w:t>EXPOSIÇÃO DE MOTIVOS</w:t>
      </w:r>
      <w:bookmarkEnd w:id="3"/>
      <w:bookmarkEnd w:id="4"/>
    </w:p>
    <w:p w14:paraId="3C3DF1E8" w14:textId="77777777" w:rsidR="007F29A1" w:rsidRPr="00860FE1" w:rsidRDefault="006766CE" w:rsidP="007F29A1">
      <w:pPr>
        <w:spacing w:after="120"/>
        <w:rPr>
          <w:szCs w:val="24"/>
        </w:rPr>
      </w:pPr>
      <w:r>
        <w:t xml:space="preserve">A União Europeia necessita de um setor siderúrgico forte, </w:t>
      </w:r>
      <w:r>
        <w:t xml:space="preserve">competitivo e descarbonizado, uma vez que este setor é fundamental para a competitividade, a segurança económica e a autonomia estratégica da UE. O setor siderúrgico é também essencial para os objetivos de descarbonização da União, não só no que se refere à redução da sua própria pegada de carbono, mas também porque representa um contributo importante para o setor das tecnologias verdes. Ademais, o aço é fundamental para reforçar a base industrial de defesa da Europa. </w:t>
      </w:r>
    </w:p>
    <w:p w14:paraId="2F76177E" w14:textId="77777777" w:rsidR="007F29A1" w:rsidRPr="00860FE1" w:rsidRDefault="006766CE" w:rsidP="007F29A1">
      <w:pPr>
        <w:spacing w:after="120"/>
        <w:rPr>
          <w:sz w:val="23"/>
          <w:szCs w:val="23"/>
        </w:rPr>
      </w:pPr>
      <w:r>
        <w:t>A União Europeia representa a terceira maior indústria siderúrgica a nível mundial e tem uma produção de aço em mais de 20 Estados-Membros. Os produtores de aço da UE empregam diretamente 300 000 trabalhadores e são responsáveis pela criação indireta de 2,5 milhões de postos de trabalho. Esta indústria desempenha um papel importante em muitas economias regionais.</w:t>
      </w:r>
    </w:p>
    <w:p w14:paraId="606FF7D1" w14:textId="77777777" w:rsidR="007F29A1" w:rsidRPr="00860FE1" w:rsidRDefault="006766CE" w:rsidP="007F29A1">
      <w:pPr>
        <w:spacing w:after="120"/>
        <w:rPr>
          <w:szCs w:val="24"/>
        </w:rPr>
      </w:pPr>
      <w:r>
        <w:t>Porém, os desafios comerciais que o setor siderúrgico da UE tem de enfrentar continuam a aumentar. Prevê-se que, nos próximos anos, continue a aumentar a sobrecapacidade mundial, que já tem um efeito de distorção e gera excedentes de aço a baixo custo e uma forte pressão por parte das importações no mercado da UE, sendo ainda agravada pelo desvio do aço das medidas de proteção aplicadas por vários parceiros comerciais da UE. A produção europeia de aço diminuiu drasticamente nas últimas décadas, levando ao e</w:t>
      </w:r>
      <w:r>
        <w:t xml:space="preserve">ncerramento de instalações e ao aumento do fosso entre os níveis de produção e de capacidade. O setor siderúrgico europeu não pode manter-se competitivo se a diminuição dos níveis de lucro não permitir a realização dos investimentos necessários na descarbonização. </w:t>
      </w:r>
    </w:p>
    <w:p w14:paraId="4282EBDC" w14:textId="77777777" w:rsidR="007F29A1" w:rsidRPr="00860FE1" w:rsidRDefault="007F29A1" w:rsidP="007F29A1"/>
    <w:p w14:paraId="339F3615" w14:textId="77777777" w:rsidR="007F29A1" w:rsidRPr="00860FE1" w:rsidRDefault="006766CE" w:rsidP="007F29A1">
      <w:r>
        <w:t>Uma vez que as medidas de salvaguarda provisórias adotadas em julho de 2018, e já prorrogadas, devem expirar em junho de 2026, é essencial estabelecer um mecanismo sólido e baseado em regras que permita a recuperação do setor, procurando simultaneamente reforçar as bases para um comércio livre mais alargado. A situação do aço a nível mundial, em geral, e a situação do setor siderúrgico europeu, em particular, indicam claramente que é necessária a adoção de uma medida forte, eficaz e direcionada. Neste conte</w:t>
      </w:r>
      <w:r>
        <w:t xml:space="preserve">xto, a </w:t>
      </w:r>
      <w:r>
        <w:rPr>
          <w:b/>
          <w:bCs/>
        </w:rPr>
        <w:t>relatora</w:t>
      </w:r>
      <w:r>
        <w:t xml:space="preserve"> congratula-se com o projeto de proposta legislativa, anunciado em março de 2025, no âmbito do Plano de Ação para o Aço e os Metais. A </w:t>
      </w:r>
      <w:r>
        <w:rPr>
          <w:b/>
          <w:bCs/>
        </w:rPr>
        <w:t>relatora</w:t>
      </w:r>
      <w:r>
        <w:t xml:space="preserve"> também concorda plenamente com a avaliação efetuada pela presidente Ursula von der Leyen no seu discurso sobre o estado da União, em setembro de 2025, no que diz respeito à necessidade estratégica de proteger as indústrias da União contra práticas comerciais desleais e de preservar condições de concorrência equitativas a nível mundial. </w:t>
      </w:r>
    </w:p>
    <w:p w14:paraId="7DEA9153" w14:textId="77777777" w:rsidR="007F29A1" w:rsidRPr="00860FE1" w:rsidRDefault="006766CE" w:rsidP="007F29A1">
      <w:pPr>
        <w:spacing w:after="120"/>
      </w:pPr>
      <w:r>
        <w:t xml:space="preserve">No que diz respeito ao conteúdo da proposta, </w:t>
      </w:r>
      <w:r>
        <w:rPr>
          <w:b/>
          <w:bCs/>
        </w:rPr>
        <w:t>a relatora</w:t>
      </w:r>
      <w:r>
        <w:t xml:space="preserve"> congratula-se com o facto de esta constituir um passo na direção certa em relação à medida de salvaguarda existente. O mercado único deve permanecer aberto ao comércio baseado em regras e, por conseguinte, a relatora apoia firmemente que os contingentes pautais isentos de direitos continuem a permitir uma abordagem baseada no mercado e que um nível de direitos claramente superior aos contingentes seja utilizado para dar resposta à sobrecapacidade e ao desvio de fluxos comerciais daí resultante. P</w:t>
      </w:r>
      <w:r>
        <w:t xml:space="preserve">ara o cálculo do contingente pautal isento de direitos, a </w:t>
      </w:r>
      <w:r>
        <w:rPr>
          <w:b/>
          <w:bCs/>
        </w:rPr>
        <w:t>relatora</w:t>
      </w:r>
      <w:r>
        <w:t xml:space="preserve"> considera que a utilização de 2013 como ano de referência, antes de a sobrecapacidade produzir efeitos negativos graves na Europa, representa um valor de referência equilibrado e </w:t>
      </w:r>
      <w:r>
        <w:lastRenderedPageBreak/>
        <w:t>coerente com a OMC. A fim de permitir uma certa flexibilidade no sistema, é conveniente permitir a transferência dos contingentes pautais não utilizados num trimestre. A relatora salienta a importância do requisito de «fundição e vazamento», que reforçará a rastreab</w:t>
      </w:r>
      <w:r>
        <w:t xml:space="preserve">ilidade dos produtos, garantirá a verdadeira origem dos fatores de produção siderúrgicos e reduzirá o risco de evasão através de um transbordo ou de uma transformação mínima. </w:t>
      </w:r>
    </w:p>
    <w:p w14:paraId="2AD62B38" w14:textId="77777777" w:rsidR="007F29A1" w:rsidRPr="00860FE1" w:rsidRDefault="006766CE" w:rsidP="007F29A1">
      <w:r>
        <w:t xml:space="preserve">A medida proposta para o aço necessita de uma avaliação regular e é suscetível de ser adaptada, a fim de contribuir eficazmente para o aumento da produção em empresas altamente competitivas. Deve também ser acompanhada de medidas para delimitar os mercados de exportação e estabelecer uma cooperação com parceiros comerciais que partilham as mesmas ideias no sentido de lutar contra a sobrecapacidade mundial. Não pode ser um instrumento para manter vivo um setor não competitivo e, ao mesmo tempo, transferir o </w:t>
      </w:r>
      <w:r>
        <w:t>problema para uma fase a jusante da cadeia de valor. Outro ponto importante é que uma produção siderúrgica competitiva também garante que a UE não crie uma dependência prejudicial. A relatora acolhe favoravelmente as avaliações regulares do âmbito de aplicação desta medida e considera que estas podem ser realizadas com mais frequência. A apresentação de relatórios anuais está em consonância com este tipo de instrumentos comerciais e permite aos colegisladores compreender a forma como a aplicação das diferen</w:t>
      </w:r>
      <w:r>
        <w:t xml:space="preserve">tes dimensões do instrumento evolui.  </w:t>
      </w:r>
    </w:p>
    <w:p w14:paraId="7544C5CD" w14:textId="77777777" w:rsidR="007F29A1" w:rsidRPr="00860FE1" w:rsidRDefault="007F29A1" w:rsidP="007F29A1">
      <w:pPr>
        <w:spacing w:after="120"/>
      </w:pPr>
    </w:p>
    <w:p w14:paraId="6A654E18" w14:textId="77777777" w:rsidR="007F29A1" w:rsidRPr="00860FE1" w:rsidRDefault="006766CE" w:rsidP="007F29A1">
      <w:pPr>
        <w:spacing w:after="120"/>
      </w:pPr>
      <w:r>
        <w:t xml:space="preserve">Numa altura em que o sistema de comércio multilateral está sob pressão constante, a </w:t>
      </w:r>
      <w:r>
        <w:rPr>
          <w:b/>
          <w:bCs/>
        </w:rPr>
        <w:t xml:space="preserve">relatora </w:t>
      </w:r>
      <w:r>
        <w:t xml:space="preserve">congratula-se, em particular, com o facto de o regulamento proposto ter sido elaborado de forma a continuar em plena conformidade com as regras da OMC. A </w:t>
      </w:r>
      <w:r>
        <w:rPr>
          <w:b/>
          <w:bCs/>
        </w:rPr>
        <w:t>relatora</w:t>
      </w:r>
      <w:r>
        <w:t xml:space="preserve"> acompanhará com especial atenção as negociações que serão realizadas com os parceiros comerciais em causa, em particular aqueles com os quais a União celebrou, ou está em vias de celebrar, acordos de comércio livre, a fim de garantir a clareza jurídica e a previsibilidade, bem como de preservar a integridade da arquitetura de defesa comer</w:t>
      </w:r>
      <w:r>
        <w:t>cial da UE.</w:t>
      </w:r>
    </w:p>
    <w:p w14:paraId="4B71DC0A" w14:textId="77777777" w:rsidR="007F29A1" w:rsidRPr="00860FE1" w:rsidRDefault="006766CE" w:rsidP="007F29A1">
      <w:pPr>
        <w:spacing w:after="120"/>
      </w:pPr>
      <w:sdt>
        <w:sdtPr>
          <w:tag w:val="goog_rdk_0"/>
          <w:id w:val="473255504"/>
          <w:showingPlcHdr/>
        </w:sdtPr>
        <w:sdtEndPr/>
        <w:sdtContent>
          <w:r>
            <w:t xml:space="preserve">     </w:t>
          </w:r>
        </w:sdtContent>
      </w:sdt>
      <w:r>
        <w:t xml:space="preserve">A </w:t>
      </w:r>
      <w:r>
        <w:rPr>
          <w:b/>
          <w:bCs/>
        </w:rPr>
        <w:t>relatora</w:t>
      </w:r>
      <w:r>
        <w:t xml:space="preserve"> considera também que se deve ter em devida consideração o caso específico </w:t>
      </w:r>
      <w:sdt>
        <w:sdtPr>
          <w:tag w:val="goog_rdk_1"/>
          <w:id w:val="-1162988836"/>
        </w:sdtPr>
        <w:sdtEndPr/>
        <w:sdtContent/>
      </w:sdt>
      <w:sdt>
        <w:sdtPr>
          <w:tag w:val="goog_rdk_2"/>
          <w:id w:val="1981819436"/>
        </w:sdtPr>
        <w:sdtEndPr/>
        <w:sdtContent/>
      </w:sdt>
      <w:r>
        <w:t xml:space="preserve">da Ucrânia, país candidato à adesão à União Europeia. Por conseguinte, </w:t>
      </w:r>
      <w:sdt>
        <w:sdtPr>
          <w:tag w:val="goog_rdk_3"/>
          <w:id w:val="-2069927053"/>
        </w:sdtPr>
        <w:sdtEndPr/>
        <w:sdtContent/>
      </w:sdt>
      <w:sdt>
        <w:sdtPr>
          <w:tag w:val="goog_rdk_4"/>
          <w:id w:val="-1346164781"/>
        </w:sdtPr>
        <w:sdtEndPr/>
        <w:sdtContent/>
      </w:sdt>
      <w:r>
        <w:t>em consonância com o compromisso da União de apoiar a economia da Ucrânia durante a atual guerra de agressão e em conformidade com o acordo político sobre o Regulamento (UE) 2025/1153 (COD), deve ser confirmada a não aplicação do artigo 1.º. Do mesmo modo, o regulamento deve colmatar eventuais lacunas que possam permitir a importação direta ou indireta de produtos provenientes da Rússia, que continuariam a financiar as constantes atividades hostis deste país, comprometendo a paz e a estabilidade europeias.</w:t>
      </w:r>
    </w:p>
    <w:p w14:paraId="6A1345FE" w14:textId="77777777" w:rsidR="007F29A1" w:rsidRPr="00860FE1" w:rsidRDefault="007F29A1" w:rsidP="007F29A1">
      <w:pPr>
        <w:spacing w:after="120"/>
      </w:pPr>
    </w:p>
    <w:p w14:paraId="007123BA" w14:textId="77777777" w:rsidR="007F29A1" w:rsidRPr="00860FE1" w:rsidRDefault="006766CE" w:rsidP="007F29A1">
      <w:pPr>
        <w:spacing w:after="120"/>
      </w:pPr>
      <w:r>
        <w:t>Tendo em conta o trabalho que os colegisladores terão de realizar, a magnitude dos desafios enfrentados pelo setor siderúrgico e a urgência de proporcionar segurança jurídica e económica, a relatora considera que o processo democrático deve avançar sem demora, de modo que o regulamento possa entrar em vigor atempadamente.</w:t>
      </w:r>
    </w:p>
    <w:p w14:paraId="0F74531E" w14:textId="77777777" w:rsidR="007F29A1" w:rsidRDefault="006766CE">
      <w:pPr>
        <w:widowControl/>
        <w:rPr>
          <w:b/>
        </w:rPr>
      </w:pPr>
      <w:r>
        <w:br w:type="page"/>
      </w:r>
    </w:p>
    <w:p w14:paraId="7CA55061" w14:textId="77777777" w:rsidR="0073748F" w:rsidRPr="0073748F" w:rsidRDefault="006766CE" w:rsidP="00CF69F3">
      <w:pPr>
        <w:pStyle w:val="PageHeading"/>
      </w:pPr>
      <w:bookmarkStart w:id="5" w:name="_Toc215668537"/>
      <w:r>
        <w:lastRenderedPageBreak/>
        <w:t>ANEXO: DECLARAÇÃO DE CONTRIBUTOS</w:t>
      </w:r>
      <w:bookmarkEnd w:id="5"/>
    </w:p>
    <w:p w14:paraId="6D09A491" w14:textId="77777777" w:rsidR="00CF69F3" w:rsidRDefault="006766CE" w:rsidP="00CF69F3">
      <w:pPr>
        <w:pStyle w:val="AmNumberTabs"/>
        <w:keepNext/>
        <w:spacing w:line="360" w:lineRule="auto"/>
        <w:rPr>
          <w:b w:val="0"/>
          <w:bCs/>
        </w:rPr>
      </w:pPr>
      <w:r>
        <w:rPr>
          <w:b w:val="0"/>
        </w:rPr>
        <w:t>Em conformidade com o artigo 8.º do anexo I do Regimento, a relatora declara ter incluído no seu relatório os contributos sobre questões relacionadas com o assunto do dossiê que recebeu, aquando da elaboração do projeto de relatório, até à sua aprovação em comissão, dos seguintes representantes de interesses abrangidos pelo âmbito de aplicação do Acordo Interinstitucional sobre um Registo de Transparência Obrigatório</w:t>
      </w:r>
      <w:r>
        <w:rPr>
          <w:rStyle w:val="FootnoteReference"/>
          <w:b w:val="0"/>
          <w:bCs/>
        </w:rPr>
        <w:footnoteReference w:id="1"/>
      </w:r>
      <w:r>
        <w:rPr>
          <w:b w:val="0"/>
        </w:rPr>
        <w:t xml:space="preserve"> ou dos seguintes representantes das autoridades públicas de países terceiros, incluindo as respetivas missões diplomáticas e embaixadas:</w:t>
      </w:r>
    </w:p>
    <w:tbl>
      <w:tblPr>
        <w:tblW w:w="9530" w:type="dxa"/>
        <w:tblInd w:w="98" w:type="dxa"/>
        <w:tblLayout w:type="fixed"/>
        <w:tblCellMar>
          <w:left w:w="0" w:type="dxa"/>
          <w:right w:w="0" w:type="dxa"/>
        </w:tblCellMar>
        <w:tblLook w:val="01E0" w:firstRow="1" w:lastRow="1" w:firstColumn="1" w:lastColumn="1" w:noHBand="0" w:noVBand="0"/>
      </w:tblPr>
      <w:tblGrid>
        <w:gridCol w:w="9530"/>
      </w:tblGrid>
      <w:tr w:rsidR="007327BC" w14:paraId="30CF505F" w14:textId="77777777" w:rsidTr="0073748F">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25FB328F" w14:textId="77777777" w:rsidR="0073748F" w:rsidRPr="0073748F" w:rsidRDefault="006766CE" w:rsidP="0073748F">
            <w:pPr>
              <w:pStyle w:val="AmNumberTabs"/>
              <w:keepNext/>
            </w:pPr>
            <w:r>
              <w:t>1. Representantes de interesses abrangidos pelo âmbito de aplicação do Acordo Interinstitucional sobre um Registo de Transparência Obrigatório</w:t>
            </w:r>
          </w:p>
        </w:tc>
      </w:tr>
      <w:tr w:rsidR="007327BC" w14:paraId="08C08B3E"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1C4B1DBD" w14:textId="77777777" w:rsidR="0073748F" w:rsidRPr="0073748F" w:rsidRDefault="006766CE" w:rsidP="0073748F">
            <w:pPr>
              <w:pStyle w:val="AmNumberTabs"/>
              <w:keepNext/>
              <w:rPr>
                <w:b w:val="0"/>
                <w:bCs/>
              </w:rPr>
            </w:pPr>
            <w:r>
              <w:rPr>
                <w:b w:val="0"/>
              </w:rPr>
              <w:t>Thyssenkrupp</w:t>
            </w:r>
          </w:p>
        </w:tc>
      </w:tr>
      <w:tr w:rsidR="007327BC" w14:paraId="72814409"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5DAA8A1C" w14:textId="77777777" w:rsidR="0073748F" w:rsidRPr="0073748F" w:rsidRDefault="006766CE" w:rsidP="0073748F">
            <w:pPr>
              <w:pStyle w:val="AmNumberTabs"/>
              <w:keepNext/>
              <w:rPr>
                <w:b w:val="0"/>
                <w:bCs/>
              </w:rPr>
            </w:pPr>
            <w:r>
              <w:rPr>
                <w:b w:val="0"/>
              </w:rPr>
              <w:t>Eurofer</w:t>
            </w:r>
          </w:p>
        </w:tc>
      </w:tr>
      <w:tr w:rsidR="007327BC" w14:paraId="58C29545" w14:textId="77777777" w:rsidTr="0073748F">
        <w:trPr>
          <w:trHeight w:val="606"/>
        </w:trPr>
        <w:tc>
          <w:tcPr>
            <w:tcW w:w="9530" w:type="dxa"/>
            <w:tcBorders>
              <w:top w:val="single" w:sz="4" w:space="0" w:color="000000"/>
              <w:left w:val="single" w:sz="4" w:space="0" w:color="000000"/>
              <w:bottom w:val="single" w:sz="4" w:space="0" w:color="000000"/>
              <w:right w:val="single" w:sz="4" w:space="0" w:color="000000"/>
            </w:tcBorders>
          </w:tcPr>
          <w:p w14:paraId="641C14BD" w14:textId="77777777" w:rsidR="0073748F" w:rsidRDefault="0073748F" w:rsidP="0073748F">
            <w:pPr>
              <w:rPr>
                <w:szCs w:val="24"/>
              </w:rPr>
            </w:pPr>
          </w:p>
          <w:p w14:paraId="24548016" w14:textId="77777777" w:rsidR="0073748F" w:rsidRPr="0073748F" w:rsidRDefault="006766CE" w:rsidP="0073748F">
            <w:pPr>
              <w:rPr>
                <w:szCs w:val="24"/>
              </w:rPr>
            </w:pPr>
            <w:r>
              <w:t>Jernkontoret</w:t>
            </w:r>
          </w:p>
        </w:tc>
      </w:tr>
      <w:tr w:rsidR="007327BC" w14:paraId="6B389846"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3BE56AA2" w14:textId="77777777" w:rsidR="0073748F" w:rsidRPr="0073748F" w:rsidRDefault="006766CE" w:rsidP="0073748F">
            <w:pPr>
              <w:pStyle w:val="AmNumberTabs"/>
              <w:keepNext/>
              <w:rPr>
                <w:b w:val="0"/>
                <w:bCs/>
              </w:rPr>
            </w:pPr>
            <w:r>
              <w:rPr>
                <w:b w:val="0"/>
                <w:color w:val="000000"/>
              </w:rPr>
              <w:t>European Steel Processors Association</w:t>
            </w:r>
          </w:p>
        </w:tc>
      </w:tr>
      <w:tr w:rsidR="007327BC" w14:paraId="46D904D1"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7536A3F2" w14:textId="77777777" w:rsidR="0073748F" w:rsidRDefault="0073748F" w:rsidP="0073748F">
            <w:pPr>
              <w:rPr>
                <w:szCs w:val="24"/>
              </w:rPr>
            </w:pPr>
          </w:p>
          <w:p w14:paraId="4C3C781E" w14:textId="77777777" w:rsidR="0073748F" w:rsidRPr="0073748F" w:rsidRDefault="006766CE" w:rsidP="0073748F">
            <w:pPr>
              <w:rPr>
                <w:szCs w:val="24"/>
              </w:rPr>
            </w:pPr>
            <w:r>
              <w:t>Metal Packaging Europe External Affairs ASBL</w:t>
            </w:r>
          </w:p>
        </w:tc>
      </w:tr>
      <w:tr w:rsidR="007327BC" w14:paraId="5F9EF4F7"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0E9AB1AD" w14:textId="77777777" w:rsidR="0073748F" w:rsidRPr="0073748F" w:rsidRDefault="006766CE" w:rsidP="0073748F">
            <w:pPr>
              <w:pStyle w:val="AmNumberTabs"/>
              <w:keepNext/>
              <w:rPr>
                <w:b w:val="0"/>
                <w:bCs/>
              </w:rPr>
            </w:pPr>
            <w:r>
              <w:rPr>
                <w:b w:val="0"/>
                <w:color w:val="000000"/>
              </w:rPr>
              <w:t>Orgalim – Europe's Technology Industries</w:t>
            </w:r>
          </w:p>
        </w:tc>
      </w:tr>
      <w:tr w:rsidR="007327BC" w14:paraId="5ECE5AE3" w14:textId="77777777" w:rsidTr="0073748F">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70288DA1" w14:textId="77777777" w:rsidR="0073748F" w:rsidRPr="0073748F" w:rsidRDefault="006766CE" w:rsidP="0073748F">
            <w:pPr>
              <w:pStyle w:val="AmNumberTabs"/>
              <w:keepNext/>
            </w:pPr>
            <w:r>
              <w:t xml:space="preserve">2. Representantes das autoridades públicas de países </w:t>
            </w:r>
            <w:r>
              <w:t>terceiros, incluindo as respetivas missões diplomáticas e embaixadas</w:t>
            </w:r>
          </w:p>
        </w:tc>
      </w:tr>
      <w:tr w:rsidR="007327BC" w14:paraId="628923F7"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2D81AAFB" w14:textId="77777777" w:rsidR="0073748F" w:rsidRPr="0073748F" w:rsidRDefault="006766CE" w:rsidP="0073748F">
            <w:pPr>
              <w:pStyle w:val="AmNumberTabs"/>
              <w:keepNext/>
              <w:rPr>
                <w:b w:val="0"/>
                <w:bCs/>
                <w:szCs w:val="24"/>
              </w:rPr>
            </w:pPr>
            <w:r>
              <w:rPr>
                <w:b w:val="0"/>
              </w:rPr>
              <w:t>Kommerskollegium - National Board of Trade Sweden</w:t>
            </w:r>
          </w:p>
        </w:tc>
      </w:tr>
      <w:tr w:rsidR="007327BC" w14:paraId="20DB8550"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4235B131" w14:textId="77777777" w:rsidR="0073748F" w:rsidRPr="0073748F" w:rsidRDefault="006766CE" w:rsidP="0073748F">
            <w:pPr>
              <w:pStyle w:val="AmNumberTabs"/>
              <w:keepNext/>
              <w:rPr>
                <w:b w:val="0"/>
                <w:bCs/>
                <w:szCs w:val="24"/>
              </w:rPr>
            </w:pPr>
            <w:r>
              <w:rPr>
                <w:b w:val="0"/>
              </w:rPr>
              <w:t>Permanent representation of Sweden to the EU</w:t>
            </w:r>
          </w:p>
        </w:tc>
      </w:tr>
      <w:tr w:rsidR="007327BC" w14:paraId="3580DFE9"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2095FFBE" w14:textId="77777777" w:rsidR="0073748F" w:rsidRPr="0073748F" w:rsidRDefault="006766CE" w:rsidP="0073748F">
            <w:pPr>
              <w:pStyle w:val="AmNumberTabs"/>
              <w:keepNext/>
              <w:rPr>
                <w:b w:val="0"/>
                <w:bCs/>
              </w:rPr>
            </w:pPr>
            <w:r>
              <w:rPr>
                <w:b w:val="0"/>
              </w:rPr>
              <w:t>Permanent representation of Finland to the EU</w:t>
            </w:r>
          </w:p>
        </w:tc>
      </w:tr>
      <w:tr w:rsidR="007327BC" w14:paraId="17E58E6F" w14:textId="77777777" w:rsidTr="0073748F">
        <w:trPr>
          <w:trHeight w:val="278"/>
        </w:trPr>
        <w:tc>
          <w:tcPr>
            <w:tcW w:w="9530" w:type="dxa"/>
            <w:tcBorders>
              <w:top w:val="single" w:sz="4" w:space="0" w:color="000000"/>
              <w:left w:val="single" w:sz="4" w:space="0" w:color="000000"/>
              <w:bottom w:val="single" w:sz="4" w:space="0" w:color="000000"/>
              <w:right w:val="single" w:sz="4" w:space="0" w:color="000000"/>
            </w:tcBorders>
          </w:tcPr>
          <w:p w14:paraId="2C1AB6DA" w14:textId="77777777" w:rsidR="0073748F" w:rsidRPr="0073748F" w:rsidRDefault="006766CE" w:rsidP="0073748F">
            <w:pPr>
              <w:pStyle w:val="AmNumberTabs"/>
              <w:keepNext/>
              <w:rPr>
                <w:b w:val="0"/>
                <w:bCs/>
              </w:rPr>
            </w:pPr>
            <w:r>
              <w:rPr>
                <w:b w:val="0"/>
              </w:rPr>
              <w:t>Mission of Switzerland to the EU</w:t>
            </w:r>
          </w:p>
        </w:tc>
      </w:tr>
    </w:tbl>
    <w:p w14:paraId="5C95E581" w14:textId="77777777" w:rsidR="0073748F" w:rsidRPr="0073748F" w:rsidRDefault="006766CE" w:rsidP="0073748F">
      <w:pPr>
        <w:pStyle w:val="AmNumberTabs"/>
        <w:keepNext/>
        <w:rPr>
          <w:b w:val="0"/>
          <w:bCs/>
        </w:rPr>
      </w:pPr>
      <w:r>
        <w:rPr>
          <w:b w:val="0"/>
        </w:rPr>
        <w:t xml:space="preserve">A </w:t>
      </w:r>
      <w:r>
        <w:rPr>
          <w:b w:val="0"/>
        </w:rPr>
        <w:t>lista acima é elaborada sob a responsabilidade exclusiva da relatora.</w:t>
      </w:r>
    </w:p>
    <w:p w14:paraId="7D927401" w14:textId="77777777" w:rsidR="0073748F" w:rsidRPr="0073748F" w:rsidRDefault="006766CE" w:rsidP="0073748F">
      <w:pPr>
        <w:pStyle w:val="AmNumberTabs"/>
        <w:keepNext/>
        <w:rPr>
          <w:b w:val="0"/>
          <w:bCs/>
        </w:rPr>
      </w:pPr>
      <w:r>
        <w:rPr>
          <w:b w:val="0"/>
        </w:rPr>
        <w:t>Se as pessoas singulares forem identificadas na lista pelo nome, pela função, ou por ambos, a relatora declara ter enviado às pessoas singulares em causa a Declaração relativa à proteção de dados n.º 484 do Parlamento Europeu (</w:t>
      </w:r>
      <w:hyperlink r:id="rId10" w:history="1">
        <w:r>
          <w:rPr>
            <w:rStyle w:val="Hyperlink"/>
            <w:b w:val="0"/>
          </w:rPr>
          <w:t>https://www.europarl.europa.eu/data-protect/index.do</w:t>
        </w:r>
      </w:hyperlink>
      <w:r>
        <w:rPr>
          <w:b w:val="0"/>
        </w:rPr>
        <w:t xml:space="preserve">), que estabelece as condições aplicáveis ao tratamento dos respetivos dados </w:t>
      </w:r>
      <w:r>
        <w:rPr>
          <w:b w:val="0"/>
        </w:rPr>
        <w:lastRenderedPageBreak/>
        <w:t>pessoais e os direitos associados a esse tratamento.</w:t>
      </w:r>
    </w:p>
    <w:p w14:paraId="76794B03" w14:textId="77777777" w:rsidR="002669B6" w:rsidRPr="00A03DA4" w:rsidRDefault="002669B6" w:rsidP="007F29A1">
      <w:pPr>
        <w:pStyle w:val="AmNumberTabs"/>
        <w:keepNext/>
      </w:pPr>
    </w:p>
    <w:sectPr w:rsidR="002669B6" w:rsidRPr="00A03DA4" w:rsidSect="0045574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4A542" w14:textId="77777777" w:rsidR="006766CE" w:rsidRDefault="006766CE">
      <w:r>
        <w:separator/>
      </w:r>
    </w:p>
  </w:endnote>
  <w:endnote w:type="continuationSeparator" w:id="0">
    <w:p w14:paraId="37F0FA5C" w14:textId="77777777" w:rsidR="006766CE" w:rsidRDefault="00676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32D1" w14:textId="77777777" w:rsidR="00FB52FE" w:rsidRPr="00A03DA4" w:rsidRDefault="006766CE" w:rsidP="00F07062">
    <w:pPr>
      <w:pStyle w:val="EPFooter"/>
    </w:pPr>
    <w:r w:rsidRPr="00A03DA4">
      <w:t>PE</w:t>
    </w:r>
    <w:r w:rsidRPr="00A03DA4">
      <w:rPr>
        <w:rStyle w:val="HideTWBExt"/>
      </w:rPr>
      <w:t>&lt;NoPE&gt;</w:t>
    </w:r>
    <w:r w:rsidR="007F29A1" w:rsidRPr="007F29A1">
      <w:t>779.727</w:t>
    </w:r>
    <w:r w:rsidRPr="00A03DA4">
      <w:rPr>
        <w:rStyle w:val="HideTWBExt"/>
      </w:rPr>
      <w:t>&lt;/NoPE&gt;&lt;Version&gt;</w:t>
    </w:r>
    <w:r w:rsidR="00A03DA4" w:rsidRPr="00A03DA4">
      <w:t>v</w:t>
    </w:r>
    <w:r w:rsidR="007F29A1" w:rsidRPr="007F29A1">
      <w:t>01-00</w:t>
    </w:r>
    <w:r w:rsidRPr="00A03DA4">
      <w:rPr>
        <w:rStyle w:val="HideTWBExt"/>
      </w:rPr>
      <w:t>&lt;/Version&gt;</w:t>
    </w:r>
    <w:r w:rsidRPr="00A03DA4">
      <w:tab/>
    </w:r>
    <w:r w:rsidR="00914537" w:rsidRPr="00A03DA4">
      <w:fldChar w:fldCharType="begin"/>
    </w:r>
    <w:r w:rsidR="00914537" w:rsidRPr="00A03DA4">
      <w:instrText xml:space="preserve"> PAGE </w:instrText>
    </w:r>
    <w:r w:rsidR="00914537" w:rsidRPr="00A03DA4">
      <w:fldChar w:fldCharType="separate"/>
    </w:r>
    <w:r w:rsidR="00305CD9" w:rsidRPr="00A03DA4">
      <w:rPr>
        <w:noProof/>
      </w:rPr>
      <w:t>6</w:t>
    </w:r>
    <w:r w:rsidR="00914537" w:rsidRPr="00A03DA4">
      <w:fldChar w:fldCharType="end"/>
    </w:r>
    <w:r w:rsidR="00914537" w:rsidRPr="00A03DA4">
      <w:t>/</w:t>
    </w:r>
    <w:r w:rsidR="00914537" w:rsidRPr="00A03DA4">
      <w:rPr>
        <w:rStyle w:val="PageNumber"/>
      </w:rPr>
      <w:fldChar w:fldCharType="begin"/>
    </w:r>
    <w:r w:rsidR="00914537" w:rsidRPr="00A03DA4">
      <w:rPr>
        <w:rStyle w:val="PageNumber"/>
      </w:rPr>
      <w:instrText xml:space="preserve"> NUMPAGES </w:instrText>
    </w:r>
    <w:r w:rsidR="00914537" w:rsidRPr="00A03DA4">
      <w:rPr>
        <w:rStyle w:val="PageNumber"/>
      </w:rPr>
      <w:fldChar w:fldCharType="separate"/>
    </w:r>
    <w:r w:rsidR="00305CD9" w:rsidRPr="00A03DA4">
      <w:rPr>
        <w:rStyle w:val="PageNumber"/>
        <w:noProof/>
      </w:rPr>
      <w:t>6</w:t>
    </w:r>
    <w:r w:rsidR="00914537" w:rsidRPr="00A03DA4">
      <w:rPr>
        <w:rStyle w:val="PageNumber"/>
      </w:rPr>
      <w:fldChar w:fldCharType="end"/>
    </w:r>
    <w:r w:rsidRPr="00A03DA4">
      <w:tab/>
    </w:r>
    <w:r w:rsidRPr="00A03DA4">
      <w:rPr>
        <w:rStyle w:val="HideTWBExt"/>
      </w:rPr>
      <w:t>&lt;PathFdR&gt;</w:t>
    </w:r>
    <w:r w:rsidR="007F29A1" w:rsidRPr="007F29A1">
      <w:t>PR\1332449PT.docx</w:t>
    </w:r>
    <w:r w:rsidRPr="00A03DA4">
      <w:rPr>
        <w:rStyle w:val="HideTWBExt"/>
      </w:rPr>
      <w:t>&lt;/PathFdR&gt;</w:t>
    </w:r>
  </w:p>
  <w:p w14:paraId="609F6AE5" w14:textId="025A2FA7" w:rsidR="00FB52FE" w:rsidRPr="00A03DA4" w:rsidRDefault="006766CE">
    <w:pPr>
      <w:pStyle w:val="EPFooter2"/>
    </w:pPr>
    <w:r w:rsidRPr="00A03DA4">
      <w:fldChar w:fldCharType="begin"/>
    </w:r>
    <w:r w:rsidRPr="00A03DA4">
      <w:instrText xml:space="preserve"> DOCPROPERTY "&lt;Extension&gt;" </w:instrText>
    </w:r>
    <w:r w:rsidRPr="00A03DA4">
      <w:fldChar w:fldCharType="separate"/>
    </w:r>
    <w:r w:rsidR="002032BE">
      <w:t>PT</w:t>
    </w:r>
    <w:r w:rsidRPr="00A03DA4">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3CEF" w14:textId="77777777" w:rsidR="00FB52FE" w:rsidRPr="00A03DA4" w:rsidRDefault="006766CE" w:rsidP="00F07062">
    <w:pPr>
      <w:pStyle w:val="EPFooter"/>
    </w:pPr>
    <w:r w:rsidRPr="00A03DA4">
      <w:rPr>
        <w:rStyle w:val="HideTWBExt"/>
      </w:rPr>
      <w:t>&lt;PathFdR&gt;</w:t>
    </w:r>
    <w:r w:rsidR="007F29A1" w:rsidRPr="007F29A1">
      <w:t>PR\1332449PT.docx</w:t>
    </w:r>
    <w:r w:rsidRPr="00A03DA4">
      <w:rPr>
        <w:rStyle w:val="HideTWBExt"/>
      </w:rPr>
      <w:t>&lt;/PathFdR&gt;</w:t>
    </w:r>
    <w:r w:rsidRPr="00A03DA4">
      <w:tab/>
    </w:r>
    <w:r w:rsidR="00914537" w:rsidRPr="00A03DA4">
      <w:fldChar w:fldCharType="begin"/>
    </w:r>
    <w:r w:rsidR="00914537" w:rsidRPr="00A03DA4">
      <w:instrText xml:space="preserve"> PAGE </w:instrText>
    </w:r>
    <w:r w:rsidR="00914537" w:rsidRPr="00A03DA4">
      <w:fldChar w:fldCharType="separate"/>
    </w:r>
    <w:r w:rsidR="00305CD9" w:rsidRPr="00A03DA4">
      <w:rPr>
        <w:noProof/>
      </w:rPr>
      <w:t>5</w:t>
    </w:r>
    <w:r w:rsidR="00914537" w:rsidRPr="00A03DA4">
      <w:fldChar w:fldCharType="end"/>
    </w:r>
    <w:r w:rsidR="00914537" w:rsidRPr="00A03DA4">
      <w:t>/</w:t>
    </w:r>
    <w:r w:rsidR="00914537" w:rsidRPr="00A03DA4">
      <w:rPr>
        <w:rStyle w:val="PageNumber"/>
      </w:rPr>
      <w:fldChar w:fldCharType="begin"/>
    </w:r>
    <w:r w:rsidR="00914537" w:rsidRPr="00A03DA4">
      <w:rPr>
        <w:rStyle w:val="PageNumber"/>
      </w:rPr>
      <w:instrText xml:space="preserve"> NUMPAGES </w:instrText>
    </w:r>
    <w:r w:rsidR="00914537" w:rsidRPr="00A03DA4">
      <w:rPr>
        <w:rStyle w:val="PageNumber"/>
      </w:rPr>
      <w:fldChar w:fldCharType="separate"/>
    </w:r>
    <w:r w:rsidR="00305CD9" w:rsidRPr="00A03DA4">
      <w:rPr>
        <w:rStyle w:val="PageNumber"/>
        <w:noProof/>
      </w:rPr>
      <w:t>6</w:t>
    </w:r>
    <w:r w:rsidR="00914537" w:rsidRPr="00A03DA4">
      <w:rPr>
        <w:rStyle w:val="PageNumber"/>
      </w:rPr>
      <w:fldChar w:fldCharType="end"/>
    </w:r>
    <w:r w:rsidRPr="00A03DA4">
      <w:tab/>
      <w:t>PE</w:t>
    </w:r>
    <w:r w:rsidRPr="00A03DA4">
      <w:rPr>
        <w:rStyle w:val="HideTWBExt"/>
      </w:rPr>
      <w:t>&lt;NoPE&gt;</w:t>
    </w:r>
    <w:r w:rsidR="007F29A1" w:rsidRPr="007F29A1">
      <w:t>779.727</w:t>
    </w:r>
    <w:r w:rsidRPr="00A03DA4">
      <w:rPr>
        <w:rStyle w:val="HideTWBExt"/>
      </w:rPr>
      <w:t>&lt;/NoPE&gt;&lt;Version&gt;</w:t>
    </w:r>
    <w:r w:rsidR="00A03DA4" w:rsidRPr="00A03DA4">
      <w:t>v</w:t>
    </w:r>
    <w:r w:rsidR="007F29A1" w:rsidRPr="007F29A1">
      <w:t>01-00</w:t>
    </w:r>
    <w:r w:rsidRPr="00A03DA4">
      <w:rPr>
        <w:rStyle w:val="HideTWBExt"/>
      </w:rPr>
      <w:t>&lt;/Version&gt;</w:t>
    </w:r>
  </w:p>
  <w:p w14:paraId="36E7619C" w14:textId="155C41A3" w:rsidR="00FB52FE" w:rsidRPr="00A03DA4" w:rsidRDefault="006766CE">
    <w:pPr>
      <w:pStyle w:val="EPFooter2"/>
    </w:pPr>
    <w:r w:rsidRPr="00A03DA4">
      <w:tab/>
    </w:r>
    <w:r w:rsidRPr="00A03DA4">
      <w:tab/>
    </w:r>
    <w:r w:rsidR="00305CD9" w:rsidRPr="00A03DA4">
      <w:fldChar w:fldCharType="begin"/>
    </w:r>
    <w:r w:rsidR="00305CD9" w:rsidRPr="00A03DA4">
      <w:instrText xml:space="preserve"> DOCPROPERTY "&lt;Extension&gt;" </w:instrText>
    </w:r>
    <w:r w:rsidR="00305CD9" w:rsidRPr="00A03DA4">
      <w:fldChar w:fldCharType="separate"/>
    </w:r>
    <w:r w:rsidR="002032BE">
      <w:t>PT</w:t>
    </w:r>
    <w:r w:rsidR="00305CD9" w:rsidRPr="00A03DA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E2ECC" w14:textId="77777777" w:rsidR="00FB52FE" w:rsidRPr="00A03DA4" w:rsidRDefault="006766CE" w:rsidP="00F07062">
    <w:pPr>
      <w:pStyle w:val="EPFooter"/>
    </w:pPr>
    <w:r w:rsidRPr="00A03DA4">
      <w:rPr>
        <w:rStyle w:val="HideTWBExt"/>
      </w:rPr>
      <w:t>&lt;PathFdR&gt;</w:t>
    </w:r>
    <w:r w:rsidR="007F29A1" w:rsidRPr="007F29A1">
      <w:t>PR\1332449PT.docx</w:t>
    </w:r>
    <w:r w:rsidRPr="00A03DA4">
      <w:rPr>
        <w:rStyle w:val="HideTWBExt"/>
      </w:rPr>
      <w:t>&lt;/PathFdR&gt;</w:t>
    </w:r>
    <w:r w:rsidRPr="00A03DA4">
      <w:tab/>
    </w:r>
    <w:r w:rsidRPr="00A03DA4">
      <w:tab/>
      <w:t>PE</w:t>
    </w:r>
    <w:r w:rsidRPr="00A03DA4">
      <w:rPr>
        <w:rStyle w:val="HideTWBExt"/>
      </w:rPr>
      <w:t>&lt;NoPE&gt;</w:t>
    </w:r>
    <w:r w:rsidR="007F29A1" w:rsidRPr="007F29A1">
      <w:t>779.727</w:t>
    </w:r>
    <w:r w:rsidRPr="00A03DA4">
      <w:rPr>
        <w:rStyle w:val="HideTWBExt"/>
      </w:rPr>
      <w:t>&lt;/NoPE&gt;&lt;Version&gt;</w:t>
    </w:r>
    <w:r w:rsidR="00A03DA4" w:rsidRPr="00A03DA4">
      <w:t>v</w:t>
    </w:r>
    <w:r w:rsidR="007F29A1" w:rsidRPr="007F29A1">
      <w:t>01-00</w:t>
    </w:r>
    <w:r w:rsidRPr="00A03DA4">
      <w:rPr>
        <w:rStyle w:val="HideTWBExt"/>
      </w:rPr>
      <w:t>&lt;/Version&gt;</w:t>
    </w:r>
  </w:p>
  <w:p w14:paraId="061637AE" w14:textId="45A3C06E" w:rsidR="00FB52FE" w:rsidRPr="00A03DA4" w:rsidRDefault="006766CE" w:rsidP="00461601">
    <w:pPr>
      <w:pStyle w:val="EPFooter2"/>
      <w:tabs>
        <w:tab w:val="clear" w:pos="4535"/>
        <w:tab w:val="center" w:pos="4536"/>
      </w:tabs>
    </w:pPr>
    <w:r w:rsidRPr="00A03DA4">
      <w:fldChar w:fldCharType="begin"/>
    </w:r>
    <w:r w:rsidRPr="00A03DA4">
      <w:instrText xml:space="preserve"> DOCPROPERTY "&lt;Extension&gt;" </w:instrText>
    </w:r>
    <w:r w:rsidRPr="00A03DA4">
      <w:fldChar w:fldCharType="separate"/>
    </w:r>
    <w:r w:rsidR="002032BE">
      <w:t>PT</w:t>
    </w:r>
    <w:r w:rsidRPr="00A03DA4">
      <w:fldChar w:fldCharType="end"/>
    </w:r>
    <w:r w:rsidRPr="00A03DA4">
      <w:tab/>
    </w:r>
    <w:r w:rsidR="007F29A1">
      <w:rPr>
        <w:b w:val="0"/>
        <w:i/>
        <w:color w:val="C0C0C0"/>
        <w:sz w:val="22"/>
        <w:szCs w:val="22"/>
      </w:rPr>
      <w:t>Unida na diversidade</w:t>
    </w:r>
    <w:r w:rsidRPr="00A03DA4">
      <w:tab/>
    </w:r>
    <w:r w:rsidRPr="00A03DA4">
      <w:fldChar w:fldCharType="begin"/>
    </w:r>
    <w:r w:rsidRPr="00A03DA4">
      <w:instrText xml:space="preserve"> DOCPROPERTY "&lt;Extension&gt;" </w:instrText>
    </w:r>
    <w:r w:rsidRPr="00A03DA4">
      <w:fldChar w:fldCharType="separate"/>
    </w:r>
    <w:r w:rsidR="002032BE">
      <w:t>PT</w:t>
    </w:r>
    <w:r w:rsidRPr="00A03DA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24C62" w14:textId="77777777" w:rsidR="00A03DA4" w:rsidRPr="00A03DA4" w:rsidRDefault="006766CE">
      <w:r w:rsidRPr="00A03DA4">
        <w:separator/>
      </w:r>
    </w:p>
  </w:footnote>
  <w:footnote w:type="continuationSeparator" w:id="0">
    <w:p w14:paraId="4519BBC2" w14:textId="77777777" w:rsidR="00A03DA4" w:rsidRPr="00A03DA4" w:rsidRDefault="006766CE">
      <w:r w:rsidRPr="00A03DA4">
        <w:continuationSeparator/>
      </w:r>
    </w:p>
  </w:footnote>
  <w:footnote w:id="1">
    <w:p w14:paraId="5ADD9826" w14:textId="77777777" w:rsidR="002C7984" w:rsidRDefault="006766CE">
      <w:pPr>
        <w:pStyle w:val="FootnoteText"/>
      </w:pPr>
      <w:r>
        <w:rPr>
          <w:rStyle w:val="FootnoteReference"/>
        </w:rPr>
        <w:footnoteRef/>
      </w:r>
      <w:r>
        <w:t xml:space="preserve"> Acordo Interinstitucional de 20 de maio de 2021 entre o Parlamento Europeu, o Conselho da União Europeia e a Comissão Europeia sobre um Registo de Transparência Obrigatório (JO L 207 de 11.6.2021, p. 1, ELI: </w:t>
      </w:r>
      <w:hyperlink r:id="rId1" w:tooltip="Permite aceder ao documento através do seu identificador ELI."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20D6" w14:textId="77777777" w:rsidR="007F29A1" w:rsidRDefault="007F2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15BE" w14:textId="77777777" w:rsidR="007F29A1" w:rsidRDefault="007F2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7FF13" w14:textId="77777777" w:rsidR="007F29A1" w:rsidRDefault="007F2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63679358">
    <w:abstractNumId w:val="9"/>
  </w:num>
  <w:num w:numId="2" w16cid:durableId="105462985">
    <w:abstractNumId w:val="9"/>
  </w:num>
  <w:num w:numId="3" w16cid:durableId="1976332035">
    <w:abstractNumId w:val="7"/>
  </w:num>
  <w:num w:numId="4" w16cid:durableId="145754715">
    <w:abstractNumId w:val="7"/>
  </w:num>
  <w:num w:numId="5" w16cid:durableId="1112164097">
    <w:abstractNumId w:val="6"/>
  </w:num>
  <w:num w:numId="6" w16cid:durableId="1544487441">
    <w:abstractNumId w:val="6"/>
  </w:num>
  <w:num w:numId="7" w16cid:durableId="300500113">
    <w:abstractNumId w:val="5"/>
  </w:num>
  <w:num w:numId="8" w16cid:durableId="917904328">
    <w:abstractNumId w:val="5"/>
  </w:num>
  <w:num w:numId="9" w16cid:durableId="1062869673">
    <w:abstractNumId w:val="4"/>
  </w:num>
  <w:num w:numId="10" w16cid:durableId="2006204905">
    <w:abstractNumId w:val="4"/>
  </w:num>
  <w:num w:numId="11" w16cid:durableId="1698777950">
    <w:abstractNumId w:val="8"/>
  </w:num>
  <w:num w:numId="12" w16cid:durableId="1112284305">
    <w:abstractNumId w:val="8"/>
  </w:num>
  <w:num w:numId="13" w16cid:durableId="1464956420">
    <w:abstractNumId w:val="3"/>
  </w:num>
  <w:num w:numId="14" w16cid:durableId="1809542700">
    <w:abstractNumId w:val="3"/>
  </w:num>
  <w:num w:numId="15" w16cid:durableId="392775747">
    <w:abstractNumId w:val="2"/>
  </w:num>
  <w:num w:numId="16" w16cid:durableId="1875801762">
    <w:abstractNumId w:val="2"/>
  </w:num>
  <w:num w:numId="17" w16cid:durableId="68894985">
    <w:abstractNumId w:val="1"/>
  </w:num>
  <w:num w:numId="18" w16cid:durableId="2097557601">
    <w:abstractNumId w:val="1"/>
  </w:num>
  <w:num w:numId="19" w16cid:durableId="1245844495">
    <w:abstractNumId w:val="0"/>
  </w:num>
  <w:num w:numId="20" w16cid:durableId="852690945">
    <w:abstractNumId w:val="0"/>
  </w:num>
  <w:num w:numId="21" w16cid:durableId="573122097">
    <w:abstractNumId w:val="9"/>
  </w:num>
  <w:num w:numId="22" w16cid:durableId="1420637112">
    <w:abstractNumId w:val="7"/>
  </w:num>
  <w:num w:numId="23" w16cid:durableId="608899681">
    <w:abstractNumId w:val="6"/>
  </w:num>
  <w:num w:numId="24" w16cid:durableId="710111158">
    <w:abstractNumId w:val="5"/>
  </w:num>
  <w:num w:numId="25" w16cid:durableId="1182551269">
    <w:abstractNumId w:val="4"/>
  </w:num>
  <w:num w:numId="26" w16cid:durableId="923807180">
    <w:abstractNumId w:val="8"/>
  </w:num>
  <w:num w:numId="27" w16cid:durableId="1364750475">
    <w:abstractNumId w:val="3"/>
  </w:num>
  <w:num w:numId="28" w16cid:durableId="1077557114">
    <w:abstractNumId w:val="2"/>
  </w:num>
  <w:num w:numId="29" w16cid:durableId="332071244">
    <w:abstractNumId w:val="1"/>
  </w:num>
  <w:num w:numId="30" w16cid:durableId="1793285683">
    <w:abstractNumId w:val="0"/>
  </w:num>
  <w:num w:numId="31" w16cid:durableId="1504473114">
    <w:abstractNumId w:val="9"/>
  </w:num>
  <w:num w:numId="32" w16cid:durableId="1454132057">
    <w:abstractNumId w:val="7"/>
  </w:num>
  <w:num w:numId="33" w16cid:durableId="837353795">
    <w:abstractNumId w:val="6"/>
  </w:num>
  <w:num w:numId="34" w16cid:durableId="103351093">
    <w:abstractNumId w:val="5"/>
  </w:num>
  <w:num w:numId="35" w16cid:durableId="1867595547">
    <w:abstractNumId w:val="4"/>
  </w:num>
  <w:num w:numId="36" w16cid:durableId="57368519">
    <w:abstractNumId w:val="8"/>
  </w:num>
  <w:num w:numId="37" w16cid:durableId="1456871922">
    <w:abstractNumId w:val="3"/>
  </w:num>
  <w:num w:numId="38" w16cid:durableId="2145154004">
    <w:abstractNumId w:val="2"/>
  </w:num>
  <w:num w:numId="39" w16cid:durableId="1424182321">
    <w:abstractNumId w:val="1"/>
  </w:num>
  <w:num w:numId="40" w16cid:durableId="1420181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INTA"/>
    <w:docVar w:name="DOCDT" w:val="24/11/2025"/>
    <w:docVar w:name="DOCMNU" w:val=" 1"/>
    <w:docVar w:name="LastEditedSection" w:val=" 1"/>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39427 HideTWBExt;}{\*\cs18 \additive \v\f1\fs20\cf15 _x000d__x000a_\spriority0 \styrsid7239427 HideTWBInt;}{\s19\ql \li0\ri0\sa120\nowidctlpar\wrapdefault\aspalpha\aspnum\faauto\adjustright\rin0\lin0\itap0 \rtlch\fcs1 \af0\afs20\alang1025 \ltrch\fcs0 \fs24\lang2070\langfe2057\cgrid\langnp2070\langfenp2057 _x000d__x000a_\sbasedon0 \snext19 \spriority0 \styrsid7239427 Normal6a;}{\s20\ql \li0\ri0\nowidctlpar\wrapdefault\aspalpha\aspnum\faauto\adjustright\rin0\lin0\itap0 \rtlch\fcs1 \af0\afs20\alang1025 \ltrch\fcs0 \b\fs24\lang2070\langfe2057\cgrid\langnp2070\langfenp2057 _x000d__x000a_\sbasedon0 \snext20 \spriority0 \styrsid7239427 NormalBold;}{\s21\ql \li0\ri0\sa240\nowidctlpar\wrapdefault\aspalpha\aspnum\faauto\adjustright\rin0\lin0\itap0 \rtlch\fcs1 \af0\afs20\alang1025 \ltrch\fcs0 _x000d__x000a_\i\fs24\lang2070\langfe2057\cgrid\langnp2070\langfenp2057 \sbasedon0 \snext21 \spriority0 \styrsid7239427 AmJustText;}{\s22\qc \li0\ri0\sb240\sa240\nowidctlpar\wrapdefault\aspalpha\aspnum\faauto\adjustright\rin0\lin0\itap0 \rtlch\fcs1 _x000d__x000a_\af0\afs20\alang1025 \ltrch\fcs0 \i\fs24\lang2070\langfe2057\cgrid\langnp2070\langfenp2057 \sbasedon0 \snext22 \spriority0 \styrsid7239427 AmCrossRef;}{_x000d__x000a_\s23\qc \li0\ri0\sb240\sa240\keepn\nowidctlpar\wrapdefault\aspalpha\aspnum\faauto\adjustright\rin0\lin0\itap0 \rtlch\fcs1 \af0\afs20\alang1025 \ltrch\fcs0 \i\fs24\lang2070\langfe2057\cgrid\langnp2070\langfenp2057 _x000d__x000a_\sbasedon0 \snext21 \spriority0 \styrsid7239427 AmJustTitle;}{\s24\qr \li0\ri0\sb240\sa240\nowidctlpar\wrapdefault\aspalpha\aspnum\faauto\adjustright\rin0\lin0\itap0 \rtlch\fcs1 \af0\afs20\alang1025 \ltrch\fcs0 _x000d__x000a_\fs24\lang2070\langfe2057\cgrid\langnp2070\langfenp2057 \sbasedon0 \snext24 \spriority0 \styrsid7239427 AmOrLang;}{\s25\qc \li0\ri0\sa240\nowidctlpar\wrapdefault\aspalpha\aspnum\faauto\adjustright\rin0\lin0\itap0 \rtlch\fcs1 \af0\afs20\alang1025 _x000d__x000a_\ltrch\fcs0 \i\fs24\lang2070\langfe2057\cgrid\langnp2070\langfenp2057 \sbasedon0 \snext25 \spriority0 \styrsid723942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7239427 AmNumberTabs;}{\s27\ql \li0\ri0\sb240\nowidctlpar\wrapdefault\aspalpha\aspnum\faauto\adjustright\rin0\lin0\itap0 \rtlch\fcs1 _x000d__x000a_\af0\afs20\alang1025 \ltrch\fcs0 \b\fs24\lang2070\langfe2057\cgrid\langnp2070\langfenp2057 \sbasedon0 \snext27 \spriority0 \styrsid7239427 NormalBold12b;}}{\*\rsidtbl \rsid24658\rsid223860\rsid735077\rsid1718133\rsid2892074\rsid3565327\rsid4336244_x000d__x000a_\rsid4666813\rsid6641733\rsid7239427\rsid7823322\rsid9636012\rsid10377208\rsid11215221\rsid11549030\rsid11625050\rsid12154954\rsid14382809\rsid14424199\rsid15204470\rsid15285974\rsid15950462\rsid16324206\rsid16662270}{\mmathPr\mmathFont34\mbrkBin0_x000d__x000a_\mbrkBinSub0\msmallFrac0\mdispDef1\mlMargin0\mrMargin0\mdefJc1\mwrapIndent1440\mintLim0\mnaryLim1}{\info{\author SILVA Carla Marina}{\operator SILVA Carla Marina}{\creatim\yr2025\mo11\dy25\hr16\min19}{\revtim\yr2025\mo11\dy25\hr16\min19}{\version1}_x000d__x000a_{\edmins0}{\nofpages1}{\nofwords114}{\nofchars582}{\nofcharsws68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39427\newtblstyruls\nogrowautofit\usenormstyforlist\noindnmbrts\felnbrelev\nocxsptable\indrlsweleven\noafcnsttbl\afelev\utinl\hwelev\spltpgpar\notcvasp\notbrkcnstfrctbl\notvatxbx\krnprsnet\cachedcolbal _x000d__x000a_\nouicompat \fet0{\*\wgrffmtfilter 013f}\nofeaturethrottle1\ilfomacatclnup0{\*\template C:\\Users\\CSilva\\AppData\\Local\\Temp\\Blank1.dotx}{\*\ftnsep \ltrpar \pard\plain \ltrpar_x000d__x000a_\ql \li0\ri0\widctlpar\wrapdefault\aspalpha\aspnum\faauto\adjustright\rin0\lin0\itap0 \rtlch\fcs1 \af0\afs20\alang1025 \ltrch\fcs0 \fs24\lang2057\langfe2057\cgrid\langnp2057\langfenp2057 {\rtlch\fcs1 \af0 \ltrch\fcs0 \insrsid4336244 \chftnsep _x000d__x000a_\par }}{\*\ftnsepc \ltrpar \pard\plain \ltrpar\ql \li0\ri0\widctlpar\wrapdefault\aspalpha\aspnum\faauto\adjustright\rin0\lin0\itap0 \rtlch\fcs1 \af0\afs20\alang1025 \ltrch\fcs0 \fs24\lang2057\langfe2057\cgrid\langnp2057\langfenp2057 {\rtlch\fcs1 \af0 _x000d__x000a_\ltrch\fcs0 \insrsid4336244 \chftnsepc _x000d__x000a_\par }}{\*\aftnsep \ltrpar \pard\plain \ltrpar\ql \li0\ri0\widctlpar\wrapdefault\aspalpha\aspnum\faauto\adjustright\rin0\lin0\itap0 \rtlch\fcs1 \af0\afs20\alang1025 \ltrch\fcs0 \fs24\lang2057\langfe2057\cgrid\langnp2057\langfenp2057 {\rtlch\fcs1 \af0 _x000d__x000a_\ltrch\fcs0 \insrsid4336244 \chftnsep _x000d__x000a_\par }}{\*\aftnsepc \ltrpar \pard\plain \ltrpar\ql \li0\ri0\widctlpar\wrapdefault\aspalpha\aspnum\faauto\adjustright\rin0\lin0\itap0 \rtlch\fcs1 \af0\afs20\alang1025 \ltrch\fcs0 \fs24\lang2057\langfe2057\cgrid\langnp2057\langfenp2057 {\rtlch\fcs1 \af0 _x000d__x000a_\ltrch\fcs0 \insrsid43362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70\langfe2057\cgrid\langnp2070\langfenp2057 {\rtlch\fcs1 \af0 \ltrch\fcs0 \cs17\b0\v\fs20\cf9\lang1024\langfe1024\loch\af1\hich\af1\dbch\af31501\noproof\insrsid7239427\charrsid10501540 {\*\bkmkstart restart}_x000d__x000a_\hich\af1\dbch\af31501\loch\f1 &lt;Amend&gt;}{\rtlch\fcs1 \af0 \ltrch\fcs0 \insrsid7239427\charrsid10501540 Altera\'e7\'e3o\tab \tab }{\rtlch\fcs1 \af0 \ltrch\fcs0 _x000d__x000a_\cs17\b0\v\fs20\cf9\lang1024\langfe1024\loch\af1\hich\af1\dbch\af31501\noproof\insrsid7239427\charrsid10501540 \hich\af1\dbch\af31501\loch\f1 &lt;NumAm&gt;}{\rtlch\fcs1 \af0 \ltrch\fcs0 \insrsid7239427\charrsid10501540 #}{\rtlch\fcs1 \af1 \ltrch\fcs0 _x000d__x000a_\cs18\v\f1\fs20\cf15\insrsid7239427\charrsid10501540 ENMIENDA@NRAM@}{\rtlch\fcs1 \af0 \ltrch\fcs0 \insrsid7239427\charrsid10501540 #}{\rtlch\fcs1 \af0 \ltrch\fcs0 _x000d__x000a_\cs17\b0\v\fs20\cf9\lang1024\langfe1024\loch\af1\hich\af1\dbch\af31501\noproof\insrsid7239427\charrsid10501540 \hich\af1\dbch\af31501\loch\f1 &lt;/NumAm&gt;}{\rtlch\fcs1 \af0 \ltrch\fcs0 \insrsid7239427\charrsid10501540 _x000d__x000a_\par }\pard\plain \ltrpar\s27\ql \li0\ri0\sb240\keepn\nowidctlpar\wrapdefault\aspalpha\aspnum\faauto\adjustright\rin0\lin0\itap0\pararsid2173828 \rtlch\fcs1 \af0\afs20\alang1025 \ltrch\fcs0 \b\fs24\lang2070\langfe2057\cgrid\langnp2070\langfenp2057 {_x000d__x000a_\rtlch\fcs1 \af0 \ltrch\fcs0 \cs17\b0\v\fs20\cf9\lang1024\langfe1024\loch\af1\hich\af1\dbch\af31501\noproof\insrsid7239427\charrsid10501540 \hich\af1\dbch\af31501\loch\f1 &lt;DocAmend&gt;}{\rtlch\fcs1 \af0 \ltrch\fcs0 \insrsid7239427\charrsid10501540 _x000d__x000a_Proposta de #}{\rtlch\fcs1 \af1 \ltrch\fcs0 \cs18\v\f1\fs20\cf15\insrsid7239427\charrsid10501540 MNU[DOC1][DOC2][DOC3]@DOCMSG@DOCMNU}{\rtlch\fcs1 \af0 \ltrch\fcs0 \insrsid7239427\charrsid10501540 ##}{\rtlch\fcs1 \af1 \ltrch\fcs0 _x000d__x000a_\cs18\v\f1\fs20\cf15\insrsid7239427\charrsid10501540 MNU[AMACTYES][NOTAPP]@CHOICE@AMACTMNU}{\rtlch\fcs1 \af0 \ltrch\fcs0 \insrsid7239427\charrsid10501540 #}{\rtlch\fcs1 \af0 \ltrch\fcs0 _x000d__x000a_\cs17\b0\v\fs20\cf9\lang1024\langfe1024\loch\af1\hich\af1\dbch\af31501\noproof\insrsid7239427\charrsid10501540 \hich\af1\dbch\af31501\loch\f1 &lt;/DocAmend&gt;}{\rtlch\fcs1 \af0 \ltrch\fcs0 \insrsid7239427\charrsid10501540 _x000d__x000a_\par }\pard\plain \ltrpar\s20\ql \li0\ri0\keepn\nowidctlpar\wrapdefault\aspalpha\aspnum\faauto\adjustright\rin0\lin0\itap0\pararsid14315216 \rtlch\fcs1 \af0\afs20\alang1025 \ltrch\fcs0 \b\fs24\lang2070\langfe2057\cgrid\langnp2070\langfenp2057 {\rtlch\fcs1 _x000d__x000a_\af0 \ltrch\fcs0 \cs17\b0\v\fs20\cf9\lang1024\langfe1024\loch\af1\hich\af1\dbch\af31501\noproof\insrsid7239427\charrsid10501540 \hich\af1\dbch\af31501\loch\f1 &lt;Article&gt;}{\rtlch\fcs1 \af0 \ltrch\fcs0 \insrsid7239427\charrsid10501540 #}{\rtlch\fcs1 \af1 _x000d__x000a_\ltrch\fcs0 \cs18\v\f1\fs20\cf15\insrsid7239427\charrsid10501540 MNU[AMACTPARTYES][AMACTPARTNO]@CHOICE@AMACTMNU}{\rtlch\fcs1 \af0 \ltrch\fcs0 \insrsid7239427\charrsid10501540 #}{\rtlch\fcs1 \af0 \ltrch\fcs0 _x000d__x000a_\cs17\b0\v\fs20\cf9\lang1024\langfe1024\loch\af1\hich\af1\dbch\af31501\noproof\insrsid7239427\charrsid10501540 \hich\af1\dbch\af31501\loch\f1 &lt;/Article&gt;}{\rtlch\fcs1 \af0 \ltrch\fcs0 \insrsid7239427\charrsid10501540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2070\insrsid7239427\charrsid10501540 \hich\af1\dbch\af31501\loch\f1 &lt;DocAmend2&gt;&lt;OptDel&gt;}{\rtlch\fcs1 \af0 \ltrch\fcs0 _x000d__x000a_\lang2070\langfe2057\langnp2070\insrsid7239427\charrsid10501540 #}{\rtlch\fcs1 \af1 \ltrch\fcs0 \cs18\v\f1\fs20\cf15\lang2070\langfe2057\langnp2070\insrsid7239427\charrsid10501540 MNU[OPTNRACTYES][NOTAPP]@CHOICE@AMACTMNU}{\rtlch\fcs1 \af0 \ltrch\fcs0 _x000d__x000a_\lang2070\langfe2057\langnp2070\insrsid7239427\charrsid10501540 #}{\rtlch\fcs1 \af0 \ltrch\fcs0 \cs17\v\fs20\cf9\lang1024\langfe1024\loch\af1\hich\af1\dbch\af31501\noproof\langnp2070\insrsid7239427\charrsid10501540 \hich\af1\dbch\af31501\loch\f1 _x000d__x000a_&lt;/OptDel&gt;&lt;/DocAmend2&gt;}{\rtlch\fcs1 \af0 \ltrch\fcs0 \lang2070\langfe2057\langnp2070\insrsid7239427\charrsid10501540 _x000d__x000a_\par }\pard \ltrpar\ql \li0\ri0\widctlpar\wrapdefault\aspalpha\aspnum\faauto\adjustright\rin0\lin0\itap0\pararsid2517430 {\rtlch\fcs1 \af0 \ltrch\fcs0 _x000d__x000a_\cs17\v\fs20\cf9\lang1024\langfe1024\loch\af1\hich\af1\dbch\af31501\noproof\langnp2070\insrsid7239427\charrsid10501540 \hich\af1\dbch\af31501\loch\f1 &lt;Article2&gt;&lt;OptDel&gt;}{\rtlch\fcs1 \af0 \ltrch\fcs0 _x000d__x000a_\lang2070\langfe2057\langnp2070\insrsid7239427\charrsid10501540 #}{\rtlch\fcs1 \af1 \ltrch\fcs0 \cs18\v\f1\fs20\cf15\lang2070\langfe2057\langnp2070\insrsid7239427\charrsid10501540 MNU[OPTACTPARTYES][NOTAPP]@CHOICE@AMACTMNU}{\rtlch\fcs1 \af0 \ltrch\fcs0 _x000d__x000a_\lang2070\langfe2057\langnp2070\insrsid7239427\charrsid10501540 #}{\rtlch\fcs1 \af0 \ltrch\fcs0 \cs17\v\fs20\cf9\lang1024\langfe1024\loch\af1\hich\af1\dbch\af31501\noproof\langnp2070\insrsid7239427\charrsid10501540 \hich\af1\dbch\af31501\loch\f1 _x000d__x000a_&lt;/OptDel&gt;&lt;/Article2&gt;}{\rtlch\fcs1 \af0 \ltrch\fcs0 \lang2070\langfe2057\langnp2070\insrsid7239427\charrsid10501540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2070\langfe2057\langnp2070\insrsid7239427\charrsid10501540 \cell }\pard\plain \ltrpar_x000d__x000a_\ql \li0\ri0\widctlpar\intbl\wrapdefault\aspalpha\aspnum\faauto\adjustright\rin0\lin0 \rtlch\fcs1 \af0\afs20\alang1025 \ltrch\fcs0 \fs24\lang2057\langfe2057\cgrid\langnp2057\langfenp2057 {\rtlch\fcs1 \af0 \ltrch\fcs0 _x000d__x000a_\lang2070\langfe2057\langnp2070\insrsid7239427\charrsid10501540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70\langfe2057\cgrid\langnp2070\langfenp2057 {\rtlch\fcs1 \af0 \ltrch\fcs0 _x000d__x000a_\insrsid7239427\charrsid10501540 #}{\rtlch\fcs1 \af1 \ltrch\fcs0 \cs18\v\f1\fs20\cf15\insrsid7239427\charrsid10501540 MNU[OPTLEFTAMACT][LEFTPROP]@CHOICE@AMACTMNU}{\rtlch\fcs1 \af0 \ltrch\fcs0 \insrsid7239427\charrsid10501540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7239427\charrsid10501540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2070\langfe2057\cgrid\langnp2070\langfenp2057 {\rtlch\fcs1 \af0 \ltrch\fcs0 \insrsid7239427\charrsid10501540 ##\cell ##}{\rtlch\fcs1 \af0\afs24 \ltrch\fcs0 \insrsid7239427\charrsid10501540 \cell }\pard\plain \ltrpar_x000d__x000a_\ql \li0\ri0\widctlpar\intbl\wrapdefault\aspalpha\aspnum\faauto\adjustright\rin0\lin0 \rtlch\fcs1 \af0\afs20\alang1025 \ltrch\fcs0 \fs24\lang2057\langfe2057\cgrid\langnp2057\langfenp2057 {\rtlch\fcs1 \af0 \ltrch\fcs0 _x000d__x000a_\lang2070\langfe2057\langnp2070\insrsid7239427\charrsid10501540 \trowd \lastrow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2517430 \rtlch\fcs1 \af0\afs20\alang1025 \ltrch\fcs0 _x000d__x000a_\fs24\lang2070\langfe2057\cgrid\langnp2070\langfenp2057 {\rtlch\fcs1 \af0 \ltrch\fcs0 \insrsid7239427\charrsid10501540 Or. }{\rtlch\fcs1 \af0 \ltrch\fcs0 _x000d__x000a_\cs17\v\fs20\cf9\lang1024\langfe1024\loch\af1\hich\af1\dbch\af31501\noproof\insrsid7239427\charrsid10501540 \hich\af1\dbch\af31501\loch\f1 &lt;Original&gt;}{\rtlch\fcs1 \af0 \ltrch\fcs0 \insrsid7239427\charrsid10501540 #}{\rtlch\fcs1 \af1 \ltrch\fcs0 _x000d__x000a_\cs18\v\f1\fs20\cf15\insrsid7239427\charrsid10501540 MNU[ORLANGONE][ORLANGMORE]@CHOICE@ORLANGMNU}{\rtlch\fcs1 \af0 \ltrch\fcs0 \insrsid7239427\charrsid10501540 #}{\rtlch\fcs1 \af0 \ltrch\fcs0 _x000d__x000a_\cs17\v\fs20\cf9\lang1024\langfe1024\loch\af1\hich\af1\dbch\af31501\noproof\insrsid7239427\charrsid10501540 \hich\af1\dbch\af31501\loch\f1 &lt;/Original&gt;}{\rtlch\fcs1 \af0 \ltrch\fcs0 \insrsid7239427\charrsid10501540 _x000d__x000a_\par }\pard\plain \ltrpar\s22\qc \li0\ri0\sb240\sa240\nowidctlpar\wrapdefault\aspalpha\aspnum\faauto\adjustright\rin0\lin0\itap0\pararsid2517430 \rtlch\fcs1 \af0\afs20\alang1025 \ltrch\fcs0 \i\fs24\lang2070\langfe2057\cgrid\langnp2070\langfenp2057 {_x000d__x000a_\rtlch\fcs1 \af0 \ltrch\fcs0 \cs17\i0\v\fs20\cf9\lang1024\langfe1024\loch\af1\hich\af1\dbch\af31501\noproof\insrsid7239427\charrsid10501540 \hich\af1\dbch\af31501\loch\f1 &lt;OptDel&gt;}{\rtlch\fcs1 \af0 \ltrch\fcs0 \insrsid7239427\charrsid10501540 #}{_x000d__x000a_\rtlch\fcs1 \af1 \ltrch\fcs0 \cs18\v\f1\fs20\cf15\insrsid7239427\charrsid10501540 MNU[CROSSREFNO][CROSSREFYES]@CHOICE@}{\rtlch\fcs1 \af0 \ltrch\fcs0 \insrsid7239427\charrsid10501540 #}{\rtlch\fcs1 \af0 \ltrch\fcs0 _x000d__x000a_\cs17\i0\v\fs20\cf9\lang1024\langfe1024\loch\af1\hich\af1\dbch\af31501\noproof\insrsid7239427\charrsid10501540 \hich\af1\dbch\af31501\loch\f1 &lt;/OptDel&gt;}{\rtlch\fcs1 \af0 \ltrch\fcs0 \insrsid7239427\charrsid10501540 _x000d__x000a_\par }\pard\plain \ltrpar\s23\qc \li0\ri0\sb240\sa240\keepn\nowidctlpar\wrapdefault\aspalpha\aspnum\faauto\adjustright\rin0\lin0\itap0\pararsid2517430 \rtlch\fcs1 \af0\afs20\alang1025 \ltrch\fcs0 \i\fs24\lang2070\langfe2057\cgrid\langnp2070\langfenp2057 {_x000d__x000a_\rtlch\fcs1 \af0 \ltrch\fcs0 \cs17\i0\v\fs20\cf9\lang1024\langfe1024\loch\af1\hich\af1\dbch\af31501\noproof\insrsid7239427\charrsid10501540 \hich\af1\dbch\af31501\loch\f1 &lt;TitreJust&gt;}{\rtlch\fcs1 \af0 \ltrch\fcs0 \insrsid7239427\charrsid10501540 Justifica_x000d__x000a_\'e7\'e3o}{\rtlch\fcs1 \af0 \ltrch\fcs0 \cs17\i0\v\fs20\cf9\lang1024\langfe1024\loch\af1\hich\af1\dbch\af31501\noproof\insrsid7239427\charrsid10501540 \hich\af1\dbch\af31501\loch\f1 &lt;/TitreJust&gt;}{\rtlch\fcs1 \af0 \ltrch\fcs0 _x000d__x000a_\insrsid7239427\charrsid10501540 _x000d__x000a_\par }\pard\plain \ltrpar\s21\ql \li0\ri0\sa240\nowidctlpar\wrapdefault\aspalpha\aspnum\faauto\adjustright\rin0\lin0\itap0\pararsid2517430 \rtlch\fcs1 \af0\afs20\alang1025 \ltrch\fcs0 \i\fs24\lang2070\langfe2057\cgrid\langnp2070\langfenp2057 {\rtlch\fcs1 \af0 _x000d__x000a_\ltrch\fcs0 \cs17\i0\v\fs20\cf9\lang1024\langfe1024\loch\af1\hich\af1\dbch\af31501\noproof\insrsid7239427\charrsid10501540 \hich\af1\dbch\af31501\loch\f1 &lt;OptDelPrev&gt;}{\rtlch\fcs1 \af0 \ltrch\fcs0 \insrsid7239427\charrsid10501540 #}{\rtlch\fcs1 \af1 _x000d__x000a_\ltrch\fcs0 \cs18\v\f1\fs20\cf15\insrsid7239427\charrsid10501540 MNU[TEXTJUSTYES][TEXTJUSTNO]@CHOICE@}{\rtlch\fcs1 \af0 \ltrch\fcs0 \insrsid7239427\charrsid10501540 #}{\rtlch\fcs1 \af0 \ltrch\fcs0 _x000d__x000a_\cs17\i0\v\fs20\cf9\lang1024\langfe1024\loch\af1\hich\af1\dbch\af31501\noproof\insrsid7239427\charrsid10501540 \hich\af1\dbch\af31501\loch\f1 &lt;/OptDelPrev&gt;}{\rtlch\fcs1 \af0 \ltrch\fcs0 \insrsid7239427\charrsid1050154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2070\insrsid7239427\charrsid1050154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2_x000d__x000a_48e81e5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AUTHOR" w:val="Karin Karlsbro"/>
    <w:docVar w:name="TXTLANGUE" w:val="PT"/>
    <w:docVar w:name="TXTLANGUEMIN" w:val="pt"/>
    <w:docVar w:name="TXTNRC" w:val="0245/2025"/>
    <w:docVar w:name="TXTNRCOD" w:val="2025/0726"/>
    <w:docVar w:name="TXTNRCOM" w:val="(2025)"/>
    <w:docVar w:name="TXTNRPE" w:val="779.727"/>
    <w:docVar w:name="TXTPEorAP" w:val="PE"/>
    <w:docVar w:name="TXTROUTE" w:val="PR\1332449PT.docx"/>
    <w:docVar w:name="TXTVERSION" w:val="01-00"/>
  </w:docVars>
  <w:rsids>
    <w:rsidRoot w:val="00A03DA4"/>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7C7C"/>
    <w:rsid w:val="002032BE"/>
    <w:rsid w:val="00212B84"/>
    <w:rsid w:val="002346B0"/>
    <w:rsid w:val="002667C3"/>
    <w:rsid w:val="002669B6"/>
    <w:rsid w:val="00290BED"/>
    <w:rsid w:val="002C7984"/>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42FF2"/>
    <w:rsid w:val="006766CE"/>
    <w:rsid w:val="0069092A"/>
    <w:rsid w:val="006A2F5D"/>
    <w:rsid w:val="006F7907"/>
    <w:rsid w:val="007327BC"/>
    <w:rsid w:val="0073748F"/>
    <w:rsid w:val="00743189"/>
    <w:rsid w:val="00743D33"/>
    <w:rsid w:val="00790D6B"/>
    <w:rsid w:val="007932B3"/>
    <w:rsid w:val="00793EA9"/>
    <w:rsid w:val="007D6F68"/>
    <w:rsid w:val="007F29A1"/>
    <w:rsid w:val="008008AA"/>
    <w:rsid w:val="00817843"/>
    <w:rsid w:val="00823E6B"/>
    <w:rsid w:val="00826780"/>
    <w:rsid w:val="00837CCD"/>
    <w:rsid w:val="00860FE1"/>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03DA4"/>
    <w:rsid w:val="00A22533"/>
    <w:rsid w:val="00A26F46"/>
    <w:rsid w:val="00A34FD3"/>
    <w:rsid w:val="00A36929"/>
    <w:rsid w:val="00A50548"/>
    <w:rsid w:val="00A60EE7"/>
    <w:rsid w:val="00A910C9"/>
    <w:rsid w:val="00AA35B0"/>
    <w:rsid w:val="00AD18C8"/>
    <w:rsid w:val="00AD7FA6"/>
    <w:rsid w:val="00AE4643"/>
    <w:rsid w:val="00AF0416"/>
    <w:rsid w:val="00B07609"/>
    <w:rsid w:val="00B10CB4"/>
    <w:rsid w:val="00B13D6F"/>
    <w:rsid w:val="00B1625A"/>
    <w:rsid w:val="00B23B72"/>
    <w:rsid w:val="00B42702"/>
    <w:rsid w:val="00B57B8B"/>
    <w:rsid w:val="00B85407"/>
    <w:rsid w:val="00B91827"/>
    <w:rsid w:val="00B95702"/>
    <w:rsid w:val="00BC6489"/>
    <w:rsid w:val="00BD480C"/>
    <w:rsid w:val="00C20954"/>
    <w:rsid w:val="00C23324"/>
    <w:rsid w:val="00C42A41"/>
    <w:rsid w:val="00C47E74"/>
    <w:rsid w:val="00C57A72"/>
    <w:rsid w:val="00C73602"/>
    <w:rsid w:val="00C85D0F"/>
    <w:rsid w:val="00CF60C8"/>
    <w:rsid w:val="00CF69F3"/>
    <w:rsid w:val="00D30DE2"/>
    <w:rsid w:val="00D32924"/>
    <w:rsid w:val="00D503A3"/>
    <w:rsid w:val="00D74146"/>
    <w:rsid w:val="00DA6ED0"/>
    <w:rsid w:val="00DC5011"/>
    <w:rsid w:val="00E171B6"/>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F498D"/>
  <w15:chartTrackingRefBased/>
  <w15:docId w15:val="{B4A2B309-97E2-4DCD-B2A5-EF68C85E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7F29A1"/>
    <w:pPr>
      <w:tabs>
        <w:tab w:val="right" w:pos="454"/>
        <w:tab w:val="left" w:pos="737"/>
      </w:tabs>
      <w:ind w:left="737" w:hanging="737"/>
    </w:pPr>
    <w:rPr>
      <w:snapToGrid w:val="0"/>
      <w:sz w:val="18"/>
      <w:lang w:eastAsia="en-US"/>
    </w:rPr>
  </w:style>
  <w:style w:type="paragraph" w:customStyle="1" w:styleId="Lgendetitre">
    <w:name w:val="Légende titre"/>
    <w:basedOn w:val="Normal"/>
    <w:rsid w:val="007F29A1"/>
    <w:pPr>
      <w:spacing w:before="240" w:after="240"/>
    </w:pPr>
    <w:rPr>
      <w:b/>
      <w:i/>
      <w:snapToGrid w:val="0"/>
      <w:lang w:eastAsia="en-US"/>
    </w:rPr>
  </w:style>
  <w:style w:type="paragraph" w:customStyle="1" w:styleId="Lgendestandard">
    <w:name w:val="Légende standard"/>
    <w:basedOn w:val="Normal"/>
    <w:rsid w:val="007F29A1"/>
    <w:rPr>
      <w:sz w:val="18"/>
    </w:rPr>
  </w:style>
  <w:style w:type="character" w:customStyle="1" w:styleId="NormalBoldChar">
    <w:name w:val="NormalBold Char"/>
    <w:basedOn w:val="DefaultParagraphFont"/>
    <w:link w:val="NormalBold"/>
    <w:locked/>
    <w:rsid w:val="007F29A1"/>
    <w:rPr>
      <w:b/>
      <w:sz w:val="24"/>
      <w:lang w:val="pt-PT"/>
    </w:rPr>
  </w:style>
  <w:style w:type="character" w:styleId="Hyperlink">
    <w:name w:val="Hyperlink"/>
    <w:basedOn w:val="DefaultParagraphFont"/>
    <w:uiPriority w:val="99"/>
    <w:unhideWhenUsed/>
    <w:rsid w:val="007F29A1"/>
    <w:rPr>
      <w:color w:val="467886"/>
      <w:u w:val="single"/>
    </w:rPr>
  </w:style>
  <w:style w:type="character" w:styleId="Emphasis">
    <w:name w:val="Emphasis"/>
    <w:basedOn w:val="DefaultParagraphFont"/>
    <w:uiPriority w:val="20"/>
    <w:qFormat/>
    <w:rsid w:val="007F29A1"/>
    <w:rPr>
      <w:i/>
      <w:iCs/>
    </w:rPr>
  </w:style>
  <w:style w:type="character" w:styleId="UnresolvedMention">
    <w:name w:val="Unresolved Mention"/>
    <w:basedOn w:val="DefaultParagraphFont"/>
    <w:uiPriority w:val="99"/>
    <w:semiHidden/>
    <w:unhideWhenUsed/>
    <w:rsid w:val="0073748F"/>
    <w:rPr>
      <w:color w:val="605E5C"/>
      <w:shd w:val="clear" w:color="auto" w:fill="E1DFDD"/>
    </w:rPr>
  </w:style>
  <w:style w:type="paragraph" w:styleId="FootnoteText">
    <w:name w:val="footnote text"/>
    <w:basedOn w:val="Normal"/>
    <w:link w:val="FootnoteTextChar"/>
    <w:rsid w:val="002C7984"/>
    <w:rPr>
      <w:sz w:val="20"/>
    </w:rPr>
  </w:style>
  <w:style w:type="character" w:customStyle="1" w:styleId="FootnoteTextChar">
    <w:name w:val="Footnote Text Char"/>
    <w:basedOn w:val="DefaultParagraphFont"/>
    <w:link w:val="FootnoteText"/>
    <w:rsid w:val="002C7984"/>
    <w:rPr>
      <w:lang w:val="pt-PT"/>
    </w:rPr>
  </w:style>
  <w:style w:type="character" w:styleId="FootnoteReference">
    <w:name w:val="footnote reference"/>
    <w:basedOn w:val="DefaultParagraphFont"/>
    <w:rsid w:val="002C7984"/>
    <w:rPr>
      <w:vertAlign w:val="superscript"/>
    </w:rPr>
  </w:style>
  <w:style w:type="paragraph" w:styleId="Footer">
    <w:name w:val="footer"/>
    <w:basedOn w:val="Normal"/>
    <w:link w:val="FooterChar"/>
    <w:semiHidden/>
    <w:rsid w:val="002032BE"/>
    <w:pPr>
      <w:tabs>
        <w:tab w:val="center" w:pos="4513"/>
        <w:tab w:val="right" w:pos="9026"/>
      </w:tabs>
    </w:pPr>
  </w:style>
  <w:style w:type="character" w:customStyle="1" w:styleId="FooterChar">
    <w:name w:val="Footer Char"/>
    <w:basedOn w:val="DefaultParagraphFont"/>
    <w:link w:val="Footer"/>
    <w:semiHidden/>
    <w:rsid w:val="002032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4455</Words>
  <Characters>24463</Characters>
  <Application>Microsoft Office Word</Application>
  <DocSecurity>0</DocSecurity>
  <Lines>843</Lines>
  <Paragraphs>292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SILVA Carla Marina</dc:creator>
  <cp:lastModifiedBy>CABRAL BARBOSA Vanda</cp:lastModifiedBy>
  <cp:revision>2</cp:revision>
  <cp:lastPrinted>2004-11-04T09:41:00Z</cp:lastPrinted>
  <dcterms:created xsi:type="dcterms:W3CDTF">2025-12-03T14:35:00Z</dcterms:created>
  <dcterms:modified xsi:type="dcterms:W3CDTF">2025-12-03T14:35:00Z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\\eiciLUXpr1\pdocep$\DocEP\TRANSFIL\PT\PR_COD_1amCom.PT(07/10/2024 07:54:01)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PR\1332449PT.docx</vt:lpwstr>
  </property>
  <property fmtid="{D5CDD505-2E9C-101B-9397-08002B2CF9AE}" pid="10" name="LastEdited with">
    <vt:lpwstr>10.2.0 Build [20251001]</vt:lpwstr>
  </property>
  <property fmtid="{D5CDD505-2E9C-101B-9397-08002B2CF9AE}" pid="11" name="PE number">
    <vt:lpwstr>779.727</vt:lpwstr>
  </property>
  <property fmtid="{D5CDD505-2E9C-101B-9397-08002B2CF9AE}" pid="12" name="SDLStudio">
    <vt:lpwstr/>
  </property>
  <property fmtid="{D5CDD505-2E9C-101B-9397-08002B2CF9AE}" pid="13" name="Bookout">
    <vt:lpwstr>OK - 2025/12/03 15:32</vt:lpwstr>
  </property>
</Properties>
</file>