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72C59" w:rsidRPr="001F2C04" w14:paraId="7A1ACAF7" w14:textId="77777777" w:rsidTr="00C85D0F">
        <w:trPr>
          <w:trHeight w:hRule="exact" w:val="1418"/>
        </w:trPr>
        <w:tc>
          <w:tcPr>
            <w:tcW w:w="6804" w:type="dxa"/>
            <w:shd w:val="clear" w:color="auto" w:fill="auto"/>
            <w:vAlign w:val="center"/>
          </w:tcPr>
          <w:p w14:paraId="7A776403" w14:textId="77777777" w:rsidR="00172C59" w:rsidRPr="001F2C04" w:rsidRDefault="00D72B59" w:rsidP="00C85D0F">
            <w:pPr>
              <w:pStyle w:val="EPName"/>
            </w:pPr>
            <w:r w:rsidRPr="001F2C04">
              <w:t>European Parliament</w:t>
            </w:r>
          </w:p>
          <w:p w14:paraId="5144D00F" w14:textId="53849151" w:rsidR="00172C59" w:rsidRPr="001F2C04" w:rsidRDefault="00C42CE5" w:rsidP="00C85D0F">
            <w:pPr>
              <w:pStyle w:val="EPTerm"/>
            </w:pPr>
            <w:r w:rsidRPr="001F2C04">
              <w:t>2024-2029</w:t>
            </w:r>
          </w:p>
        </w:tc>
        <w:tc>
          <w:tcPr>
            <w:tcW w:w="2268" w:type="dxa"/>
            <w:shd w:val="clear" w:color="auto" w:fill="auto"/>
          </w:tcPr>
          <w:p w14:paraId="57EEAAC9" w14:textId="77777777" w:rsidR="00172C59" w:rsidRPr="001F2C04" w:rsidRDefault="00172C59" w:rsidP="00C85D0F">
            <w:pPr>
              <w:pStyle w:val="EPLogo"/>
            </w:pPr>
            <w:r w:rsidRPr="001F2C04">
              <w:rPr>
                <w:noProof/>
                <w:lang w:eastAsia="ja-JP"/>
              </w:rPr>
              <w:drawing>
                <wp:inline distT="0" distB="0" distL="0" distR="0" wp14:anchorId="1C2E8E36" wp14:editId="41127B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E95FC9" w14:textId="77777777" w:rsidR="00A26973" w:rsidRPr="001F2C04" w:rsidRDefault="00A26973" w:rsidP="00A26973">
      <w:pPr>
        <w:pStyle w:val="LineTop"/>
      </w:pPr>
    </w:p>
    <w:p w14:paraId="440C9E2D" w14:textId="4B403457" w:rsidR="00A26973" w:rsidRPr="001F2C04" w:rsidRDefault="00A26973" w:rsidP="00A26973">
      <w:pPr>
        <w:pStyle w:val="EPBody"/>
      </w:pPr>
      <w:r w:rsidRPr="001F2C04">
        <w:rPr>
          <w:rStyle w:val="HideTWBExt"/>
        </w:rPr>
        <w:t>&lt;</w:t>
      </w:r>
      <w:r w:rsidRPr="001F2C04">
        <w:rPr>
          <w:rStyle w:val="HideTWBExt"/>
          <w:i w:val="0"/>
        </w:rPr>
        <w:t>Commission</w:t>
      </w:r>
      <w:r w:rsidRPr="001F2C04">
        <w:rPr>
          <w:rStyle w:val="HideTWBExt"/>
        </w:rPr>
        <w:t>&gt;</w:t>
      </w:r>
      <w:r w:rsidR="00C42CE5" w:rsidRPr="001F2C04">
        <w:rPr>
          <w:rStyle w:val="HideTWBInt"/>
        </w:rPr>
        <w:t>{INTA}</w:t>
      </w:r>
      <w:r w:rsidR="00C42CE5" w:rsidRPr="001F2C04">
        <w:t>Committee on International Trade</w:t>
      </w:r>
      <w:r w:rsidRPr="001F2C04">
        <w:rPr>
          <w:rStyle w:val="HideTWBExt"/>
        </w:rPr>
        <w:t>&lt;/</w:t>
      </w:r>
      <w:r w:rsidRPr="001F2C04">
        <w:rPr>
          <w:rStyle w:val="HideTWBExt"/>
          <w:i w:val="0"/>
        </w:rPr>
        <w:t>Commission</w:t>
      </w:r>
      <w:r w:rsidRPr="001F2C04">
        <w:rPr>
          <w:rStyle w:val="HideTWBExt"/>
        </w:rPr>
        <w:t>&gt;</w:t>
      </w:r>
    </w:p>
    <w:p w14:paraId="331CFD70" w14:textId="77777777" w:rsidR="00A26973" w:rsidRPr="001F2C04" w:rsidRDefault="00A26973" w:rsidP="00A26973">
      <w:pPr>
        <w:pStyle w:val="LineBottom"/>
      </w:pPr>
    </w:p>
    <w:p w14:paraId="7A338A66" w14:textId="2D30EDF2" w:rsidR="00A26973" w:rsidRPr="001F2C04" w:rsidRDefault="00A26973" w:rsidP="00A26973">
      <w:pPr>
        <w:pStyle w:val="CoverReference"/>
      </w:pPr>
      <w:r w:rsidRPr="001F2C04">
        <w:rPr>
          <w:rStyle w:val="HideTWBExt"/>
          <w:b w:val="0"/>
        </w:rPr>
        <w:t>&lt;RefProc&gt;</w:t>
      </w:r>
      <w:bookmarkStart w:id="0" w:name="_Hlk223014685"/>
      <w:r w:rsidR="00C42CE5" w:rsidRPr="001F2C04">
        <w:t>2025/0259M</w:t>
      </w:r>
      <w:r w:rsidRPr="001F2C04">
        <w:rPr>
          <w:rStyle w:val="HideTWBExt"/>
          <w:b w:val="0"/>
        </w:rPr>
        <w:t>&lt;/RefProc&gt;&lt;RefTypeProc&gt;</w:t>
      </w:r>
      <w:r w:rsidR="00D72B59" w:rsidRPr="001F2C04">
        <w:t>(</w:t>
      </w:r>
      <w:r w:rsidR="00C42CE5" w:rsidRPr="001F2C04">
        <w:t>NLE</w:t>
      </w:r>
      <w:bookmarkEnd w:id="0"/>
      <w:r w:rsidR="00D72B59" w:rsidRPr="001F2C04">
        <w:t>)</w:t>
      </w:r>
      <w:r w:rsidRPr="001F2C04">
        <w:rPr>
          <w:rStyle w:val="HideTWBExt"/>
          <w:b w:val="0"/>
        </w:rPr>
        <w:t>&lt;/RefTypeProc&gt;</w:t>
      </w:r>
    </w:p>
    <w:p w14:paraId="26516DA8" w14:textId="03569380" w:rsidR="00A26973" w:rsidRPr="001F2C04" w:rsidRDefault="00A26973" w:rsidP="00A26973">
      <w:pPr>
        <w:pStyle w:val="CoverDate"/>
      </w:pPr>
      <w:r w:rsidRPr="001F2C04">
        <w:rPr>
          <w:rStyle w:val="HideTWBExt"/>
        </w:rPr>
        <w:t>&lt;Date&gt;</w:t>
      </w:r>
      <w:r w:rsidR="00C42CE5" w:rsidRPr="001F2C04">
        <w:rPr>
          <w:rStyle w:val="HideTWBInt"/>
        </w:rPr>
        <w:t>{2</w:t>
      </w:r>
      <w:r w:rsidR="005C526F" w:rsidRPr="001F2C04">
        <w:rPr>
          <w:rStyle w:val="HideTWBInt"/>
        </w:rPr>
        <w:t>5</w:t>
      </w:r>
      <w:r w:rsidR="00C42CE5" w:rsidRPr="001F2C04">
        <w:rPr>
          <w:rStyle w:val="HideTWBInt"/>
        </w:rPr>
        <w:t>/02/2026}</w:t>
      </w:r>
      <w:r w:rsidR="00C42CE5" w:rsidRPr="001F2C04">
        <w:t>2</w:t>
      </w:r>
      <w:r w:rsidR="005C526F" w:rsidRPr="001F2C04">
        <w:t>5</w:t>
      </w:r>
      <w:r w:rsidR="00C42CE5" w:rsidRPr="001F2C04">
        <w:t>.2.2026</w:t>
      </w:r>
      <w:r w:rsidRPr="001F2C04">
        <w:rPr>
          <w:rStyle w:val="HideTWBExt"/>
        </w:rPr>
        <w:t>&lt;/Date&gt;</w:t>
      </w:r>
    </w:p>
    <w:p w14:paraId="1CE89096" w14:textId="77777777" w:rsidR="00A26973" w:rsidRPr="001F2C04" w:rsidRDefault="00A26973" w:rsidP="00A26973">
      <w:pPr>
        <w:pStyle w:val="CoverDocType24a"/>
      </w:pPr>
      <w:r w:rsidRPr="001F2C04">
        <w:rPr>
          <w:rStyle w:val="HideTWBExt"/>
          <w:b w:val="0"/>
        </w:rPr>
        <w:t>&lt;TitreType&gt;</w:t>
      </w:r>
      <w:r w:rsidR="00D72B59" w:rsidRPr="001F2C04">
        <w:t>DRAFT REPORT</w:t>
      </w:r>
      <w:r w:rsidRPr="001F2C04">
        <w:rPr>
          <w:rStyle w:val="HideTWBExt"/>
          <w:b w:val="0"/>
        </w:rPr>
        <w:t>&lt;/TitreType&gt;</w:t>
      </w:r>
    </w:p>
    <w:p w14:paraId="20FF9A11" w14:textId="1EC62511" w:rsidR="00A26973" w:rsidRPr="001F2C04" w:rsidRDefault="00A26973" w:rsidP="00A26973">
      <w:pPr>
        <w:pStyle w:val="CoverNormal"/>
      </w:pPr>
      <w:r w:rsidRPr="001F2C04">
        <w:rPr>
          <w:rStyle w:val="HideTWBExt"/>
        </w:rPr>
        <w:t>&lt;Titre&gt;</w:t>
      </w:r>
      <w:bookmarkStart w:id="1" w:name="_Hlk223014775"/>
      <w:r w:rsidR="00D72B59" w:rsidRPr="001F2C04">
        <w:t xml:space="preserve">containing a motion for a non-legislative resolution on the </w:t>
      </w:r>
      <w:r w:rsidR="00D8434B" w:rsidRPr="001F2C04">
        <w:rPr>
          <w:bCs/>
        </w:rPr>
        <w:t>proposal for a Council decision on the termination of the Voluntary Partnership Agreement between the European Union and the Republic of Liberia on Forest Law Enforcement Governance and Trade</w:t>
      </w:r>
      <w:r w:rsidR="00AA413C" w:rsidRPr="001F2C04">
        <w:rPr>
          <w:bCs/>
        </w:rPr>
        <w:t xml:space="preserve"> </w:t>
      </w:r>
      <w:r w:rsidR="00D8434B" w:rsidRPr="001F2C04">
        <w:rPr>
          <w:bCs/>
        </w:rPr>
        <w:t>in timber products to the European Union</w:t>
      </w:r>
      <w:bookmarkEnd w:id="1"/>
      <w:r w:rsidRPr="001F2C04">
        <w:rPr>
          <w:rStyle w:val="HideTWBExt"/>
        </w:rPr>
        <w:t>&lt;/Titre&gt;</w:t>
      </w:r>
    </w:p>
    <w:p w14:paraId="08C65446" w14:textId="143E7A8B" w:rsidR="00A26973" w:rsidRPr="001F2C04" w:rsidRDefault="00A26973" w:rsidP="00A26973">
      <w:pPr>
        <w:pStyle w:val="CoverNormal24a"/>
      </w:pPr>
      <w:r w:rsidRPr="001F2C04">
        <w:rPr>
          <w:rStyle w:val="HideTWBExt"/>
        </w:rPr>
        <w:t>&lt;DocRef&gt;</w:t>
      </w:r>
      <w:r w:rsidR="00D72B59" w:rsidRPr="001F2C04">
        <w:t>(</w:t>
      </w:r>
      <w:r w:rsidR="00D8434B" w:rsidRPr="001F2C04">
        <w:t>14569/2025 – C10</w:t>
      </w:r>
      <w:r w:rsidR="00D8434B" w:rsidRPr="001F2C04">
        <w:noBreakHyphen/>
        <w:t xml:space="preserve">0299/2025 </w:t>
      </w:r>
      <w:r w:rsidR="00C42CE5" w:rsidRPr="001F2C04">
        <w:t>–</w:t>
      </w:r>
      <w:r w:rsidR="00D72B59" w:rsidRPr="001F2C04">
        <w:t xml:space="preserve"> </w:t>
      </w:r>
      <w:r w:rsidR="00C42CE5" w:rsidRPr="001F2C04">
        <w:t>2025/0259M</w:t>
      </w:r>
      <w:r w:rsidR="00D72B59" w:rsidRPr="001F2C04">
        <w:t>(</w:t>
      </w:r>
      <w:r w:rsidR="00C42CE5" w:rsidRPr="001F2C04">
        <w:t>NLE</w:t>
      </w:r>
      <w:r w:rsidR="00D72B59" w:rsidRPr="001F2C04">
        <w:t>))</w:t>
      </w:r>
      <w:r w:rsidRPr="001F2C04">
        <w:rPr>
          <w:rStyle w:val="HideTWBExt"/>
        </w:rPr>
        <w:t>&lt;/DocRef&gt;</w:t>
      </w:r>
    </w:p>
    <w:p w14:paraId="3B9BA998" w14:textId="44C7F5A3" w:rsidR="00A26973" w:rsidRPr="001F2C04" w:rsidRDefault="00A26973" w:rsidP="00A26973">
      <w:pPr>
        <w:pStyle w:val="CoverNormal24a"/>
      </w:pPr>
      <w:r w:rsidRPr="001F2C04">
        <w:rPr>
          <w:rStyle w:val="HideTWBExt"/>
        </w:rPr>
        <w:t>&lt;Commission&gt;</w:t>
      </w:r>
      <w:r w:rsidR="00C42CE5" w:rsidRPr="001F2C04">
        <w:rPr>
          <w:rStyle w:val="HideTWBInt"/>
        </w:rPr>
        <w:t>{INTA}</w:t>
      </w:r>
      <w:r w:rsidR="00C42CE5" w:rsidRPr="001F2C04">
        <w:t>Committee on International Trade</w:t>
      </w:r>
      <w:r w:rsidRPr="001F2C04">
        <w:rPr>
          <w:rStyle w:val="HideTWBExt"/>
        </w:rPr>
        <w:t>&lt;/Commission&gt;</w:t>
      </w:r>
    </w:p>
    <w:p w14:paraId="5DC5ED7B" w14:textId="0BA7A1BE" w:rsidR="00A26973" w:rsidRPr="001F2C04" w:rsidRDefault="00D72B59" w:rsidP="00A26973">
      <w:pPr>
        <w:pStyle w:val="CoverNormal24a"/>
        <w:rPr>
          <w:lang w:val="fr-BE"/>
        </w:rPr>
      </w:pPr>
      <w:r w:rsidRPr="001F2C04">
        <w:rPr>
          <w:lang w:val="fr-BE"/>
        </w:rPr>
        <w:t>Rapporteur:</w:t>
      </w:r>
      <w:r w:rsidR="00A26973" w:rsidRPr="001F2C04">
        <w:rPr>
          <w:lang w:val="fr-BE"/>
        </w:rPr>
        <w:t xml:space="preserve"> </w:t>
      </w:r>
      <w:r w:rsidR="00A26973" w:rsidRPr="001F2C04">
        <w:rPr>
          <w:rStyle w:val="HideTWBExt"/>
          <w:lang w:val="fr-BE"/>
        </w:rPr>
        <w:t>&lt;Depute&gt;</w:t>
      </w:r>
      <w:r w:rsidR="00C42CE5" w:rsidRPr="001F2C04">
        <w:rPr>
          <w:lang w:val="fr-BE"/>
        </w:rPr>
        <w:t>Karin Karlsbro</w:t>
      </w:r>
      <w:r w:rsidR="00A26973" w:rsidRPr="001F2C04">
        <w:rPr>
          <w:rStyle w:val="HideTWBExt"/>
          <w:lang w:val="fr-BE"/>
        </w:rPr>
        <w:t>&lt;/Depute&gt;</w:t>
      </w:r>
    </w:p>
    <w:p w14:paraId="0D34698B" w14:textId="77777777" w:rsidR="00B42885" w:rsidRPr="001F2C04" w:rsidRDefault="00B42885" w:rsidP="00B42885">
      <w:pPr>
        <w:pStyle w:val="CoverNormal"/>
        <w:rPr>
          <w:lang w:val="fr-BE"/>
        </w:rPr>
      </w:pPr>
    </w:p>
    <w:p w14:paraId="2EC1B584" w14:textId="77777777" w:rsidR="00197326" w:rsidRPr="001F2C04" w:rsidRDefault="00363B94" w:rsidP="00925477">
      <w:pPr>
        <w:widowControl/>
        <w:tabs>
          <w:tab w:val="center" w:pos="4677"/>
        </w:tabs>
        <w:rPr>
          <w:lang w:val="fr-BE"/>
        </w:rPr>
      </w:pPr>
      <w:r w:rsidRPr="001F2C04">
        <w:rPr>
          <w:lang w:val="fr-BE"/>
        </w:rPr>
        <w:br w:type="page"/>
      </w:r>
      <w:r w:rsidR="00D72B59" w:rsidRPr="001F2C04">
        <w:rPr>
          <w:lang w:val="fr-BE"/>
        </w:rPr>
        <w:lastRenderedPageBreak/>
        <w:t>PR_Consent_Motion</w:t>
      </w:r>
    </w:p>
    <w:p w14:paraId="585D4F62" w14:textId="77777777" w:rsidR="00197326" w:rsidRPr="001F2C04" w:rsidRDefault="00D72B59" w:rsidP="00197326">
      <w:pPr>
        <w:pStyle w:val="TOCHeading"/>
      </w:pPr>
      <w:r w:rsidRPr="001F2C04">
        <w:t>CONTENTS</w:t>
      </w:r>
    </w:p>
    <w:p w14:paraId="0EBB58EB" w14:textId="77777777" w:rsidR="00197326" w:rsidRPr="001F2C04" w:rsidRDefault="00D72B59" w:rsidP="00925477">
      <w:pPr>
        <w:pStyle w:val="TOCPage"/>
      </w:pPr>
      <w:r w:rsidRPr="001F2C04">
        <w:t>Page</w:t>
      </w:r>
    </w:p>
    <w:p w14:paraId="62D6B4EB" w14:textId="50F8C732" w:rsidR="001F2C04" w:rsidRDefault="00925477">
      <w:pPr>
        <w:pStyle w:val="TOC1"/>
        <w:tabs>
          <w:tab w:val="right" w:leader="dot" w:pos="9060"/>
        </w:tabs>
        <w:rPr>
          <w:rFonts w:asciiTheme="minorHAnsi" w:eastAsiaTheme="minorEastAsia" w:hAnsiTheme="minorHAnsi" w:cstheme="minorBidi"/>
          <w:noProof/>
          <w:kern w:val="2"/>
          <w:szCs w:val="24"/>
          <w14:ligatures w14:val="standardContextual"/>
        </w:rPr>
      </w:pPr>
      <w:r w:rsidRPr="001F2C04">
        <w:rPr>
          <w:b/>
        </w:rPr>
        <w:fldChar w:fldCharType="begin"/>
      </w:r>
      <w:r w:rsidRPr="001F2C04">
        <w:rPr>
          <w:b/>
        </w:rPr>
        <w:instrText xml:space="preserve"> TOC \t "PageHeading</w:instrText>
      </w:r>
      <w:r w:rsidR="00016673" w:rsidRPr="001F2C04">
        <w:rPr>
          <w:b/>
        </w:rPr>
        <w:instrText>;</w:instrText>
      </w:r>
      <w:r w:rsidRPr="001F2C04">
        <w:rPr>
          <w:b/>
        </w:rPr>
        <w:instrText xml:space="preserve">1" </w:instrText>
      </w:r>
      <w:r w:rsidRPr="001F2C04">
        <w:rPr>
          <w:b/>
        </w:rPr>
        <w:fldChar w:fldCharType="separate"/>
      </w:r>
      <w:r w:rsidR="001F2C04">
        <w:rPr>
          <w:noProof/>
        </w:rPr>
        <w:t>MOTION FOR A EUROPEAN PARLIAMENT NON-LEGISLATIVE RESOLUTION</w:t>
      </w:r>
      <w:r w:rsidR="001F2C04">
        <w:rPr>
          <w:noProof/>
        </w:rPr>
        <w:tab/>
      </w:r>
      <w:r w:rsidR="001F2C04">
        <w:rPr>
          <w:noProof/>
        </w:rPr>
        <w:fldChar w:fldCharType="begin"/>
      </w:r>
      <w:r w:rsidR="001F2C04">
        <w:rPr>
          <w:noProof/>
        </w:rPr>
        <w:instrText xml:space="preserve"> PAGEREF _Toc223018022 \h </w:instrText>
      </w:r>
      <w:r w:rsidR="001F2C04">
        <w:rPr>
          <w:noProof/>
        </w:rPr>
      </w:r>
      <w:r w:rsidR="001F2C04">
        <w:rPr>
          <w:noProof/>
        </w:rPr>
        <w:fldChar w:fldCharType="separate"/>
      </w:r>
      <w:r w:rsidR="001F2C04">
        <w:rPr>
          <w:noProof/>
        </w:rPr>
        <w:t>3</w:t>
      </w:r>
      <w:r w:rsidR="001F2C04">
        <w:rPr>
          <w:noProof/>
        </w:rPr>
        <w:fldChar w:fldCharType="end"/>
      </w:r>
    </w:p>
    <w:p w14:paraId="61E796DA" w14:textId="2FE53656" w:rsidR="001F2C04" w:rsidRDefault="001F2C04">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_Toc223018023 \h </w:instrText>
      </w:r>
      <w:r>
        <w:rPr>
          <w:noProof/>
        </w:rPr>
      </w:r>
      <w:r>
        <w:rPr>
          <w:noProof/>
        </w:rPr>
        <w:fldChar w:fldCharType="separate"/>
      </w:r>
      <w:r>
        <w:rPr>
          <w:noProof/>
        </w:rPr>
        <w:t>7</w:t>
      </w:r>
      <w:r>
        <w:rPr>
          <w:noProof/>
        </w:rPr>
        <w:fldChar w:fldCharType="end"/>
      </w:r>
    </w:p>
    <w:p w14:paraId="0C93103A" w14:textId="6044E938" w:rsidR="001F2C04" w:rsidRDefault="001F2C04">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_Toc223018024 \h </w:instrText>
      </w:r>
      <w:r>
        <w:rPr>
          <w:noProof/>
        </w:rPr>
      </w:r>
      <w:r>
        <w:rPr>
          <w:noProof/>
        </w:rPr>
        <w:fldChar w:fldCharType="separate"/>
      </w:r>
      <w:r>
        <w:rPr>
          <w:noProof/>
        </w:rPr>
        <w:t>8</w:t>
      </w:r>
      <w:r>
        <w:rPr>
          <w:noProof/>
        </w:rPr>
        <w:fldChar w:fldCharType="end"/>
      </w:r>
    </w:p>
    <w:p w14:paraId="6977BEDB" w14:textId="00E22B2F" w:rsidR="00197326" w:rsidRPr="001F2C04" w:rsidRDefault="00925477" w:rsidP="00197326">
      <w:r w:rsidRPr="001F2C04">
        <w:rPr>
          <w:b/>
        </w:rPr>
        <w:fldChar w:fldCharType="end"/>
      </w:r>
    </w:p>
    <w:p w14:paraId="31E1CE2C" w14:textId="77777777" w:rsidR="00363B94" w:rsidRPr="001F2C04" w:rsidRDefault="00363B94">
      <w:pPr>
        <w:pStyle w:val="PageHeading"/>
      </w:pPr>
      <w:r w:rsidRPr="001F2C04">
        <w:br w:type="page"/>
      </w:r>
      <w:bookmarkStart w:id="2" w:name="_Toc223018022"/>
      <w:r w:rsidR="00D72B59" w:rsidRPr="001F2C04">
        <w:lastRenderedPageBreak/>
        <w:t>MOTION FOR A EUROPEAN PARLIAMENT NON-LEGISLATIVE RESOLUTION</w:t>
      </w:r>
      <w:bookmarkEnd w:id="2"/>
    </w:p>
    <w:p w14:paraId="3EAF3611" w14:textId="67D23D26" w:rsidR="00363B94" w:rsidRPr="001F2C04" w:rsidRDefault="00C42CE5">
      <w:pPr>
        <w:pStyle w:val="NormalBold"/>
      </w:pPr>
      <w:r w:rsidRPr="001F2C04">
        <w:rPr>
          <w:bCs/>
        </w:rPr>
        <w:t xml:space="preserve">on </w:t>
      </w:r>
      <w:r w:rsidR="00D8434B" w:rsidRPr="001F2C04">
        <w:rPr>
          <w:bCs/>
        </w:rPr>
        <w:t>the</w:t>
      </w:r>
      <w:r w:rsidRPr="001F2C04">
        <w:rPr>
          <w:bCs/>
        </w:rPr>
        <w:t xml:space="preserve"> proposal for a Council decision on the termination of the Voluntary Partnership Agreement between the European Union and the Republic of Liberia on Forest Law Enforcement Governance and Trade in timber products to the European Union</w:t>
      </w:r>
    </w:p>
    <w:p w14:paraId="62B9F9F9" w14:textId="684CB966" w:rsidR="00363B94" w:rsidRPr="001F2C04" w:rsidRDefault="00D72B59" w:rsidP="00A07A05">
      <w:pPr>
        <w:pStyle w:val="NormalBold"/>
      </w:pPr>
      <w:r w:rsidRPr="001F2C04">
        <w:t>(</w:t>
      </w:r>
      <w:r w:rsidR="00D8434B" w:rsidRPr="001F2C04">
        <w:t>14569/2025 – C10</w:t>
      </w:r>
      <w:r w:rsidR="00D8434B" w:rsidRPr="001F2C04">
        <w:noBreakHyphen/>
        <w:t xml:space="preserve">0299/2025 </w:t>
      </w:r>
      <w:r w:rsidR="00C42CE5" w:rsidRPr="001F2C04">
        <w:t>–</w:t>
      </w:r>
      <w:r w:rsidRPr="001F2C04">
        <w:t xml:space="preserve"> </w:t>
      </w:r>
      <w:r w:rsidR="00C42CE5" w:rsidRPr="001F2C04">
        <w:t>2025/0259M</w:t>
      </w:r>
      <w:r w:rsidRPr="001F2C04">
        <w:t>(</w:t>
      </w:r>
      <w:r w:rsidR="00C42CE5" w:rsidRPr="001F2C04">
        <w:t>NLE</w:t>
      </w:r>
      <w:r w:rsidRPr="001F2C04">
        <w:t>))</w:t>
      </w:r>
    </w:p>
    <w:p w14:paraId="13B7B075" w14:textId="77777777" w:rsidR="00363B94" w:rsidRPr="001F2C04" w:rsidRDefault="00D72B59" w:rsidP="00861F77">
      <w:pPr>
        <w:pStyle w:val="EPComma"/>
        <w:spacing w:after="120"/>
      </w:pPr>
      <w:r w:rsidRPr="001F2C04">
        <w:rPr>
          <w:i/>
        </w:rPr>
        <w:t>The European Parliament</w:t>
      </w:r>
      <w:r w:rsidRPr="001F2C04">
        <w:t>,</w:t>
      </w:r>
    </w:p>
    <w:p w14:paraId="1813C5AA" w14:textId="7863FF6F" w:rsidR="00861F77" w:rsidRPr="001F2C04" w:rsidRDefault="00861F77" w:rsidP="001F2C04">
      <w:pPr>
        <w:pStyle w:val="NormalHanging12a"/>
      </w:pPr>
      <w:r w:rsidRPr="001F2C04">
        <w:t>–</w:t>
      </w:r>
      <w:r w:rsidRPr="001F2C04">
        <w:tab/>
        <w:t>having regard to the Commission proposal of 9</w:t>
      </w:r>
      <w:r w:rsidR="00F0034F" w:rsidRPr="001F2C04">
        <w:t> </w:t>
      </w:r>
      <w:r w:rsidRPr="001F2C04">
        <w:t xml:space="preserve">September 2025 for a Council decision on the termination of the Voluntary Partnership Agreement between the European Union and the Republic of Liberia on </w:t>
      </w:r>
      <w:r w:rsidR="00984F50" w:rsidRPr="001F2C04">
        <w:t>F</w:t>
      </w:r>
      <w:r w:rsidRPr="001F2C04">
        <w:t xml:space="preserve">orest </w:t>
      </w:r>
      <w:r w:rsidR="00984F50" w:rsidRPr="001F2C04">
        <w:t>L</w:t>
      </w:r>
      <w:r w:rsidRPr="001F2C04">
        <w:t xml:space="preserve">aw </w:t>
      </w:r>
      <w:r w:rsidR="00984F50" w:rsidRPr="001F2C04">
        <w:t>E</w:t>
      </w:r>
      <w:r w:rsidRPr="001F2C04">
        <w:t xml:space="preserve">nforcement </w:t>
      </w:r>
      <w:r w:rsidR="00984F50" w:rsidRPr="001F2C04">
        <w:t>G</w:t>
      </w:r>
      <w:r w:rsidRPr="001F2C04">
        <w:t xml:space="preserve">overnance and </w:t>
      </w:r>
      <w:r w:rsidR="00984F50" w:rsidRPr="001F2C04">
        <w:t>T</w:t>
      </w:r>
      <w:r w:rsidRPr="001F2C04">
        <w:t xml:space="preserve">rade in timber and derived products to the </w:t>
      </w:r>
      <w:r w:rsidR="00306725" w:rsidRPr="001F2C04">
        <w:t xml:space="preserve">European </w:t>
      </w:r>
      <w:r w:rsidRPr="001F2C04">
        <w:t>Union (COM(2025)</w:t>
      </w:r>
      <w:r w:rsidR="00306725" w:rsidRPr="001F2C04">
        <w:t>0</w:t>
      </w:r>
      <w:r w:rsidRPr="001F2C04">
        <w:t>46</w:t>
      </w:r>
      <w:r w:rsidR="00016673" w:rsidRPr="001F2C04">
        <w:t>7</w:t>
      </w:r>
      <w:r w:rsidRPr="001F2C04">
        <w:t>),</w:t>
      </w:r>
    </w:p>
    <w:p w14:paraId="4992DB01" w14:textId="04825422" w:rsidR="00861F77" w:rsidRPr="001F2C04" w:rsidRDefault="00861F77" w:rsidP="001F2C04">
      <w:pPr>
        <w:pStyle w:val="NormalHanging12a"/>
      </w:pPr>
      <w:r w:rsidRPr="001F2C04">
        <w:t>–</w:t>
      </w:r>
      <w:r w:rsidRPr="001F2C04">
        <w:tab/>
        <w:t>having regard to the draft Council Decision on the termination of the Voluntary Partnership Agreement between the European Union and the Republic of Liberia on forest law enforcement, governance and trade in timber products to the European Union (C10</w:t>
      </w:r>
      <w:r w:rsidRPr="001F2C04">
        <w:noBreakHyphen/>
        <w:t>0299/2025),</w:t>
      </w:r>
    </w:p>
    <w:p w14:paraId="21E8A3CF" w14:textId="37FA545F" w:rsidR="00861F77" w:rsidRPr="001F2C04" w:rsidRDefault="00861F77" w:rsidP="001F2C04">
      <w:pPr>
        <w:pStyle w:val="NormalHanging12a"/>
      </w:pPr>
      <w:r w:rsidRPr="001F2C04">
        <w:t>–</w:t>
      </w:r>
      <w:r w:rsidRPr="001F2C04">
        <w:tab/>
        <w:t>having regard to the request for consent submitted by the Council in accordance with Article 207(4), first subparagraph, and Article 218(6), second subparagraph, point (a) of the Treaty on the Functioning of the European Union,</w:t>
      </w:r>
    </w:p>
    <w:p w14:paraId="74E10BFF" w14:textId="2F4B4C59" w:rsidR="00861F77" w:rsidRPr="001F2C04" w:rsidRDefault="00861F77" w:rsidP="001F2C04">
      <w:pPr>
        <w:pStyle w:val="NormalHanging12a"/>
      </w:pPr>
      <w:r w:rsidRPr="001F2C04">
        <w:t>–</w:t>
      </w:r>
      <w:r w:rsidRPr="001F2C04">
        <w:tab/>
        <w:t>having regard to the Voluntary Partnership Agreement between the European Union and the Republic of Liberia on forest law enforcement, governance and trade in timber and derived products to the European Union</w:t>
      </w:r>
      <w:r w:rsidRPr="001F2C04">
        <w:rPr>
          <w:rStyle w:val="FootnoteReference"/>
        </w:rPr>
        <w:footnoteReference w:id="1"/>
      </w:r>
      <w:r w:rsidRPr="001F2C04">
        <w:t>,</w:t>
      </w:r>
    </w:p>
    <w:p w14:paraId="789620A2" w14:textId="76BCB218" w:rsidR="00861F77" w:rsidRPr="001F2C04" w:rsidRDefault="00861F77" w:rsidP="001F2C04">
      <w:pPr>
        <w:pStyle w:val="NormalHanging12a"/>
      </w:pPr>
      <w:r w:rsidRPr="001F2C04">
        <w:t>–</w:t>
      </w:r>
      <w:r w:rsidRPr="001F2C04">
        <w:tab/>
        <w:t xml:space="preserve">having regard to Council Regulation (EC) No 2173/2005 of </w:t>
      </w:r>
      <w:r w:rsidR="00F0034F" w:rsidRPr="001F2C04">
        <w:t>20 </w:t>
      </w:r>
      <w:r w:rsidRPr="001F2C04">
        <w:t>December 2005 on the establishment of a FLEGT licensing scheme for imports of timber into the European Community</w:t>
      </w:r>
      <w:r w:rsidRPr="001F2C04">
        <w:rPr>
          <w:rStyle w:val="FootnoteReference"/>
        </w:rPr>
        <w:footnoteReference w:id="2"/>
      </w:r>
      <w:r w:rsidRPr="001F2C04">
        <w:t>,</w:t>
      </w:r>
    </w:p>
    <w:p w14:paraId="326ECF61" w14:textId="400932A9" w:rsidR="00861F77" w:rsidRPr="001F2C04" w:rsidRDefault="00861F77" w:rsidP="001F2C04">
      <w:pPr>
        <w:pStyle w:val="NormalHanging12a"/>
      </w:pPr>
      <w:r w:rsidRPr="001F2C04">
        <w:t>–</w:t>
      </w:r>
      <w:r w:rsidRPr="001F2C04">
        <w:tab/>
        <w:t>having regard to Regulation (EU) No 995/2010 of the European Parliament and of the Council of 20</w:t>
      </w:r>
      <w:r w:rsidR="00F0034F" w:rsidRPr="001F2C04">
        <w:t> </w:t>
      </w:r>
      <w:r w:rsidRPr="001F2C04">
        <w:t>October 2010 laying down the obligations of operators who place timber and timber products on the market</w:t>
      </w:r>
      <w:r w:rsidRPr="001F2C04">
        <w:rPr>
          <w:rStyle w:val="FootnoteReference"/>
        </w:rPr>
        <w:footnoteReference w:id="3"/>
      </w:r>
      <w:r w:rsidRPr="001F2C04">
        <w:t xml:space="preserve"> (EU Timber Regulation), </w:t>
      </w:r>
    </w:p>
    <w:p w14:paraId="60167EB3" w14:textId="03EC51A4" w:rsidR="00861F77" w:rsidRPr="001F2C04" w:rsidRDefault="00861F77" w:rsidP="001F2C04">
      <w:pPr>
        <w:pStyle w:val="NormalHanging12a"/>
      </w:pPr>
      <w:r w:rsidRPr="001F2C04">
        <w:t>–</w:t>
      </w:r>
      <w:r w:rsidRPr="001F2C04">
        <w:tab/>
        <w:t xml:space="preserve">having regard to Regulation (EU) 2023/1115 of the European Parliament and of the Council of </w:t>
      </w:r>
      <w:r w:rsidR="00E54DB8" w:rsidRPr="001F2C04">
        <w:t>31 </w:t>
      </w:r>
      <w:r w:rsidRPr="001F2C04">
        <w:t>May 2023 on the making available on the Union market and the export from the Union of certain commodities and products associated with deforestation and forest degradation and repealing Regulation (EU) No 995/2010</w:t>
      </w:r>
      <w:r w:rsidRPr="001F2C04">
        <w:rPr>
          <w:rStyle w:val="FootnoteReference"/>
        </w:rPr>
        <w:footnoteReference w:id="4"/>
      </w:r>
      <w:r w:rsidRPr="001F2C04">
        <w:t xml:space="preserve">, </w:t>
      </w:r>
    </w:p>
    <w:p w14:paraId="5A077749" w14:textId="7D92F6B3" w:rsidR="00861F77" w:rsidRPr="001F2C04" w:rsidRDefault="00861F77" w:rsidP="001F2C04">
      <w:pPr>
        <w:pStyle w:val="NormalHanging12a"/>
      </w:pPr>
      <w:r w:rsidRPr="001F2C04">
        <w:t>–</w:t>
      </w:r>
      <w:r w:rsidRPr="001F2C04">
        <w:tab/>
        <w:t xml:space="preserve">having regard to the </w:t>
      </w:r>
      <w:r w:rsidR="00984F50" w:rsidRPr="001F2C04">
        <w:t>Commission c</w:t>
      </w:r>
      <w:r w:rsidRPr="001F2C04">
        <w:t xml:space="preserve">ommunication </w:t>
      </w:r>
      <w:r w:rsidR="00E9755F" w:rsidRPr="001F2C04">
        <w:t xml:space="preserve">of 7 November 2024 </w:t>
      </w:r>
      <w:r w:rsidRPr="001F2C04">
        <w:t>on the Strategic Framework for International Cooperation Engagement in the context of Regulation (EU) 2023/1115 on the making available on the Union market and the export from the Union of certain commodities and products associated with deforestation and forest degradation</w:t>
      </w:r>
      <w:r w:rsidRPr="001F2C04">
        <w:rPr>
          <w:rStyle w:val="FootnoteReference"/>
        </w:rPr>
        <w:footnoteReference w:id="5"/>
      </w:r>
      <w:r w:rsidRPr="001F2C04">
        <w:t>,</w:t>
      </w:r>
    </w:p>
    <w:p w14:paraId="6B7818B0" w14:textId="0A0F3188" w:rsidR="00861F77" w:rsidRPr="001F2C04" w:rsidRDefault="00861F77" w:rsidP="001F2C04">
      <w:pPr>
        <w:pStyle w:val="NormalHanging12a"/>
      </w:pPr>
      <w:r w:rsidRPr="001F2C04">
        <w:t>–</w:t>
      </w:r>
      <w:r w:rsidRPr="001F2C04">
        <w:tab/>
        <w:t xml:space="preserve">having regard to its resolution of </w:t>
      </w:r>
      <w:r w:rsidR="00E54DB8" w:rsidRPr="001F2C04">
        <w:t>15 </w:t>
      </w:r>
      <w:r w:rsidRPr="001F2C04">
        <w:t>January 2020 on the European Green Deal</w:t>
      </w:r>
      <w:r w:rsidRPr="001F2C04">
        <w:rPr>
          <w:rStyle w:val="FootnoteReference"/>
        </w:rPr>
        <w:footnoteReference w:id="6"/>
      </w:r>
      <w:r w:rsidRPr="001F2C04">
        <w:t>,</w:t>
      </w:r>
    </w:p>
    <w:p w14:paraId="79580AB9" w14:textId="14EB500E" w:rsidR="00861F77" w:rsidRPr="001F2C04" w:rsidRDefault="00861F77" w:rsidP="001F2C04">
      <w:pPr>
        <w:pStyle w:val="NormalHanging12a"/>
      </w:pPr>
      <w:r w:rsidRPr="001F2C04">
        <w:t>–</w:t>
      </w:r>
      <w:r w:rsidRPr="001F2C04">
        <w:tab/>
        <w:t xml:space="preserve">having regard to its resolution of </w:t>
      </w:r>
      <w:r w:rsidR="00E54DB8" w:rsidRPr="001F2C04">
        <w:t>16 </w:t>
      </w:r>
      <w:r w:rsidRPr="001F2C04">
        <w:t>September 2020 on the EU</w:t>
      </w:r>
      <w:r w:rsidR="001F2C04">
        <w:t>’</w:t>
      </w:r>
      <w:r w:rsidRPr="001F2C04">
        <w:t>s role in protecting and restoring the world</w:t>
      </w:r>
      <w:r w:rsidR="001F2C04">
        <w:t>’</w:t>
      </w:r>
      <w:r w:rsidRPr="001F2C04">
        <w:t>s forests</w:t>
      </w:r>
      <w:r w:rsidRPr="001F2C04">
        <w:rPr>
          <w:rStyle w:val="FootnoteReference"/>
        </w:rPr>
        <w:footnoteReference w:id="7"/>
      </w:r>
      <w:r w:rsidRPr="001F2C04">
        <w:t xml:space="preserve">, </w:t>
      </w:r>
    </w:p>
    <w:p w14:paraId="41A065E6" w14:textId="0E3C4AA2" w:rsidR="00861F77" w:rsidRPr="001F2C04" w:rsidRDefault="00861F77" w:rsidP="001F2C04">
      <w:pPr>
        <w:pStyle w:val="NormalHanging12a"/>
      </w:pPr>
      <w:r w:rsidRPr="001F2C04">
        <w:t>–</w:t>
      </w:r>
      <w:r w:rsidRPr="001F2C04">
        <w:tab/>
        <w:t xml:space="preserve">having regard to its resolution of </w:t>
      </w:r>
      <w:r w:rsidR="00E54DB8" w:rsidRPr="001F2C04">
        <w:t>22 </w:t>
      </w:r>
      <w:r w:rsidRPr="001F2C04">
        <w:t>October 2020 with recommendations to the Commission on an EU legal framework to halt and reverse EU-driven global deforestation</w:t>
      </w:r>
      <w:r w:rsidRPr="001F2C04">
        <w:rPr>
          <w:rStyle w:val="FootnoteReference"/>
        </w:rPr>
        <w:footnoteReference w:id="8"/>
      </w:r>
      <w:r w:rsidRPr="001F2C04">
        <w:t xml:space="preserve">, </w:t>
      </w:r>
    </w:p>
    <w:p w14:paraId="41720AC9" w14:textId="2D4C5BD5" w:rsidR="00861F77" w:rsidRPr="001F2C04" w:rsidRDefault="00861F77" w:rsidP="001F2C04">
      <w:pPr>
        <w:pStyle w:val="NormalHanging12a"/>
      </w:pPr>
      <w:r w:rsidRPr="001F2C04">
        <w:t>–</w:t>
      </w:r>
      <w:r w:rsidRPr="001F2C04">
        <w:tab/>
        <w:t>having regard to Rule 107(2) of its Rules of Procedure,</w:t>
      </w:r>
    </w:p>
    <w:p w14:paraId="1088E528" w14:textId="1C6B7B46" w:rsidR="00E85900" w:rsidRPr="001F2C04" w:rsidRDefault="00E85900" w:rsidP="001F2C04">
      <w:pPr>
        <w:pStyle w:val="NormalHanging12a"/>
      </w:pPr>
      <w:r w:rsidRPr="001F2C04">
        <w:t>–</w:t>
      </w:r>
      <w:r w:rsidRPr="001F2C04">
        <w:tab/>
        <w:t>having regard to the report of the Committee on International Trade (A10-0000/2026),</w:t>
      </w:r>
    </w:p>
    <w:p w14:paraId="4F149FE1" w14:textId="6EE7BF9E" w:rsidR="00861F77" w:rsidRPr="001F2C04" w:rsidRDefault="00861F77" w:rsidP="001F2C04">
      <w:pPr>
        <w:pStyle w:val="NormalHanging12a"/>
      </w:pPr>
      <w:r w:rsidRPr="001F2C04">
        <w:t>A.</w:t>
      </w:r>
      <w:r w:rsidRPr="001F2C04">
        <w:tab/>
        <w:t xml:space="preserve">whereas the Voluntary Partnership Agreement (VPA) between the European Union and the Republic of Liberia on forest law enforcement, governance and trade in timber </w:t>
      </w:r>
      <w:r w:rsidR="000B568D" w:rsidRPr="001F2C04">
        <w:t>(FLEGT)</w:t>
      </w:r>
      <w:r w:rsidRPr="001F2C04">
        <w:t xml:space="preserve">to the </w:t>
      </w:r>
      <w:r w:rsidR="000B568D" w:rsidRPr="001F2C04">
        <w:t xml:space="preserve">European </w:t>
      </w:r>
      <w:r w:rsidRPr="001F2C04">
        <w:t>Union entered into force on 1</w:t>
      </w:r>
      <w:r w:rsidR="00BA370F" w:rsidRPr="001F2C04">
        <w:t> </w:t>
      </w:r>
      <w:r w:rsidRPr="001F2C04">
        <w:t>December 2013;</w:t>
      </w:r>
    </w:p>
    <w:p w14:paraId="654652ED" w14:textId="7B98EF95" w:rsidR="00861F77" w:rsidRPr="001F2C04" w:rsidRDefault="00861F77" w:rsidP="001F2C04">
      <w:pPr>
        <w:pStyle w:val="NormalHanging12a"/>
      </w:pPr>
      <w:r w:rsidRPr="001F2C04">
        <w:t>B.</w:t>
      </w:r>
      <w:r w:rsidRPr="001F2C04">
        <w:tab/>
        <w:t>whereas Liberia</w:t>
      </w:r>
      <w:r w:rsidR="001F2C04">
        <w:t>’</w:t>
      </w:r>
      <w:r w:rsidRPr="001F2C04">
        <w:t>s forests cover approximately 68</w:t>
      </w:r>
      <w:r w:rsidR="00BA370F" w:rsidRPr="001F2C04">
        <w:t> </w:t>
      </w:r>
      <w:r w:rsidRPr="001F2C04">
        <w:t>% of its national territory; whereas illegal logging and forest conversion, enabled by poor forest governance and driven by trade, are major contributors to deforestation</w:t>
      </w:r>
      <w:r w:rsidR="000B568D" w:rsidRPr="001F2C04">
        <w:t>;</w:t>
      </w:r>
      <w:r w:rsidRPr="001F2C04">
        <w:t xml:space="preserve"> whereas 0.39</w:t>
      </w:r>
      <w:r w:rsidR="00BA370F" w:rsidRPr="001F2C04">
        <w:t> </w:t>
      </w:r>
      <w:r w:rsidRPr="001F2C04">
        <w:t xml:space="preserve">% of forest cover </w:t>
      </w:r>
      <w:r w:rsidR="000B568D" w:rsidRPr="001F2C04">
        <w:t xml:space="preserve">was </w:t>
      </w:r>
      <w:r w:rsidRPr="001F2C04">
        <w:t>lost between</w:t>
      </w:r>
      <w:r w:rsidRPr="001F2C04">
        <w:rPr>
          <w:color w:val="000000"/>
          <w:sz w:val="23"/>
          <w:szCs w:val="23"/>
        </w:rPr>
        <w:t xml:space="preserve"> </w:t>
      </w:r>
      <w:r w:rsidRPr="001F2C04">
        <w:t>2010 and 2020;</w:t>
      </w:r>
    </w:p>
    <w:p w14:paraId="55E84648" w14:textId="063205E6" w:rsidR="00861F77" w:rsidRPr="001F2C04" w:rsidRDefault="00861F77" w:rsidP="001F2C04">
      <w:pPr>
        <w:pStyle w:val="NormalHanging12a"/>
      </w:pPr>
      <w:r w:rsidRPr="001F2C04">
        <w:t>C.</w:t>
      </w:r>
      <w:r w:rsidRPr="001F2C04">
        <w:tab/>
        <w:t xml:space="preserve">whereas Liberia should comply with the EU Timber Regulation </w:t>
      </w:r>
      <w:r w:rsidR="008F4433" w:rsidRPr="001F2C04">
        <w:t>when</w:t>
      </w:r>
      <w:r w:rsidRPr="001F2C04">
        <w:t xml:space="preserve"> exporting timber and timber products to the EU; </w:t>
      </w:r>
    </w:p>
    <w:p w14:paraId="4ADD1F7B" w14:textId="4818F8E2" w:rsidR="00861F77" w:rsidRPr="001F2C04" w:rsidRDefault="00861F77" w:rsidP="001F2C04">
      <w:pPr>
        <w:pStyle w:val="NormalHanging12a"/>
      </w:pPr>
      <w:r w:rsidRPr="001F2C04">
        <w:t>D.</w:t>
      </w:r>
      <w:r w:rsidRPr="001F2C04">
        <w:tab/>
        <w:t xml:space="preserve">whereas </w:t>
      </w:r>
      <w:r w:rsidR="00BA370F" w:rsidRPr="001F2C04">
        <w:t xml:space="preserve">the purpose of </w:t>
      </w:r>
      <w:r w:rsidRPr="001F2C04">
        <w:t xml:space="preserve">FLEGT VPAs </w:t>
      </w:r>
      <w:r w:rsidR="00BA370F" w:rsidRPr="001F2C04">
        <w:t>is</w:t>
      </w:r>
      <w:r w:rsidRPr="001F2C04">
        <w:t xml:space="preserve"> to bring about systemic changes in forest governance, law enforcement, transparency and the inclusion of various stakeholders in the political decision-making process, specifically local communities and civil society organisations;</w:t>
      </w:r>
    </w:p>
    <w:p w14:paraId="200D9E08" w14:textId="768F606C" w:rsidR="00861F77" w:rsidRPr="001F2C04" w:rsidRDefault="00861F77" w:rsidP="001F2C04">
      <w:pPr>
        <w:pStyle w:val="NormalHanging12a"/>
      </w:pPr>
      <w:r w:rsidRPr="001F2C04">
        <w:t>E.</w:t>
      </w:r>
      <w:r w:rsidRPr="001F2C04">
        <w:tab/>
        <w:t>whereas Liberia</w:t>
      </w:r>
      <w:r w:rsidR="001F2C04">
        <w:t>’</w:t>
      </w:r>
      <w:r w:rsidRPr="001F2C04">
        <w:t>s FLEGT licensing scheme is not yet in place and the Tim</w:t>
      </w:r>
      <w:r w:rsidR="000B568D" w:rsidRPr="001F2C04">
        <w:t>b</w:t>
      </w:r>
      <w:r w:rsidRPr="001F2C04">
        <w:t>er Legality Assurance System remains non-operational, implying that the VPA between the EU and Liberia is not operational to date;</w:t>
      </w:r>
    </w:p>
    <w:p w14:paraId="45746568" w14:textId="7DEEF7BE" w:rsidR="00861F77" w:rsidRPr="001F2C04" w:rsidRDefault="00861F77" w:rsidP="001F2C04">
      <w:pPr>
        <w:pStyle w:val="NormalHanging12a"/>
      </w:pPr>
      <w:r w:rsidRPr="001F2C04">
        <w:t>F.</w:t>
      </w:r>
      <w:r w:rsidRPr="001F2C04">
        <w:tab/>
        <w:t>whereas Liberia has not met its VPA obligations over the last 11 years;</w:t>
      </w:r>
    </w:p>
    <w:p w14:paraId="1D633215" w14:textId="53A33F3E" w:rsidR="00861F77" w:rsidRPr="001F2C04" w:rsidRDefault="00861F77" w:rsidP="001F2C04">
      <w:pPr>
        <w:pStyle w:val="NormalHanging12a"/>
      </w:pPr>
      <w:r w:rsidRPr="001F2C04">
        <w:t>G.</w:t>
      </w:r>
      <w:r w:rsidRPr="001F2C04">
        <w:tab/>
        <w:t xml:space="preserve">whereas the Liberia-EU VPA entered into force in 2013; whereas </w:t>
      </w:r>
      <w:r w:rsidR="00AD7844" w:rsidRPr="001F2C04">
        <w:t xml:space="preserve">in September 2025, </w:t>
      </w:r>
      <w:r w:rsidRPr="001F2C04">
        <w:t xml:space="preserve">the Commission </w:t>
      </w:r>
      <w:r w:rsidR="00664032" w:rsidRPr="001F2C04">
        <w:t>decided</w:t>
      </w:r>
      <w:r w:rsidRPr="001F2C04">
        <w:t xml:space="preserve"> to end the partnership;</w:t>
      </w:r>
    </w:p>
    <w:p w14:paraId="0185074E" w14:textId="38BDFF45" w:rsidR="00861F77" w:rsidRPr="001F2C04" w:rsidRDefault="00861F77" w:rsidP="001F2C04">
      <w:pPr>
        <w:pStyle w:val="NormalHanging12a"/>
      </w:pPr>
      <w:r w:rsidRPr="001F2C04">
        <w:t>H.</w:t>
      </w:r>
      <w:r w:rsidRPr="001F2C04">
        <w:tab/>
        <w:t xml:space="preserve">whereas in its communication of 7 November 2024 on </w:t>
      </w:r>
      <w:r w:rsidR="00877ECE" w:rsidRPr="001F2C04">
        <w:t>the</w:t>
      </w:r>
      <w:r w:rsidRPr="001F2C04">
        <w:t xml:space="preserve"> strategic framework for international cooperation engagement, the Commission suggests that forest partnerships could build on or even replace VPAs;</w:t>
      </w:r>
    </w:p>
    <w:p w14:paraId="6775ED3C" w14:textId="6BF6DA6C" w:rsidR="00861F77" w:rsidRPr="001F2C04" w:rsidRDefault="002254D5" w:rsidP="001F2C04">
      <w:pPr>
        <w:pStyle w:val="NormalHanging12a"/>
      </w:pPr>
      <w:r w:rsidRPr="001F2C04">
        <w:t>1.</w:t>
      </w:r>
      <w:r w:rsidRPr="001F2C04">
        <w:tab/>
      </w:r>
      <w:r w:rsidR="00861F77" w:rsidRPr="001F2C04">
        <w:t xml:space="preserve">Highlights </w:t>
      </w:r>
      <w:r w:rsidR="00C02F2F" w:rsidRPr="001F2C04">
        <w:t xml:space="preserve">the fact </w:t>
      </w:r>
      <w:r w:rsidR="00861F77" w:rsidRPr="001F2C04">
        <w:t>that deforestation and forest degradation are key environmental challenges that particularly impact vulnerable parts of society</w:t>
      </w:r>
      <w:r w:rsidR="00D159FA" w:rsidRPr="001F2C04">
        <w:t>,</w:t>
      </w:r>
      <w:r w:rsidR="00861F77" w:rsidRPr="001F2C04">
        <w:t xml:space="preserve"> such as civil society groups and </w:t>
      </w:r>
      <w:r w:rsidR="00D159FA" w:rsidRPr="001F2C04">
        <w:t>I</w:t>
      </w:r>
      <w:r w:rsidR="00861F77" w:rsidRPr="001F2C04">
        <w:t>ndigenous communities;</w:t>
      </w:r>
    </w:p>
    <w:p w14:paraId="5425F9F2" w14:textId="5C6050B0" w:rsidR="00861F77" w:rsidRPr="001F2C04" w:rsidRDefault="002254D5" w:rsidP="001F2C04">
      <w:pPr>
        <w:pStyle w:val="NormalHanging12a"/>
      </w:pPr>
      <w:r w:rsidRPr="001F2C04">
        <w:t>2.</w:t>
      </w:r>
      <w:r w:rsidRPr="001F2C04">
        <w:tab/>
      </w:r>
      <w:r w:rsidR="00861F77" w:rsidRPr="001F2C04">
        <w:t xml:space="preserve">Highlights </w:t>
      </w:r>
      <w:r w:rsidR="00C02F2F" w:rsidRPr="001F2C04">
        <w:t xml:space="preserve">the fact </w:t>
      </w:r>
      <w:r w:rsidR="00861F77" w:rsidRPr="001F2C04">
        <w:t>that the environmental damage caused by deforestation will have hugely negative social and economic consequences for communities engaged in forestry;</w:t>
      </w:r>
    </w:p>
    <w:p w14:paraId="29959509" w14:textId="23A419EB" w:rsidR="00861F77" w:rsidRPr="001F2C04" w:rsidRDefault="002254D5" w:rsidP="001F2C04">
      <w:pPr>
        <w:pStyle w:val="NormalHanging12a"/>
      </w:pPr>
      <w:r w:rsidRPr="001F2C04">
        <w:t>3.</w:t>
      </w:r>
      <w:r w:rsidRPr="001F2C04">
        <w:tab/>
      </w:r>
      <w:r w:rsidR="00861F77" w:rsidRPr="001F2C04">
        <w:t>Underlines that the Global Gateway strategy should support Liberia in promoting sustainable, inclusive and green development throughout its territory;</w:t>
      </w:r>
    </w:p>
    <w:p w14:paraId="47DD4EC5" w14:textId="0D484828" w:rsidR="00861F77" w:rsidRPr="001F2C04" w:rsidRDefault="002254D5" w:rsidP="001F2C04">
      <w:pPr>
        <w:pStyle w:val="NormalHanging12a"/>
      </w:pPr>
      <w:r w:rsidRPr="001F2C04">
        <w:t>4.</w:t>
      </w:r>
      <w:r w:rsidRPr="001F2C04">
        <w:tab/>
      </w:r>
      <w:r w:rsidR="00861F77" w:rsidRPr="001F2C04">
        <w:t xml:space="preserve">Recalls that sustainable and inclusive forest management and governance are essential for achieving the objectives set out in the UN 2030 Agenda for Sustainable Development, the Paris Agreement and the </w:t>
      </w:r>
      <w:bookmarkStart w:id="3" w:name="_Hlk223016044"/>
      <w:r w:rsidR="00861F77" w:rsidRPr="001F2C04">
        <w:t>Kunming Montreal Global Biodiversity Framework on halting and reversing nature loss</w:t>
      </w:r>
      <w:bookmarkEnd w:id="3"/>
      <w:r w:rsidR="00861F77" w:rsidRPr="001F2C04">
        <w:t>;</w:t>
      </w:r>
    </w:p>
    <w:p w14:paraId="46CD731D" w14:textId="6EB6C0B7" w:rsidR="00861F77" w:rsidRPr="001F2C04" w:rsidRDefault="002254D5" w:rsidP="001F2C04">
      <w:pPr>
        <w:pStyle w:val="NormalHanging12a"/>
      </w:pPr>
      <w:r w:rsidRPr="001F2C04">
        <w:t>5.</w:t>
      </w:r>
      <w:r w:rsidRPr="001F2C04">
        <w:tab/>
      </w:r>
      <w:r w:rsidR="00861F77" w:rsidRPr="001F2C04">
        <w:t xml:space="preserve">Recalls that VPAs provide an important legal framework for both the EU and its partner countries, </w:t>
      </w:r>
      <w:r w:rsidR="00F6373C" w:rsidRPr="001F2C04">
        <w:t>and</w:t>
      </w:r>
      <w:r w:rsidR="00F6373C" w:rsidRPr="001F2C04">
        <w:t xml:space="preserve"> </w:t>
      </w:r>
      <w:r w:rsidR="00861F77" w:rsidRPr="001F2C04">
        <w:t xml:space="preserve">that </w:t>
      </w:r>
      <w:r w:rsidR="00893868" w:rsidRPr="001F2C04">
        <w:t>they</w:t>
      </w:r>
      <w:r w:rsidR="00893868" w:rsidRPr="001F2C04">
        <w:t xml:space="preserve"> </w:t>
      </w:r>
      <w:r w:rsidR="00861F77" w:rsidRPr="001F2C04">
        <w:t>require effective multi-stakeholder dialogue and good cooperation with and commitment from the countries concerned; recalls that the EU-Liberia VPA resulted in improvements, including in stakeholder participation in government processes and forestry reform, but that unfortunately this progress has not been consistent throughout the last 11 years; regrets the lack of progress in the implementation of the VPA with Liberia, especially with regard to the establishment of an operational FLEGT licensing scheme and Timber Legality Assurance System;</w:t>
      </w:r>
    </w:p>
    <w:p w14:paraId="1180B817" w14:textId="740C220A" w:rsidR="00861F77" w:rsidRPr="001F2C04" w:rsidRDefault="002254D5" w:rsidP="001F2C04">
      <w:pPr>
        <w:pStyle w:val="NormalHanging12a"/>
      </w:pPr>
      <w:r w:rsidRPr="001F2C04">
        <w:t>6.</w:t>
      </w:r>
      <w:r w:rsidRPr="001F2C04">
        <w:tab/>
      </w:r>
      <w:r w:rsidR="00861F77" w:rsidRPr="001F2C04">
        <w:t>Highlights</w:t>
      </w:r>
      <w:r w:rsidR="00C02F2F" w:rsidRPr="001F2C04">
        <w:t xml:space="preserve"> the fact</w:t>
      </w:r>
      <w:r w:rsidR="00861F77" w:rsidRPr="001F2C04">
        <w:t xml:space="preserve"> that weak governance, ineffective law enforcement, insecure land tenures, lack of access to finance, shrinking civic space and corruption, require the EU to meaningfully engage relevant stakeholders, such as </w:t>
      </w:r>
      <w:r w:rsidR="00D159FA" w:rsidRPr="001F2C04">
        <w:t>I</w:t>
      </w:r>
      <w:r w:rsidR="00861F77" w:rsidRPr="001F2C04">
        <w:t>ndigenous people and local communities, with a view to overcoming regulatory implementation hurdles regarding transparency and traceability;</w:t>
      </w:r>
    </w:p>
    <w:p w14:paraId="663C65D9" w14:textId="06E5F8C0" w:rsidR="00861F77" w:rsidRPr="001F2C04" w:rsidRDefault="002254D5" w:rsidP="001F2C04">
      <w:pPr>
        <w:pStyle w:val="NormalHanging12a"/>
      </w:pPr>
      <w:r w:rsidRPr="001F2C04">
        <w:t>7.</w:t>
      </w:r>
      <w:r w:rsidRPr="001F2C04">
        <w:tab/>
      </w:r>
      <w:r w:rsidR="00861F77" w:rsidRPr="001F2C04">
        <w:t>Underlines the importance of including civil society and local authorities in decision-making processes, of benefit</w:t>
      </w:r>
      <w:r w:rsidR="00D85007" w:rsidRPr="001F2C04">
        <w:t xml:space="preserve"> </w:t>
      </w:r>
      <w:r w:rsidR="00861F77" w:rsidRPr="001F2C04">
        <w:t>sharing with local communities and of reinforcing security and accountability</w:t>
      </w:r>
      <w:r w:rsidR="00D159FA" w:rsidRPr="001F2C04">
        <w:t>;</w:t>
      </w:r>
      <w:r w:rsidR="00861F77" w:rsidRPr="001F2C04">
        <w:t xml:space="preserve"> regrets the lack of information sharing with civil society prior to the Commission proposal to terminate the VPA with Liberia;</w:t>
      </w:r>
    </w:p>
    <w:p w14:paraId="6EF39B3F" w14:textId="603EEDC8" w:rsidR="00861F77" w:rsidRPr="001F2C04" w:rsidRDefault="002254D5" w:rsidP="001F2C04">
      <w:pPr>
        <w:pStyle w:val="NormalHanging12a"/>
      </w:pPr>
      <w:r w:rsidRPr="001F2C04">
        <w:t>8.</w:t>
      </w:r>
      <w:r w:rsidRPr="001F2C04">
        <w:tab/>
      </w:r>
      <w:r w:rsidR="00861F77" w:rsidRPr="001F2C04">
        <w:t xml:space="preserve">Stresses that countries all over the world that either have or aim to have regulated import markets for legal timber would benefit from cooperating with </w:t>
      </w:r>
      <w:r w:rsidR="00F6373C" w:rsidRPr="001F2C04">
        <w:t xml:space="preserve">each other </w:t>
      </w:r>
      <w:r w:rsidR="00861F77" w:rsidRPr="001F2C04">
        <w:t>and, where possible, endorsing each other</w:t>
      </w:r>
      <w:r w:rsidR="001F2C04">
        <w:t>’</w:t>
      </w:r>
      <w:r w:rsidR="00861F77" w:rsidRPr="001F2C04">
        <w:t>s rules and systems, such as the EU</w:t>
      </w:r>
      <w:r w:rsidR="001F2C04">
        <w:t>’</w:t>
      </w:r>
      <w:r w:rsidR="00861F77" w:rsidRPr="001F2C04">
        <w:t>s FLEGT VPAs; emphasises that</w:t>
      </w:r>
      <w:r w:rsidR="00D85007" w:rsidRPr="001F2C04">
        <w:t xml:space="preserve"> establishing</w:t>
      </w:r>
      <w:r w:rsidR="00861F77" w:rsidRPr="001F2C04">
        <w:t xml:space="preserve"> international standards would be more effective </w:t>
      </w:r>
      <w:r w:rsidR="00D85007" w:rsidRPr="001F2C04">
        <w:t xml:space="preserve">in this regard </w:t>
      </w:r>
      <w:r w:rsidR="00861F77" w:rsidRPr="001F2C04">
        <w:t>and would promote long-term legal security for businesses and consumers;</w:t>
      </w:r>
    </w:p>
    <w:p w14:paraId="1297B77A" w14:textId="5DFA7643" w:rsidR="00861F77" w:rsidRPr="001F2C04" w:rsidRDefault="002254D5" w:rsidP="001F2C04">
      <w:pPr>
        <w:pStyle w:val="NormalHanging12a"/>
      </w:pPr>
      <w:r w:rsidRPr="001F2C04">
        <w:t>9.</w:t>
      </w:r>
      <w:r w:rsidRPr="001F2C04">
        <w:tab/>
      </w:r>
      <w:r w:rsidR="00861F77" w:rsidRPr="001F2C04">
        <w:t xml:space="preserve">Highlights the fact that addressing the root causes of deforestation, such as weak governance, ineffective law enforcement, insecure land tenures, lack of access to finance, shrinking civic space and corruption, requires the EU and its partner countries to carry out joint assessments based on the meaningful engagement of relevant stakeholders, such as </w:t>
      </w:r>
      <w:r w:rsidR="00D159FA" w:rsidRPr="001F2C04">
        <w:t>I</w:t>
      </w:r>
      <w:r w:rsidR="00861F77" w:rsidRPr="001F2C04">
        <w:t>ndigenous people and local communities, with a view to overcoming regulatory implementation hurdles regarding transparency and traceability;</w:t>
      </w:r>
    </w:p>
    <w:p w14:paraId="3252C882" w14:textId="6C97E1DF" w:rsidR="00861F77" w:rsidRPr="001F2C04" w:rsidRDefault="002254D5" w:rsidP="001F2C04">
      <w:pPr>
        <w:pStyle w:val="NormalHanging12a"/>
      </w:pPr>
      <w:r w:rsidRPr="001F2C04">
        <w:t>10.</w:t>
      </w:r>
      <w:r w:rsidRPr="001F2C04">
        <w:tab/>
      </w:r>
      <w:r w:rsidR="00861F77" w:rsidRPr="001F2C04">
        <w:t xml:space="preserve">Regrets the need to end the legally binding VPA with Liberia and stresses the need for the Commission to keep engaging with the Government of Liberia on forestry; points out the negative impact </w:t>
      </w:r>
      <w:r w:rsidR="008F4433" w:rsidRPr="001F2C04">
        <w:t xml:space="preserve">that this could have </w:t>
      </w:r>
      <w:r w:rsidR="00861F77" w:rsidRPr="001F2C04">
        <w:t>on civic space, as the VPA has contributed to the facilitation of dialogue between the Government of Liberia and civil society in recent years; underlines that the EU remains a committed partner of Liberia in fostering economic growth and comprehensive human development; calls on the Commission and the European External Action Service to engage in dialogue with the authorities of Liberia to explore possibilities for constructive cooperation based on areas of mutual interest, combat illegal logging, support forest conservation and boost economic cooperation and trade;</w:t>
      </w:r>
    </w:p>
    <w:p w14:paraId="18A0A30B" w14:textId="19C119AE" w:rsidR="00861F77" w:rsidRPr="001F2C04" w:rsidRDefault="002254D5" w:rsidP="001F2C04">
      <w:pPr>
        <w:pStyle w:val="NormalHanging12a"/>
      </w:pPr>
      <w:r w:rsidRPr="001F2C04">
        <w:t>11.</w:t>
      </w:r>
      <w:r w:rsidRPr="001F2C04">
        <w:tab/>
      </w:r>
      <w:r w:rsidR="00861F77" w:rsidRPr="001F2C04">
        <w:t>Calls on the Commission to explore alternatives</w:t>
      </w:r>
      <w:r w:rsidR="004A4784" w:rsidRPr="001F2C04">
        <w:t>,</w:t>
      </w:r>
      <w:r w:rsidR="00861F77" w:rsidRPr="001F2C04">
        <w:t xml:space="preserve"> in close dialogue with Liberia</w:t>
      </w:r>
      <w:r w:rsidR="004A4784" w:rsidRPr="001F2C04">
        <w:t>,</w:t>
      </w:r>
      <w:r w:rsidR="00861F77" w:rsidRPr="001F2C04">
        <w:t xml:space="preserve"> to ensure the legality of timber and timber products originating from Liberia and to properly address the problem of illegal timber logging</w:t>
      </w:r>
      <w:r w:rsidR="008F4433" w:rsidRPr="001F2C04">
        <w:t>,</w:t>
      </w:r>
      <w:r w:rsidR="00861F77" w:rsidRPr="001F2C04">
        <w:t xml:space="preserve"> while taking into account the recent positive developments in Liberia regarding government and stakeholder involvement, ensuring that the progress</w:t>
      </w:r>
      <w:r w:rsidR="004A4784" w:rsidRPr="001F2C04">
        <w:t xml:space="preserve"> made</w:t>
      </w:r>
      <w:r w:rsidR="00861F77" w:rsidRPr="001F2C04">
        <w:t xml:space="preserve"> is not lost due to the </w:t>
      </w:r>
      <w:r w:rsidR="00D159FA" w:rsidRPr="001F2C04">
        <w:t xml:space="preserve">termination of the </w:t>
      </w:r>
      <w:r w:rsidR="00861F77" w:rsidRPr="001F2C04">
        <w:t>VPA;</w:t>
      </w:r>
    </w:p>
    <w:p w14:paraId="1E5828BB" w14:textId="44C76464" w:rsidR="00861F77" w:rsidRPr="001F2C04" w:rsidRDefault="002254D5" w:rsidP="001F2C04">
      <w:pPr>
        <w:pStyle w:val="NormalHanging12a"/>
      </w:pPr>
      <w:r w:rsidRPr="001F2C04">
        <w:t>12.</w:t>
      </w:r>
      <w:r w:rsidRPr="001F2C04">
        <w:tab/>
      </w:r>
      <w:bookmarkStart w:id="4" w:name="_Hlk223016097"/>
      <w:r w:rsidR="00861F77" w:rsidRPr="001F2C04">
        <w:t xml:space="preserve">Stresses the importance of parliamentary oversight and </w:t>
      </w:r>
      <w:r w:rsidR="008D481A" w:rsidRPr="001F2C04">
        <w:t xml:space="preserve">the </w:t>
      </w:r>
      <w:r w:rsidR="00861F77" w:rsidRPr="001F2C04">
        <w:t>monitoring of VPA</w:t>
      </w:r>
      <w:r w:rsidR="00664032" w:rsidRPr="001F2C04">
        <w:t>s</w:t>
      </w:r>
      <w:r w:rsidR="00861F77" w:rsidRPr="001F2C04">
        <w:t xml:space="preserve"> by Parliament</w:t>
      </w:r>
      <w:r w:rsidR="001F2C04">
        <w:t>’</w:t>
      </w:r>
      <w:r w:rsidR="00861F77" w:rsidRPr="001F2C04">
        <w:t xml:space="preserve">s Committee </w:t>
      </w:r>
      <w:bookmarkEnd w:id="4"/>
      <w:r w:rsidR="00861F77" w:rsidRPr="001F2C04">
        <w:t xml:space="preserve">on International Trade; underlines the need for the meaningful and timely involvement of Parliament with regard to the assessment of the implementation of existing VPAs, as well as the negotiation, signing and implementation of any future forest partnerships; stresses the need to also include consultations with civil society organisations, the private sector and particularly </w:t>
      </w:r>
      <w:r w:rsidR="008D481A" w:rsidRPr="001F2C04">
        <w:t>I</w:t>
      </w:r>
      <w:r w:rsidR="00861F77" w:rsidRPr="001F2C04">
        <w:t xml:space="preserve">ndigenous communities, environmental and human rights defenders and trade unions; asks the Commission to regularly report to Parliament on the implementation of the </w:t>
      </w:r>
      <w:r w:rsidR="008D481A" w:rsidRPr="001F2C04">
        <w:t>EU</w:t>
      </w:r>
      <w:r w:rsidR="001F2C04">
        <w:t>’</w:t>
      </w:r>
      <w:r w:rsidR="008D481A" w:rsidRPr="001F2C04">
        <w:t xml:space="preserve">s </w:t>
      </w:r>
      <w:r w:rsidR="00861F77" w:rsidRPr="001F2C04">
        <w:t>VPAs and forest partnerships, including on the work of the joint implementation committees and on the strategies to be pursued in the coming years;</w:t>
      </w:r>
    </w:p>
    <w:p w14:paraId="48D1C023" w14:textId="3109820C" w:rsidR="00861F77" w:rsidRPr="001F2C04" w:rsidRDefault="002254D5" w:rsidP="001F2C04">
      <w:pPr>
        <w:pStyle w:val="NormalHanging12a"/>
      </w:pPr>
      <w:r w:rsidRPr="001F2C04">
        <w:t>13.</w:t>
      </w:r>
      <w:r w:rsidRPr="001F2C04">
        <w:tab/>
      </w:r>
      <w:r w:rsidR="00861F77" w:rsidRPr="001F2C04">
        <w:t>Underlines that despite the termination of the VPA with Liberia, VPAs continue to provide an important legal framework for both the EU and its partner countries, which has been made possible through good cooperation with and commitment from the countries concerned; stresses that the EU should remain fully committed to existing VPAs and should support partner countries in their implementation;</w:t>
      </w:r>
    </w:p>
    <w:p w14:paraId="6ACDED90" w14:textId="688BF753" w:rsidR="00861F77" w:rsidRPr="001F2C04" w:rsidRDefault="002254D5" w:rsidP="001F2C04">
      <w:pPr>
        <w:pStyle w:val="NormalHanging12a"/>
      </w:pPr>
      <w:r w:rsidRPr="001F2C04">
        <w:t>14.</w:t>
      </w:r>
      <w:r w:rsidRPr="001F2C04">
        <w:tab/>
      </w:r>
      <w:r w:rsidR="00861F77" w:rsidRPr="001F2C04">
        <w:t>Calls on the Commission to ensure coherence between the EU</w:t>
      </w:r>
      <w:r w:rsidR="001F2C04">
        <w:t>’</w:t>
      </w:r>
      <w:r w:rsidR="00861F77" w:rsidRPr="001F2C04">
        <w:t xml:space="preserve">s trade and sustainability frameworks when engaging with Liberia; </w:t>
      </w:r>
    </w:p>
    <w:p w14:paraId="791F9430" w14:textId="55B050E9" w:rsidR="00861F77" w:rsidRPr="001F2C04" w:rsidRDefault="002254D5" w:rsidP="001F2C04">
      <w:pPr>
        <w:pStyle w:val="NormalHanging12a"/>
      </w:pPr>
      <w:r w:rsidRPr="001F2C04">
        <w:t>15.</w:t>
      </w:r>
      <w:r w:rsidRPr="001F2C04">
        <w:tab/>
      </w:r>
      <w:r w:rsidR="00861F77" w:rsidRPr="001F2C04">
        <w:t xml:space="preserve">Instructs its President to forward this resolution to the Council, the Commission, </w:t>
      </w:r>
      <w:r w:rsidR="00664032" w:rsidRPr="001F2C04">
        <w:t xml:space="preserve">the European External Action Service, </w:t>
      </w:r>
      <w:r w:rsidR="00861F77" w:rsidRPr="001F2C04">
        <w:t>the governments and parliaments of the Member States and the Government and Parliament of the Republic of Liberia.</w:t>
      </w:r>
    </w:p>
    <w:p w14:paraId="15ACCBF8" w14:textId="103EBA05" w:rsidR="0017071A" w:rsidRPr="001F2C04" w:rsidRDefault="0017071A">
      <w:pPr>
        <w:widowControl/>
      </w:pPr>
      <w:r w:rsidRPr="001F2C04">
        <w:br w:type="page"/>
      </w:r>
    </w:p>
    <w:p w14:paraId="5B56B700" w14:textId="24E6442E" w:rsidR="00E85900" w:rsidRPr="001F2C04" w:rsidRDefault="0017071A" w:rsidP="00E85900">
      <w:pPr>
        <w:pStyle w:val="PageHeading"/>
      </w:pPr>
      <w:bookmarkStart w:id="5" w:name="_Toc222840755"/>
      <w:bookmarkStart w:id="6" w:name="_Toc223018023"/>
      <w:r w:rsidRPr="001F2C04">
        <w:t>EXPLANATOR</w:t>
      </w:r>
      <w:r w:rsidR="00E85900" w:rsidRPr="001F2C04">
        <w:t>Y STATEMENT</w:t>
      </w:r>
      <w:bookmarkEnd w:id="6"/>
    </w:p>
    <w:p w14:paraId="28B75644" w14:textId="77777777" w:rsidR="00E85900" w:rsidRPr="001F2C04" w:rsidRDefault="00E85900" w:rsidP="00E85900">
      <w:r w:rsidRPr="001F2C04">
        <w:t>The Voluntary Partnership Agreement (VPA) between the European Union and the Republic of Liberia on forest law enforcement, governance and trade in timber and derived products to the European Union (FLEGT) entered into force on 1 December 2013. The rapporteur regrets that Liberia has not been able to honour its VPA. While the rapporteur believes that FLEGT VPAs provide an important legal framework for both the EU and its partner countries, they can only work properly when both sides are willing to cooperate and to adhere to their commitments. In the present case, the rapporteur believes that the best alternative is to terminate the agreement.</w:t>
      </w:r>
    </w:p>
    <w:p w14:paraId="57442708" w14:textId="1C752B53" w:rsidR="00E85900" w:rsidRPr="001F2C04" w:rsidRDefault="00E85900" w:rsidP="0017071A">
      <w:pPr>
        <w:pStyle w:val="PageHeading"/>
      </w:pPr>
    </w:p>
    <w:p w14:paraId="7C2115A5" w14:textId="77777777" w:rsidR="00E85900" w:rsidRPr="001F2C04" w:rsidRDefault="00E85900">
      <w:pPr>
        <w:widowControl/>
        <w:sectPr w:rsidR="00E85900" w:rsidRPr="001F2C04" w:rsidSect="008D26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65BC965" w14:textId="1C485095" w:rsidR="00E85900" w:rsidRPr="001F2C04" w:rsidRDefault="00E85900">
      <w:pPr>
        <w:widowControl/>
        <w:rPr>
          <w:rFonts w:ascii="Arial" w:hAnsi="Arial" w:cs="Arial"/>
          <w:b/>
        </w:rPr>
      </w:pPr>
    </w:p>
    <w:p w14:paraId="5729D81D" w14:textId="220A4F6E" w:rsidR="00E85900" w:rsidRPr="001F2C04" w:rsidRDefault="00E85900" w:rsidP="007041CC">
      <w:pPr>
        <w:pStyle w:val="PageHeading"/>
        <w:rPr>
          <w:noProof/>
        </w:rPr>
      </w:pPr>
      <w:bookmarkStart w:id="7" w:name="FootprintPageRR"/>
      <w:bookmarkStart w:id="8" w:name="_Toc223018024"/>
      <w:r w:rsidRPr="001F2C04">
        <w:rPr>
          <w:noProof/>
        </w:rPr>
        <w:t>ANNEX: DECLARATION OF INPUT</w:t>
      </w:r>
      <w:bookmarkEnd w:id="8"/>
    </w:p>
    <w:p w14:paraId="7963DEB1" w14:textId="012EE470" w:rsidR="00E85900" w:rsidRPr="001F2C04" w:rsidRDefault="00E85900" w:rsidP="00B31C6A">
      <w:pPr>
        <w:pStyle w:val="Normal24a"/>
        <w:spacing w:after="240"/>
      </w:pPr>
      <w:r w:rsidRPr="001F2C04">
        <w:rPr>
          <w:rStyle w:val="HideTWBExt"/>
        </w:rPr>
        <w:t>&lt;FootprintIntro&gt;</w:t>
      </w:r>
      <w:r w:rsidRPr="001F2C04">
        <w:t>Pursuant to Article 8 of Annex I to the Rules of Procedure, the rapporteur declares that she included in her report input on matters pertaining to the subject of the file that she received, in the preparation of the draft report, from the following interest representatives falling within the scope of the Interinstitutional Agreement on a mandatory transparency register</w:t>
      </w:r>
      <w:r w:rsidRPr="001F2C04">
        <w:rPr>
          <w:rStyle w:val="FootnoteReference"/>
        </w:rPr>
        <w:footnoteReference w:id="9"/>
      </w:r>
      <w:r w:rsidRPr="001F2C04">
        <w:t>, or from the following representatives of public authorities of third countries, including their diplomatic missions and embassies:</w:t>
      </w:r>
      <w:r w:rsidRPr="001F2C0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85900" w:rsidRPr="001F2C04" w14:paraId="014AB2A7" w14:textId="77777777" w:rsidTr="00A81CDF">
        <w:tc>
          <w:tcPr>
            <w:tcW w:w="9060" w:type="dxa"/>
            <w:shd w:val="clear" w:color="auto" w:fill="auto"/>
          </w:tcPr>
          <w:p w14:paraId="07632337" w14:textId="3F9D8B0B" w:rsidR="00E85900" w:rsidRPr="001F2C04" w:rsidRDefault="00E85900" w:rsidP="00F42F07">
            <w:pPr>
              <w:pStyle w:val="NormalBoldCenter"/>
            </w:pPr>
            <w:r w:rsidRPr="001F2C04">
              <w:t>1. Interest representatives falling within the scope of the Interinstitutional Agreement on a mandatory transparency register</w:t>
            </w:r>
          </w:p>
        </w:tc>
      </w:tr>
      <w:tr w:rsidR="00E85900" w:rsidRPr="001F2C04" w14:paraId="058472DF" w14:textId="77777777" w:rsidTr="00A81CDF">
        <w:tc>
          <w:tcPr>
            <w:tcW w:w="9060" w:type="dxa"/>
            <w:shd w:val="clear" w:color="auto" w:fill="auto"/>
          </w:tcPr>
          <w:p w14:paraId="29B45097" w14:textId="0CECD14E" w:rsidR="00E85900" w:rsidRPr="001F2C04" w:rsidRDefault="00E85900" w:rsidP="00D47F5D">
            <w:pPr>
              <w:pStyle w:val="NormalSingle"/>
            </w:pPr>
            <w:r w:rsidRPr="001F2C04">
              <w:t>Fern</w:t>
            </w:r>
          </w:p>
        </w:tc>
      </w:tr>
      <w:tr w:rsidR="00E85900" w:rsidRPr="001F2C04" w14:paraId="005A8F8E" w14:textId="77777777" w:rsidTr="00A81CDF">
        <w:tc>
          <w:tcPr>
            <w:tcW w:w="9060" w:type="dxa"/>
            <w:shd w:val="clear" w:color="auto" w:fill="auto"/>
          </w:tcPr>
          <w:p w14:paraId="453794F7" w14:textId="0013496A" w:rsidR="00E85900" w:rsidRPr="001F2C04" w:rsidRDefault="00E85900" w:rsidP="001666EA">
            <w:pPr>
              <w:pStyle w:val="NormalBoldCenter"/>
            </w:pPr>
            <w:r w:rsidRPr="001F2C04">
              <w:t>2. Representatives of public authorities of third countries, including their diplomatic missions and embassies</w:t>
            </w:r>
          </w:p>
        </w:tc>
      </w:tr>
      <w:tr w:rsidR="00E85900" w:rsidRPr="001F2C04" w14:paraId="530F27BD" w14:textId="77777777" w:rsidTr="00A81CDF">
        <w:tc>
          <w:tcPr>
            <w:tcW w:w="9060" w:type="dxa"/>
            <w:shd w:val="clear" w:color="auto" w:fill="auto"/>
          </w:tcPr>
          <w:p w14:paraId="2D41DEDA" w14:textId="0ED4C724" w:rsidR="00E85900" w:rsidRPr="001F2C04" w:rsidRDefault="00E85900" w:rsidP="00C6630E"/>
        </w:tc>
      </w:tr>
    </w:tbl>
    <w:p w14:paraId="07745E06" w14:textId="3E2A6A45" w:rsidR="00E85900" w:rsidRPr="001F2C04" w:rsidRDefault="00E85900" w:rsidP="00086351">
      <w:pPr>
        <w:pStyle w:val="Footprint12b"/>
      </w:pPr>
      <w:r w:rsidRPr="001F2C04">
        <w:t>The list above is drawn up under the exclusive responsibility of the rapporteur.</w:t>
      </w:r>
    </w:p>
    <w:p w14:paraId="1647AFEC" w14:textId="6AB17C56" w:rsidR="00E85900" w:rsidRPr="001F2C04" w:rsidRDefault="00E85900" w:rsidP="00B7198C">
      <w:pPr>
        <w:pStyle w:val="Footprint12b"/>
      </w:pPr>
      <w:r w:rsidRPr="001F2C04">
        <w:t>Where natural persons are identified in the list by their name, by their function or by both, the rapporteur declares that she has submitted to the natural persons concerned the European Parliament</w:t>
      </w:r>
      <w:r w:rsidR="001F2C04">
        <w:t>’</w:t>
      </w:r>
      <w:r w:rsidRPr="001F2C04">
        <w:t>s Data Protection Notice No 484 (</w:t>
      </w:r>
      <w:hyperlink r:id="rId15" w:history="1">
        <w:r w:rsidRPr="001F2C04">
          <w:rPr>
            <w:rStyle w:val="Hyperlink"/>
            <w:szCs w:val="20"/>
          </w:rPr>
          <w:t>https://www.europarl.europa.eu/data-protect/index.do</w:t>
        </w:r>
      </w:hyperlink>
      <w:r w:rsidRPr="001F2C04">
        <w:t>), which sets out the conditions applicable to the processing of their personal data and the rights linked to that processing.</w:t>
      </w:r>
    </w:p>
    <w:p w14:paraId="5734BCDC" w14:textId="0095FE50" w:rsidR="00E85900" w:rsidRPr="001F2C04" w:rsidRDefault="00E85900" w:rsidP="00646AD2">
      <w:pPr>
        <w:pStyle w:val="Footprint12b"/>
      </w:pPr>
    </w:p>
    <w:p w14:paraId="4BD0EA0D" w14:textId="77777777" w:rsidR="00E85900" w:rsidRPr="001F2C04" w:rsidRDefault="00E85900" w:rsidP="00E85900"/>
    <w:bookmarkEnd w:id="7"/>
    <w:bookmarkEnd w:id="5"/>
    <w:p w14:paraId="639785FB" w14:textId="77777777" w:rsidR="0017071A" w:rsidRPr="001F2C04" w:rsidRDefault="0017071A" w:rsidP="0017071A"/>
    <w:p w14:paraId="51731AB9" w14:textId="77777777" w:rsidR="008544DE" w:rsidRPr="001F2C04" w:rsidRDefault="008544DE" w:rsidP="00E85900"/>
    <w:sectPr w:rsidR="008544DE" w:rsidRPr="001F2C04" w:rsidSect="00E8590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D79CE" w14:textId="77777777" w:rsidR="00D72B59" w:rsidRPr="001F2C04" w:rsidRDefault="00D72B59">
      <w:r w:rsidRPr="001F2C04">
        <w:separator/>
      </w:r>
    </w:p>
  </w:endnote>
  <w:endnote w:type="continuationSeparator" w:id="0">
    <w:p w14:paraId="6D3D278E" w14:textId="77777777" w:rsidR="00D72B59" w:rsidRPr="001F2C04" w:rsidRDefault="00D72B59">
      <w:r w:rsidRPr="001F2C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AB3BD" w14:textId="5B4D1CCE" w:rsidR="008D26B5" w:rsidRPr="001F2C04" w:rsidRDefault="008D26B5" w:rsidP="008D26B5">
    <w:pPr>
      <w:pStyle w:val="EPFooter"/>
      <w:rPr>
        <w:lang w:val="fr-BE"/>
      </w:rPr>
    </w:pPr>
    <w:r w:rsidRPr="001F2C04">
      <w:rPr>
        <w:lang w:val="fr-BE"/>
      </w:rPr>
      <w:t>PE</w:t>
    </w:r>
    <w:r w:rsidRPr="001F2C04">
      <w:rPr>
        <w:rStyle w:val="HideTWBExt"/>
        <w:lang w:val="fr-BE"/>
      </w:rPr>
      <w:t>&lt;NoPE&gt;</w:t>
    </w:r>
    <w:r w:rsidRPr="001F2C04">
      <w:rPr>
        <w:lang w:val="fr-BE"/>
      </w:rPr>
      <w:t>785.168</w:t>
    </w:r>
    <w:r w:rsidRPr="001F2C04">
      <w:rPr>
        <w:rStyle w:val="HideTWBExt"/>
        <w:lang w:val="fr-BE"/>
      </w:rPr>
      <w:t>&lt;/NoPE&gt;&lt;Version&gt;</w:t>
    </w:r>
    <w:r w:rsidRPr="001F2C04">
      <w:rPr>
        <w:lang w:val="fr-BE"/>
      </w:rPr>
      <w:t>v01-00</w:t>
    </w:r>
    <w:r w:rsidRPr="001F2C04">
      <w:rPr>
        <w:rStyle w:val="HideTWBExt"/>
        <w:lang w:val="fr-BE"/>
      </w:rPr>
      <w:t>&lt;/Version&gt;</w:t>
    </w:r>
    <w:r w:rsidRPr="001F2C04">
      <w:rPr>
        <w:lang w:val="fr-BE"/>
      </w:rPr>
      <w:tab/>
    </w:r>
    <w:r w:rsidRPr="001F2C04">
      <w:fldChar w:fldCharType="begin"/>
    </w:r>
    <w:r w:rsidRPr="001F2C04">
      <w:rPr>
        <w:lang w:val="fr-BE"/>
      </w:rPr>
      <w:instrText xml:space="preserve"> PAGE  \* MERGEFORMAT </w:instrText>
    </w:r>
    <w:r w:rsidRPr="001F2C04">
      <w:fldChar w:fldCharType="separate"/>
    </w:r>
    <w:r w:rsidRPr="001F2C04">
      <w:rPr>
        <w:noProof/>
        <w:lang w:val="fr-BE"/>
      </w:rPr>
      <w:t>6</w:t>
    </w:r>
    <w:r w:rsidRPr="001F2C04">
      <w:fldChar w:fldCharType="end"/>
    </w:r>
    <w:r w:rsidRPr="001F2C04">
      <w:rPr>
        <w:lang w:val="fr-BE"/>
      </w:rPr>
      <w:t>/</w:t>
    </w:r>
    <w:r w:rsidR="00613F97" w:rsidRPr="001F2C04">
      <w:fldChar w:fldCharType="begin"/>
    </w:r>
    <w:r w:rsidR="00613F97" w:rsidRPr="001F2C04">
      <w:rPr>
        <w:lang w:val="fr-BE"/>
      </w:rPr>
      <w:instrText xml:space="preserve"> NUMPAGES  \* MERGEFORMAT </w:instrText>
    </w:r>
    <w:r w:rsidR="00613F97" w:rsidRPr="001F2C04">
      <w:fldChar w:fldCharType="separate"/>
    </w:r>
    <w:r w:rsidRPr="001F2C04">
      <w:rPr>
        <w:noProof/>
        <w:lang w:val="fr-BE"/>
      </w:rPr>
      <w:t>8</w:t>
    </w:r>
    <w:r w:rsidR="00613F97" w:rsidRPr="001F2C04">
      <w:rPr>
        <w:noProof/>
      </w:rPr>
      <w:fldChar w:fldCharType="end"/>
    </w:r>
    <w:r w:rsidRPr="001F2C04">
      <w:rPr>
        <w:lang w:val="fr-BE"/>
      </w:rPr>
      <w:tab/>
    </w:r>
    <w:r w:rsidRPr="001F2C04">
      <w:rPr>
        <w:rStyle w:val="HideTWBExt"/>
        <w:lang w:val="fr-BE"/>
      </w:rPr>
      <w:t>&lt;PathFdR&gt;</w:t>
    </w:r>
    <w:r w:rsidR="00AB6339" w:rsidRPr="001F2C04">
      <w:rPr>
        <w:lang w:val="fr-BE"/>
      </w:rPr>
      <w:t>PR\1338140EN.docx</w:t>
    </w:r>
    <w:r w:rsidRPr="001F2C04">
      <w:rPr>
        <w:rStyle w:val="HideTWBExt"/>
        <w:lang w:val="fr-BE"/>
      </w:rPr>
      <w:t>&lt;/PathFdR&gt;</w:t>
    </w:r>
  </w:p>
  <w:p w14:paraId="04C3420E" w14:textId="562BD858" w:rsidR="0085501C" w:rsidRPr="001F2C04" w:rsidRDefault="008D26B5" w:rsidP="008D26B5">
    <w:pPr>
      <w:pStyle w:val="EPFooter2"/>
    </w:pPr>
    <w:r w:rsidRPr="001F2C04">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3BBF2" w14:textId="7A10C130" w:rsidR="008D26B5" w:rsidRPr="001F2C04" w:rsidRDefault="008D26B5" w:rsidP="008D26B5">
    <w:pPr>
      <w:pStyle w:val="EPFooter"/>
    </w:pPr>
    <w:r w:rsidRPr="001F2C04">
      <w:rPr>
        <w:rStyle w:val="HideTWBExt"/>
      </w:rPr>
      <w:t>&lt;PathFdR&gt;</w:t>
    </w:r>
    <w:r w:rsidR="00AB6339" w:rsidRPr="001F2C04">
      <w:t>PR\1338140EN.docx</w:t>
    </w:r>
    <w:r w:rsidRPr="001F2C04">
      <w:rPr>
        <w:rStyle w:val="HideTWBExt"/>
      </w:rPr>
      <w:t>&lt;/PathFdR&gt;</w:t>
    </w:r>
    <w:r w:rsidRPr="001F2C04">
      <w:tab/>
    </w:r>
    <w:r w:rsidRPr="001F2C04">
      <w:fldChar w:fldCharType="begin"/>
    </w:r>
    <w:r w:rsidRPr="001F2C04">
      <w:instrText xml:space="preserve"> PAGE  \* MERGEFORMAT </w:instrText>
    </w:r>
    <w:r w:rsidRPr="001F2C04">
      <w:fldChar w:fldCharType="separate"/>
    </w:r>
    <w:r w:rsidRPr="001F2C04">
      <w:rPr>
        <w:noProof/>
      </w:rPr>
      <w:t>7</w:t>
    </w:r>
    <w:r w:rsidRPr="001F2C04">
      <w:fldChar w:fldCharType="end"/>
    </w:r>
    <w:r w:rsidRPr="001F2C04">
      <w:t>/</w:t>
    </w:r>
    <w:r w:rsidR="001F2C04" w:rsidRPr="001F2C04">
      <w:fldChar w:fldCharType="begin"/>
    </w:r>
    <w:r w:rsidR="001F2C04" w:rsidRPr="001F2C04">
      <w:instrText xml:space="preserve"> NUMPAGES  \* MERGEFORMAT </w:instrText>
    </w:r>
    <w:r w:rsidR="001F2C04" w:rsidRPr="001F2C04">
      <w:fldChar w:fldCharType="separate"/>
    </w:r>
    <w:r w:rsidRPr="001F2C04">
      <w:rPr>
        <w:noProof/>
      </w:rPr>
      <w:t>8</w:t>
    </w:r>
    <w:r w:rsidR="001F2C04" w:rsidRPr="001F2C04">
      <w:rPr>
        <w:noProof/>
      </w:rPr>
      <w:fldChar w:fldCharType="end"/>
    </w:r>
    <w:r w:rsidRPr="001F2C04">
      <w:tab/>
      <w:t>PE</w:t>
    </w:r>
    <w:r w:rsidRPr="001F2C04">
      <w:rPr>
        <w:rStyle w:val="HideTWBExt"/>
      </w:rPr>
      <w:t>&lt;NoPE&gt;</w:t>
    </w:r>
    <w:r w:rsidRPr="001F2C04">
      <w:t>785.168</w:t>
    </w:r>
    <w:r w:rsidRPr="001F2C04">
      <w:rPr>
        <w:rStyle w:val="HideTWBExt"/>
      </w:rPr>
      <w:t>&lt;/NoPE&gt;&lt;Version&gt;</w:t>
    </w:r>
    <w:r w:rsidRPr="001F2C04">
      <w:t>v01-00</w:t>
    </w:r>
    <w:r w:rsidRPr="001F2C04">
      <w:rPr>
        <w:rStyle w:val="HideTWBExt"/>
      </w:rPr>
      <w:t>&lt;/Version&gt;</w:t>
    </w:r>
  </w:p>
  <w:p w14:paraId="44FDE480" w14:textId="45E83BEA" w:rsidR="0085501C" w:rsidRPr="001F2C04" w:rsidRDefault="008D26B5" w:rsidP="008D26B5">
    <w:pPr>
      <w:pStyle w:val="EPFooter2"/>
    </w:pPr>
    <w:r w:rsidRPr="001F2C04">
      <w:tab/>
    </w:r>
    <w:r w:rsidRPr="001F2C04">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176BD" w14:textId="230FD63A" w:rsidR="008D26B5" w:rsidRPr="001F2C04" w:rsidRDefault="008D26B5" w:rsidP="008D26B5">
    <w:pPr>
      <w:pStyle w:val="EPFooter"/>
    </w:pPr>
    <w:r w:rsidRPr="001F2C04">
      <w:rPr>
        <w:rStyle w:val="HideTWBExt"/>
      </w:rPr>
      <w:t>&lt;PathFdR&gt;</w:t>
    </w:r>
    <w:r w:rsidR="00AB6339" w:rsidRPr="001F2C04">
      <w:t>PR\1338140EN.docx</w:t>
    </w:r>
    <w:r w:rsidRPr="001F2C04">
      <w:rPr>
        <w:rStyle w:val="HideTWBExt"/>
      </w:rPr>
      <w:t>&lt;/PathFdR&gt;</w:t>
    </w:r>
    <w:r w:rsidRPr="001F2C04">
      <w:tab/>
    </w:r>
    <w:r w:rsidRPr="001F2C04">
      <w:tab/>
      <w:t>PE</w:t>
    </w:r>
    <w:r w:rsidRPr="001F2C04">
      <w:rPr>
        <w:rStyle w:val="HideTWBExt"/>
      </w:rPr>
      <w:t>&lt;NoPE&gt;</w:t>
    </w:r>
    <w:r w:rsidRPr="001F2C04">
      <w:t>785.168</w:t>
    </w:r>
    <w:r w:rsidRPr="001F2C04">
      <w:rPr>
        <w:rStyle w:val="HideTWBExt"/>
      </w:rPr>
      <w:t>&lt;/NoPE&gt;&lt;Version&gt;</w:t>
    </w:r>
    <w:r w:rsidRPr="001F2C04">
      <w:t>v01-00</w:t>
    </w:r>
    <w:r w:rsidRPr="001F2C04">
      <w:rPr>
        <w:rStyle w:val="HideTWBExt"/>
      </w:rPr>
      <w:t>&lt;/Version&gt;</w:t>
    </w:r>
  </w:p>
  <w:p w14:paraId="04044DF6" w14:textId="200FEB29" w:rsidR="0085501C" w:rsidRPr="001F2C04" w:rsidRDefault="008D26B5" w:rsidP="008D26B5">
    <w:pPr>
      <w:pStyle w:val="EPFooter2"/>
    </w:pPr>
    <w:r w:rsidRPr="001F2C04">
      <w:t>EN</w:t>
    </w:r>
    <w:r w:rsidRPr="001F2C04">
      <w:tab/>
    </w:r>
    <w:r w:rsidRPr="001F2C04">
      <w:rPr>
        <w:b w:val="0"/>
        <w:i/>
        <w:color w:val="C0C0C0"/>
        <w:sz w:val="22"/>
      </w:rPr>
      <w:t>United in diversity</w:t>
    </w:r>
    <w:r w:rsidRPr="001F2C04">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4B058" w14:textId="77777777" w:rsidR="00D72B59" w:rsidRPr="001F2C04" w:rsidRDefault="00D72B59">
      <w:r w:rsidRPr="001F2C04">
        <w:separator/>
      </w:r>
    </w:p>
  </w:footnote>
  <w:footnote w:type="continuationSeparator" w:id="0">
    <w:p w14:paraId="2AED85D0" w14:textId="77777777" w:rsidR="00D72B59" w:rsidRPr="001F2C04" w:rsidRDefault="00D72B59">
      <w:r w:rsidRPr="001F2C04">
        <w:continuationSeparator/>
      </w:r>
    </w:p>
  </w:footnote>
  <w:footnote w:id="1">
    <w:p w14:paraId="4B84DE69" w14:textId="552744A4" w:rsidR="00861F77" w:rsidRPr="001F2C04" w:rsidRDefault="00861F77" w:rsidP="00861F77">
      <w:pPr>
        <w:pStyle w:val="FootnoteText"/>
      </w:pPr>
      <w:r w:rsidRPr="001F2C04">
        <w:rPr>
          <w:rStyle w:val="FootnoteReference"/>
        </w:rPr>
        <w:footnoteRef/>
      </w:r>
      <w:r w:rsidRPr="001F2C04">
        <w:t xml:space="preserve"> OJ L 191, 19.7.2012, p. 3. </w:t>
      </w:r>
    </w:p>
  </w:footnote>
  <w:footnote w:id="2">
    <w:p w14:paraId="43554E6B" w14:textId="15BFEDB8" w:rsidR="00861F77" w:rsidRPr="001F2C04" w:rsidRDefault="00861F77" w:rsidP="00861F77">
      <w:pPr>
        <w:pStyle w:val="FootnoteText"/>
      </w:pPr>
      <w:r w:rsidRPr="001F2C04">
        <w:rPr>
          <w:rStyle w:val="FootnoteReference"/>
        </w:rPr>
        <w:footnoteRef/>
      </w:r>
      <w:r w:rsidRPr="001F2C04">
        <w:t xml:space="preserve"> OJ L 347, 30.12.2005, p. 1, ELI: </w:t>
      </w:r>
      <w:hyperlink r:id="rId1" w:history="1">
        <w:r w:rsidRPr="001F2C04">
          <w:rPr>
            <w:rStyle w:val="Hyperlink"/>
          </w:rPr>
          <w:t>http://data.europa.eu/eli/reg/2005/2173/oj</w:t>
        </w:r>
      </w:hyperlink>
      <w:r w:rsidRPr="001F2C04">
        <w:t xml:space="preserve">. </w:t>
      </w:r>
    </w:p>
  </w:footnote>
  <w:footnote w:id="3">
    <w:p w14:paraId="3AAE2468" w14:textId="0EF8F9BC" w:rsidR="00861F77" w:rsidRPr="001F2C04" w:rsidRDefault="00861F77" w:rsidP="00861F77">
      <w:pPr>
        <w:pStyle w:val="FootnoteText"/>
      </w:pPr>
      <w:r w:rsidRPr="001F2C04">
        <w:rPr>
          <w:rStyle w:val="FootnoteReference"/>
        </w:rPr>
        <w:footnoteRef/>
      </w:r>
      <w:r w:rsidRPr="001F2C04">
        <w:t xml:space="preserve"> OJ L 295, 12.11.2010, p. 23, ELI: </w:t>
      </w:r>
      <w:hyperlink r:id="rId2" w:history="1">
        <w:r w:rsidRPr="001F2C04">
          <w:rPr>
            <w:rStyle w:val="Hyperlink"/>
          </w:rPr>
          <w:t>http://data.europa.eu/eli/reg/2010/995/oj</w:t>
        </w:r>
      </w:hyperlink>
      <w:r w:rsidRPr="001F2C04">
        <w:t xml:space="preserve">. </w:t>
      </w:r>
    </w:p>
  </w:footnote>
  <w:footnote w:id="4">
    <w:p w14:paraId="45B772D6" w14:textId="6536E187" w:rsidR="00861F77" w:rsidRPr="001F2C04" w:rsidRDefault="00861F77" w:rsidP="00861F77">
      <w:pPr>
        <w:pStyle w:val="FootnoteText"/>
      </w:pPr>
      <w:r w:rsidRPr="001F2C04">
        <w:rPr>
          <w:rStyle w:val="FootnoteReference"/>
        </w:rPr>
        <w:footnoteRef/>
      </w:r>
      <w:r w:rsidRPr="001F2C04">
        <w:t xml:space="preserve"> OJ L 150, 9.6.2023, p. 206, ELI: </w:t>
      </w:r>
      <w:hyperlink r:id="rId3" w:history="1">
        <w:r w:rsidRPr="001F2C04">
          <w:rPr>
            <w:rStyle w:val="Hyperlink"/>
          </w:rPr>
          <w:t>http://data.europa.eu/eli/reg/2023/1115/oj</w:t>
        </w:r>
      </w:hyperlink>
      <w:r w:rsidRPr="001F2C04">
        <w:t xml:space="preserve">. </w:t>
      </w:r>
    </w:p>
  </w:footnote>
  <w:footnote w:id="5">
    <w:p w14:paraId="29BD5967" w14:textId="3C5E5138" w:rsidR="00861F77" w:rsidRPr="001F2C04" w:rsidRDefault="00861F77" w:rsidP="00861F77">
      <w:pPr>
        <w:pStyle w:val="FootnoteText"/>
      </w:pPr>
      <w:r w:rsidRPr="001F2C04">
        <w:rPr>
          <w:rStyle w:val="FootnoteReference"/>
        </w:rPr>
        <w:footnoteRef/>
      </w:r>
      <w:r w:rsidRPr="001F2C04">
        <w:t xml:space="preserve"> OJ C, C/2024/6604, 7.11.2024, ELI: </w:t>
      </w:r>
      <w:hyperlink r:id="rId4" w:tgtFrame="_blank" w:tooltip="Gives access to this document through its ELI URI." w:history="1">
        <w:r w:rsidRPr="001F2C04">
          <w:rPr>
            <w:rStyle w:val="Hyperlink"/>
          </w:rPr>
          <w:t>http://data.europa.eu/eli/C/2024/6604/oj</w:t>
        </w:r>
      </w:hyperlink>
      <w:r w:rsidR="001F2C04" w:rsidRPr="001F2C04">
        <w:t>.</w:t>
      </w:r>
    </w:p>
  </w:footnote>
  <w:footnote w:id="6">
    <w:p w14:paraId="601BA034" w14:textId="5AEAF1E5" w:rsidR="00861F77" w:rsidRPr="001F2C04" w:rsidRDefault="00861F77" w:rsidP="00861F77">
      <w:pPr>
        <w:pStyle w:val="FootnoteText"/>
        <w:rPr>
          <w:lang w:val="pl-PL"/>
        </w:rPr>
      </w:pPr>
      <w:r w:rsidRPr="001F2C04">
        <w:rPr>
          <w:rStyle w:val="FootnoteReference"/>
        </w:rPr>
        <w:footnoteRef/>
      </w:r>
      <w:r w:rsidRPr="001F2C04">
        <w:rPr>
          <w:lang w:val="pl-PL"/>
        </w:rPr>
        <w:t xml:space="preserve"> OJ C 270, 7.7.2021, p. 2.</w:t>
      </w:r>
    </w:p>
  </w:footnote>
  <w:footnote w:id="7">
    <w:p w14:paraId="1EDDD84A" w14:textId="024EB8A2" w:rsidR="00861F77" w:rsidRPr="001F2C04" w:rsidRDefault="00861F77" w:rsidP="00861F77">
      <w:pPr>
        <w:pStyle w:val="FootnoteText"/>
        <w:rPr>
          <w:lang w:val="pl-PL"/>
        </w:rPr>
      </w:pPr>
      <w:r w:rsidRPr="001F2C04">
        <w:rPr>
          <w:rStyle w:val="FootnoteReference"/>
        </w:rPr>
        <w:footnoteRef/>
      </w:r>
      <w:r w:rsidRPr="001F2C04">
        <w:rPr>
          <w:lang w:val="pl-PL"/>
        </w:rPr>
        <w:t xml:space="preserve"> OJ C 385, 22.9.2021, p. 10.</w:t>
      </w:r>
    </w:p>
  </w:footnote>
  <w:footnote w:id="8">
    <w:p w14:paraId="3FBF49DA" w14:textId="210DDB8C" w:rsidR="00861F77" w:rsidRPr="001F2C04" w:rsidRDefault="00861F77" w:rsidP="00861F77">
      <w:pPr>
        <w:pStyle w:val="FootnoteText"/>
        <w:rPr>
          <w:lang w:val="pl-PL"/>
        </w:rPr>
      </w:pPr>
      <w:r w:rsidRPr="001F2C04">
        <w:rPr>
          <w:rStyle w:val="FootnoteReference"/>
        </w:rPr>
        <w:footnoteRef/>
      </w:r>
      <w:r w:rsidRPr="001F2C04">
        <w:rPr>
          <w:lang w:val="pl-PL"/>
        </w:rPr>
        <w:t xml:space="preserve"> OJ C 404, 6.10.2021, p. 175.</w:t>
      </w:r>
    </w:p>
  </w:footnote>
  <w:footnote w:id="9">
    <w:p w14:paraId="7EFE59FA" w14:textId="0DE2F262" w:rsidR="00E85900" w:rsidRPr="001F2C04" w:rsidRDefault="00E85900" w:rsidP="00870B54">
      <w:pPr>
        <w:pStyle w:val="FootnoteText"/>
      </w:pPr>
      <w:r w:rsidRPr="001F2C04">
        <w:rPr>
          <w:rStyle w:val="FootnoteReference"/>
        </w:rPr>
        <w:footnoteRef/>
      </w:r>
      <w:r w:rsidRPr="001F2C04">
        <w:t xml:space="preserve"> </w:t>
      </w:r>
      <w:r w:rsidR="00870B54" w:rsidRPr="001F2C04">
        <w:tab/>
      </w:r>
      <w:r w:rsidRPr="001F2C04">
        <w:t xml:space="preserve">Interinstitutional Agreement of 20 May 2021 between the European Parliament, the Council of the European Union and the European Commission on a mandatory transparency register (OJ L 207, 11.6.2021, p. 1, ELI: </w:t>
      </w:r>
      <w:hyperlink r:id="rId5" w:history="1">
        <w:r w:rsidRPr="001F2C04">
          <w:rPr>
            <w:rStyle w:val="Hyperlink"/>
          </w:rPr>
          <w:t>http://data.europa.eu/eli/agree_interinstit/2021/611/oj</w:t>
        </w:r>
      </w:hyperlink>
      <w:r w:rsidRPr="001F2C0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635B6" w14:textId="77777777" w:rsidR="003C33EB" w:rsidRPr="001F2C04" w:rsidRDefault="003C33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45B2C" w14:textId="77777777" w:rsidR="003C33EB" w:rsidRPr="001F2C04" w:rsidRDefault="003C33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FBB64" w14:textId="77777777" w:rsidR="003C33EB" w:rsidRPr="001F2C04" w:rsidRDefault="003C33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8038559">
    <w:abstractNumId w:val="9"/>
  </w:num>
  <w:num w:numId="2" w16cid:durableId="397703268">
    <w:abstractNumId w:val="9"/>
  </w:num>
  <w:num w:numId="3" w16cid:durableId="459613924">
    <w:abstractNumId w:val="7"/>
  </w:num>
  <w:num w:numId="4" w16cid:durableId="434593048">
    <w:abstractNumId w:val="7"/>
  </w:num>
  <w:num w:numId="5" w16cid:durableId="19089192">
    <w:abstractNumId w:val="6"/>
  </w:num>
  <w:num w:numId="6" w16cid:durableId="1991516676">
    <w:abstractNumId w:val="6"/>
  </w:num>
  <w:num w:numId="7" w16cid:durableId="937249923">
    <w:abstractNumId w:val="5"/>
  </w:num>
  <w:num w:numId="8" w16cid:durableId="1217278092">
    <w:abstractNumId w:val="5"/>
  </w:num>
  <w:num w:numId="9" w16cid:durableId="1406609023">
    <w:abstractNumId w:val="4"/>
  </w:num>
  <w:num w:numId="10" w16cid:durableId="365453378">
    <w:abstractNumId w:val="4"/>
  </w:num>
  <w:num w:numId="11" w16cid:durableId="1475296197">
    <w:abstractNumId w:val="8"/>
  </w:num>
  <w:num w:numId="12" w16cid:durableId="1068914673">
    <w:abstractNumId w:val="8"/>
  </w:num>
  <w:num w:numId="13" w16cid:durableId="1143695108">
    <w:abstractNumId w:val="3"/>
  </w:num>
  <w:num w:numId="14" w16cid:durableId="1152676492">
    <w:abstractNumId w:val="3"/>
  </w:num>
  <w:num w:numId="15" w16cid:durableId="1390613338">
    <w:abstractNumId w:val="2"/>
  </w:num>
  <w:num w:numId="16" w16cid:durableId="1062287423">
    <w:abstractNumId w:val="2"/>
  </w:num>
  <w:num w:numId="17" w16cid:durableId="1597252237">
    <w:abstractNumId w:val="1"/>
  </w:num>
  <w:num w:numId="18" w16cid:durableId="472257861">
    <w:abstractNumId w:val="1"/>
  </w:num>
  <w:num w:numId="19" w16cid:durableId="670959128">
    <w:abstractNumId w:val="0"/>
  </w:num>
  <w:num w:numId="20" w16cid:durableId="888496178">
    <w:abstractNumId w:val="0"/>
  </w:num>
  <w:num w:numId="21" w16cid:durableId="509609090">
    <w:abstractNumId w:val="9"/>
  </w:num>
  <w:num w:numId="22" w16cid:durableId="1047417594">
    <w:abstractNumId w:val="7"/>
  </w:num>
  <w:num w:numId="23" w16cid:durableId="1082412639">
    <w:abstractNumId w:val="6"/>
  </w:num>
  <w:num w:numId="24" w16cid:durableId="17314319">
    <w:abstractNumId w:val="5"/>
  </w:num>
  <w:num w:numId="25" w16cid:durableId="1448083802">
    <w:abstractNumId w:val="4"/>
  </w:num>
  <w:num w:numId="26" w16cid:durableId="2011449197">
    <w:abstractNumId w:val="8"/>
  </w:num>
  <w:num w:numId="27" w16cid:durableId="834802486">
    <w:abstractNumId w:val="3"/>
  </w:num>
  <w:num w:numId="28" w16cid:durableId="649165762">
    <w:abstractNumId w:val="2"/>
  </w:num>
  <w:num w:numId="29" w16cid:durableId="1984699833">
    <w:abstractNumId w:val="1"/>
  </w:num>
  <w:num w:numId="30" w16cid:durableId="892887020">
    <w:abstractNumId w:val="0"/>
  </w:num>
  <w:num w:numId="31" w16cid:durableId="1479304028">
    <w:abstractNumId w:val="9"/>
  </w:num>
  <w:num w:numId="32" w16cid:durableId="277218741">
    <w:abstractNumId w:val="7"/>
  </w:num>
  <w:num w:numId="33" w16cid:durableId="668681740">
    <w:abstractNumId w:val="6"/>
  </w:num>
  <w:num w:numId="34" w16cid:durableId="20060053">
    <w:abstractNumId w:val="5"/>
  </w:num>
  <w:num w:numId="35" w16cid:durableId="486095378">
    <w:abstractNumId w:val="4"/>
  </w:num>
  <w:num w:numId="36" w16cid:durableId="872425237">
    <w:abstractNumId w:val="8"/>
  </w:num>
  <w:num w:numId="37" w16cid:durableId="873812772">
    <w:abstractNumId w:val="3"/>
  </w:num>
  <w:num w:numId="38" w16cid:durableId="1814827591">
    <w:abstractNumId w:val="2"/>
  </w:num>
  <w:num w:numId="39" w16cid:durableId="1740860681">
    <w:abstractNumId w:val="1"/>
  </w:num>
  <w:num w:numId="40" w16cid:durableId="1131828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2"/>
    <w:docVar w:name="CIT1MNU" w:val=" 4"/>
    <w:docVar w:name="CIT2MNU" w:val=" 4"/>
    <w:docVar w:name="CIT3MNU" w:val=" 4"/>
    <w:docVar w:name="CODEMNU" w:val=" 3"/>
    <w:docVar w:name="COMKEY" w:val="INTA"/>
    <w:docVar w:name="CONTRIBUTIONMNU" w:val=" 1"/>
    <w:docVar w:name="LastEditedSection" w:val=" 1"/>
    <w:docVar w:name="NVAR1" w:val="0"/>
    <w:docVar w:name="strDocTypeID" w:val="PR_Consent_Motion"/>
    <w:docVar w:name="strSubDir" w:val="1338"/>
    <w:docVar w:name="TITLENLE2MNU" w:val=" 1"/>
    <w:docVar w:name="TXTLANGUE" w:val="EN"/>
    <w:docVar w:name="TXTLANGUEMIN" w:val="en"/>
    <w:docVar w:name="TXTNRC" w:val="xxx"/>
    <w:docVar w:name="TXTNRCOM" w:val="xxx"/>
    <w:docVar w:name="TXTNRPE" w:val="785.168"/>
    <w:docVar w:name="TXTNRPROC" w:val="2025/0259M"/>
    <w:docVar w:name="TXTPEorAP" w:val="PE"/>
    <w:docVar w:name="TXTROUTE" w:val="PR\1338140EN.docx"/>
    <w:docVar w:name="TXTTITLE" w:val="Termination of the Voluntary Partnership Agreement between the European Union and the Republic of Liberia on Forest Law Enforcement Governance and Trade in timber products to the European Union"/>
    <w:docVar w:name="TXTVERSION" w:val="01-00"/>
  </w:docVars>
  <w:rsids>
    <w:rsidRoot w:val="00D72B59"/>
    <w:rsid w:val="0000361A"/>
    <w:rsid w:val="0000443F"/>
    <w:rsid w:val="000128A4"/>
    <w:rsid w:val="00016673"/>
    <w:rsid w:val="00044034"/>
    <w:rsid w:val="000501E3"/>
    <w:rsid w:val="00061759"/>
    <w:rsid w:val="0006484E"/>
    <w:rsid w:val="0007541B"/>
    <w:rsid w:val="000B568D"/>
    <w:rsid w:val="000C123D"/>
    <w:rsid w:val="00121F95"/>
    <w:rsid w:val="00145D55"/>
    <w:rsid w:val="00146B4A"/>
    <w:rsid w:val="0017071A"/>
    <w:rsid w:val="00172C59"/>
    <w:rsid w:val="00180664"/>
    <w:rsid w:val="0019436E"/>
    <w:rsid w:val="001946F1"/>
    <w:rsid w:val="00197326"/>
    <w:rsid w:val="001B1C23"/>
    <w:rsid w:val="001C1B6E"/>
    <w:rsid w:val="001C5935"/>
    <w:rsid w:val="001D02E3"/>
    <w:rsid w:val="001E1AE2"/>
    <w:rsid w:val="001F2C04"/>
    <w:rsid w:val="002008B1"/>
    <w:rsid w:val="002254D5"/>
    <w:rsid w:val="00262105"/>
    <w:rsid w:val="002678EE"/>
    <w:rsid w:val="002727A3"/>
    <w:rsid w:val="002E2E20"/>
    <w:rsid w:val="00306725"/>
    <w:rsid w:val="003072BE"/>
    <w:rsid w:val="00310CF7"/>
    <w:rsid w:val="0033134C"/>
    <w:rsid w:val="00345230"/>
    <w:rsid w:val="00363B94"/>
    <w:rsid w:val="003765E5"/>
    <w:rsid w:val="0038004C"/>
    <w:rsid w:val="00384848"/>
    <w:rsid w:val="003B26A4"/>
    <w:rsid w:val="003C33EB"/>
    <w:rsid w:val="003D540D"/>
    <w:rsid w:val="003F750F"/>
    <w:rsid w:val="003F778E"/>
    <w:rsid w:val="004174FC"/>
    <w:rsid w:val="004373F0"/>
    <w:rsid w:val="00460749"/>
    <w:rsid w:val="00460BD6"/>
    <w:rsid w:val="004859B3"/>
    <w:rsid w:val="004974AF"/>
    <w:rsid w:val="004A4784"/>
    <w:rsid w:val="004E1650"/>
    <w:rsid w:val="004F29E7"/>
    <w:rsid w:val="0050694E"/>
    <w:rsid w:val="00592084"/>
    <w:rsid w:val="005C526F"/>
    <w:rsid w:val="005D0B97"/>
    <w:rsid w:val="005D50F9"/>
    <w:rsid w:val="005F5A29"/>
    <w:rsid w:val="005F5D6C"/>
    <w:rsid w:val="006132CE"/>
    <w:rsid w:val="00613F97"/>
    <w:rsid w:val="0063027E"/>
    <w:rsid w:val="00631C99"/>
    <w:rsid w:val="00664032"/>
    <w:rsid w:val="00665C0D"/>
    <w:rsid w:val="00666488"/>
    <w:rsid w:val="006775BC"/>
    <w:rsid w:val="00694C12"/>
    <w:rsid w:val="006A2CF5"/>
    <w:rsid w:val="006D1130"/>
    <w:rsid w:val="006D3839"/>
    <w:rsid w:val="006D5061"/>
    <w:rsid w:val="00715DF3"/>
    <w:rsid w:val="007370DF"/>
    <w:rsid w:val="00754FF9"/>
    <w:rsid w:val="0075702D"/>
    <w:rsid w:val="00791FE8"/>
    <w:rsid w:val="007B4247"/>
    <w:rsid w:val="007C7C0A"/>
    <w:rsid w:val="0080122F"/>
    <w:rsid w:val="00802F8B"/>
    <w:rsid w:val="008368CB"/>
    <w:rsid w:val="008544DE"/>
    <w:rsid w:val="0085501C"/>
    <w:rsid w:val="00855EE2"/>
    <w:rsid w:val="00861F77"/>
    <w:rsid w:val="00866943"/>
    <w:rsid w:val="00870B54"/>
    <w:rsid w:val="00871A15"/>
    <w:rsid w:val="0087688F"/>
    <w:rsid w:val="00877ECE"/>
    <w:rsid w:val="008865DD"/>
    <w:rsid w:val="00892627"/>
    <w:rsid w:val="00893868"/>
    <w:rsid w:val="008947E9"/>
    <w:rsid w:val="008A4452"/>
    <w:rsid w:val="008A5A4C"/>
    <w:rsid w:val="008C2BFA"/>
    <w:rsid w:val="008C39BE"/>
    <w:rsid w:val="008D26B5"/>
    <w:rsid w:val="008D3030"/>
    <w:rsid w:val="008D481A"/>
    <w:rsid w:val="008E5314"/>
    <w:rsid w:val="008E596D"/>
    <w:rsid w:val="008F4433"/>
    <w:rsid w:val="009040B7"/>
    <w:rsid w:val="00924EE0"/>
    <w:rsid w:val="00925477"/>
    <w:rsid w:val="00937BA9"/>
    <w:rsid w:val="009612AA"/>
    <w:rsid w:val="00973BE2"/>
    <w:rsid w:val="00977A9B"/>
    <w:rsid w:val="00984F50"/>
    <w:rsid w:val="00990526"/>
    <w:rsid w:val="009B3B05"/>
    <w:rsid w:val="009B6F40"/>
    <w:rsid w:val="00A07A05"/>
    <w:rsid w:val="00A12433"/>
    <w:rsid w:val="00A26973"/>
    <w:rsid w:val="00A26BC7"/>
    <w:rsid w:val="00A3528C"/>
    <w:rsid w:val="00A522E9"/>
    <w:rsid w:val="00A852E2"/>
    <w:rsid w:val="00A916D9"/>
    <w:rsid w:val="00AA413C"/>
    <w:rsid w:val="00AB39B7"/>
    <w:rsid w:val="00AB6339"/>
    <w:rsid w:val="00AC41F1"/>
    <w:rsid w:val="00AD7844"/>
    <w:rsid w:val="00B31D18"/>
    <w:rsid w:val="00B37BF5"/>
    <w:rsid w:val="00B42885"/>
    <w:rsid w:val="00B50C20"/>
    <w:rsid w:val="00B77D99"/>
    <w:rsid w:val="00B978B4"/>
    <w:rsid w:val="00BA370F"/>
    <w:rsid w:val="00BB41C8"/>
    <w:rsid w:val="00BE5E72"/>
    <w:rsid w:val="00BF0A0F"/>
    <w:rsid w:val="00BF2E15"/>
    <w:rsid w:val="00BF4171"/>
    <w:rsid w:val="00BF7F55"/>
    <w:rsid w:val="00C02F2F"/>
    <w:rsid w:val="00C15447"/>
    <w:rsid w:val="00C4269E"/>
    <w:rsid w:val="00C42CE5"/>
    <w:rsid w:val="00CF44DF"/>
    <w:rsid w:val="00D04E0B"/>
    <w:rsid w:val="00D159FA"/>
    <w:rsid w:val="00D32578"/>
    <w:rsid w:val="00D62DA0"/>
    <w:rsid w:val="00D72B59"/>
    <w:rsid w:val="00D8434B"/>
    <w:rsid w:val="00D85007"/>
    <w:rsid w:val="00DC3166"/>
    <w:rsid w:val="00DE1DF1"/>
    <w:rsid w:val="00E15DB5"/>
    <w:rsid w:val="00E20F34"/>
    <w:rsid w:val="00E54DB8"/>
    <w:rsid w:val="00E633CA"/>
    <w:rsid w:val="00E71368"/>
    <w:rsid w:val="00E85900"/>
    <w:rsid w:val="00E9187B"/>
    <w:rsid w:val="00E93816"/>
    <w:rsid w:val="00E9755F"/>
    <w:rsid w:val="00EA57BF"/>
    <w:rsid w:val="00EF48F2"/>
    <w:rsid w:val="00F0034F"/>
    <w:rsid w:val="00F215DE"/>
    <w:rsid w:val="00F6373C"/>
    <w:rsid w:val="00F731BD"/>
    <w:rsid w:val="00F90C4A"/>
    <w:rsid w:val="00FE385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418E7"/>
  <w15:chartTrackingRefBased/>
  <w15:docId w15:val="{7FB70F34-B3C3-49D5-A465-402E46F30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484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07A05"/>
    <w:pPr>
      <w:spacing w:before="480" w:after="240"/>
    </w:pPr>
  </w:style>
  <w:style w:type="paragraph" w:styleId="TOC1">
    <w:name w:val="toc 1"/>
    <w:basedOn w:val="Normal"/>
    <w:next w:val="Normal"/>
    <w:autoRedefine/>
    <w:uiPriority w:val="39"/>
    <w:rsid w:val="009B6F40"/>
    <w:pPr>
      <w:spacing w:after="240"/>
    </w:pPr>
  </w:style>
  <w:style w:type="paragraph" w:styleId="TOCHeading">
    <w:name w:val="TOC Heading"/>
    <w:basedOn w:val="Normal"/>
    <w:next w:val="TOCPage"/>
    <w:pPr>
      <w:keepNext/>
      <w:spacing w:before="240" w:after="240"/>
      <w:jc w:val="center"/>
    </w:pPr>
    <w:rPr>
      <w:rFonts w:ascii="Arial" w:hAnsi="Arial"/>
      <w:b/>
    </w:rPr>
  </w:style>
  <w:style w:type="paragraph" w:customStyle="1" w:styleId="TOCPage">
    <w:name w:val="TOC Page"/>
    <w:basedOn w:val="Normal"/>
    <w:next w:val="TOC1"/>
    <w:rsid w:val="008C39BE"/>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925477"/>
    <w:pPr>
      <w:spacing w:before="80" w:after="80"/>
    </w:pPr>
    <w:rPr>
      <w:rFonts w:ascii="Arial Narrow" w:hAnsi="Arial Narrow" w:cs="Arial"/>
      <w:b/>
      <w:sz w:val="32"/>
      <w:szCs w:val="22"/>
    </w:rPr>
  </w:style>
  <w:style w:type="paragraph" w:customStyle="1" w:styleId="CoverNormal24a">
    <w:name w:val="CoverNormal24a"/>
    <w:basedOn w:val="Normal"/>
    <w:rsid w:val="00A916D9"/>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044034"/>
    <w:pPr>
      <w:spacing w:before="1080"/>
      <w:jc w:val="right"/>
    </w:pPr>
    <w:rPr>
      <w:rFonts w:ascii="Arial" w:hAnsi="Arial" w:cs="Arial"/>
      <w:b/>
    </w:rPr>
  </w:style>
  <w:style w:type="paragraph" w:customStyle="1" w:styleId="CoverDocType24a">
    <w:name w:val="CoverDocType24a"/>
    <w:basedOn w:val="Normal"/>
    <w:rsid w:val="00A916D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3027E"/>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25477"/>
    <w:pPr>
      <w:spacing w:after="80"/>
    </w:pPr>
    <w:rPr>
      <w:rFonts w:ascii="Arial" w:hAnsi="Arial" w:cs="Arial"/>
      <w:sz w:val="20"/>
      <w:szCs w:val="22"/>
    </w:rPr>
  </w:style>
  <w:style w:type="paragraph" w:customStyle="1" w:styleId="EPLogo">
    <w:name w:val="EPLogo"/>
    <w:basedOn w:val="Normal"/>
    <w:qFormat/>
    <w:rsid w:val="00925477"/>
    <w:pPr>
      <w:jc w:val="right"/>
    </w:pPr>
  </w:style>
  <w:style w:type="paragraph" w:customStyle="1" w:styleId="EPFooter">
    <w:name w:val="EPFooter"/>
    <w:basedOn w:val="Normal"/>
    <w:rsid w:val="00A916D9"/>
    <w:pPr>
      <w:tabs>
        <w:tab w:val="center" w:pos="4535"/>
        <w:tab w:val="right" w:pos="9071"/>
      </w:tabs>
      <w:spacing w:before="240" w:after="240"/>
    </w:pPr>
    <w:rPr>
      <w:color w:val="010000"/>
      <w:sz w:val="22"/>
    </w:rPr>
  </w:style>
  <w:style w:type="character" w:styleId="PageNumber">
    <w:name w:val="page number"/>
    <w:basedOn w:val="DefaultParagraphFont"/>
    <w:semiHidden/>
    <w:rsid w:val="00892627"/>
  </w:style>
  <w:style w:type="character" w:customStyle="1" w:styleId="HeaderChar">
    <w:name w:val="Header Char"/>
    <w:basedOn w:val="DefaultParagraphFont"/>
    <w:link w:val="Header"/>
    <w:semiHidden/>
    <w:rsid w:val="0063027E"/>
    <w:rPr>
      <w:sz w:val="24"/>
    </w:rPr>
  </w:style>
  <w:style w:type="paragraph" w:customStyle="1" w:styleId="Normal12a">
    <w:name w:val="Normal12a"/>
    <w:basedOn w:val="Normal"/>
    <w:rsid w:val="00D32578"/>
    <w:pPr>
      <w:spacing w:after="240"/>
    </w:pPr>
  </w:style>
  <w:style w:type="paragraph" w:styleId="FootnoteText">
    <w:name w:val="footnote text"/>
    <w:basedOn w:val="Normal"/>
    <w:link w:val="FootnoteTextChar"/>
    <w:uiPriority w:val="99"/>
    <w:rsid w:val="001F2C04"/>
    <w:pPr>
      <w:ind w:left="567" w:hanging="567"/>
    </w:pPr>
    <w:rPr>
      <w:sz w:val="20"/>
      <w:lang w:val="fi-FI"/>
    </w:rPr>
  </w:style>
  <w:style w:type="character" w:customStyle="1" w:styleId="FootnoteTextChar">
    <w:name w:val="Footnote Text Char"/>
    <w:basedOn w:val="DefaultParagraphFont"/>
    <w:link w:val="FootnoteText"/>
    <w:uiPriority w:val="99"/>
    <w:rsid w:val="001F2C04"/>
    <w:rPr>
      <w:lang w:val="fi-FI"/>
    </w:rPr>
  </w:style>
  <w:style w:type="character" w:styleId="FootnoteReference">
    <w:name w:val="footnote reference"/>
    <w:basedOn w:val="DefaultParagraphFont"/>
    <w:uiPriority w:val="99"/>
    <w:rsid w:val="00C42CE5"/>
    <w:rPr>
      <w:vertAlign w:val="superscript"/>
    </w:rPr>
  </w:style>
  <w:style w:type="character" w:styleId="Hyperlink">
    <w:name w:val="Hyperlink"/>
    <w:basedOn w:val="DefaultParagraphFont"/>
    <w:uiPriority w:val="99"/>
    <w:unhideWhenUsed/>
    <w:rsid w:val="00861F77"/>
    <w:rPr>
      <w:color w:val="0563C1" w:themeColor="hyperlink"/>
      <w:u w:val="single"/>
    </w:rPr>
  </w:style>
  <w:style w:type="paragraph" w:styleId="ListParagraph">
    <w:name w:val="List Paragraph"/>
    <w:basedOn w:val="Normal"/>
    <w:uiPriority w:val="34"/>
    <w:qFormat/>
    <w:rsid w:val="00861F77"/>
    <w:pPr>
      <w:widowControl/>
      <w:ind w:left="720"/>
      <w:contextualSpacing/>
      <w:jc w:val="both"/>
    </w:pPr>
    <w:rPr>
      <w:rFonts w:eastAsiaTheme="minorHAnsi"/>
      <w:kern w:val="2"/>
      <w:szCs w:val="24"/>
      <w:lang w:eastAsia="en-US"/>
      <w14:ligatures w14:val="standardContextual"/>
    </w:rPr>
  </w:style>
  <w:style w:type="paragraph" w:styleId="Footer">
    <w:name w:val="footer"/>
    <w:basedOn w:val="Normal"/>
    <w:link w:val="FooterChar"/>
    <w:semiHidden/>
    <w:rsid w:val="00990526"/>
    <w:pPr>
      <w:tabs>
        <w:tab w:val="center" w:pos="4513"/>
        <w:tab w:val="right" w:pos="9026"/>
      </w:tabs>
    </w:pPr>
  </w:style>
  <w:style w:type="character" w:customStyle="1" w:styleId="FooterChar">
    <w:name w:val="Footer Char"/>
    <w:basedOn w:val="DefaultParagraphFont"/>
    <w:link w:val="Footer"/>
    <w:semiHidden/>
    <w:rsid w:val="00990526"/>
    <w:rPr>
      <w:sz w:val="24"/>
    </w:rPr>
  </w:style>
  <w:style w:type="paragraph" w:customStyle="1" w:styleId="Normal24a">
    <w:name w:val="Normal24a"/>
    <w:basedOn w:val="Normal"/>
    <w:rsid w:val="00E85900"/>
    <w:pPr>
      <w:spacing w:after="480"/>
    </w:pPr>
  </w:style>
  <w:style w:type="paragraph" w:customStyle="1" w:styleId="NormalBoldCenter">
    <w:name w:val="NormalBoldCenter"/>
    <w:basedOn w:val="Normal"/>
    <w:rsid w:val="00E85900"/>
    <w:pPr>
      <w:jc w:val="center"/>
    </w:pPr>
    <w:rPr>
      <w:b/>
    </w:rPr>
  </w:style>
  <w:style w:type="paragraph" w:customStyle="1" w:styleId="Footprint12b">
    <w:name w:val="Footprint12b"/>
    <w:basedOn w:val="Normal"/>
    <w:rsid w:val="00E85900"/>
    <w:pPr>
      <w:spacing w:before="240"/>
    </w:pPr>
    <w:rPr>
      <w:szCs w:val="24"/>
    </w:rPr>
  </w:style>
  <w:style w:type="paragraph" w:customStyle="1" w:styleId="NormalSingle">
    <w:name w:val="NormalSingle"/>
    <w:basedOn w:val="Normal"/>
    <w:qFormat/>
    <w:rsid w:val="00E85900"/>
    <w:rPr>
      <w:szCs w:val="24"/>
    </w:rPr>
  </w:style>
  <w:style w:type="character" w:styleId="UnresolvedMention">
    <w:name w:val="Unresolved Mention"/>
    <w:basedOn w:val="DefaultParagraphFont"/>
    <w:uiPriority w:val="99"/>
    <w:semiHidden/>
    <w:unhideWhenUsed/>
    <w:rsid w:val="00E85900"/>
    <w:rPr>
      <w:color w:val="605E5C"/>
      <w:shd w:val="clear" w:color="auto" w:fill="E1DFDD"/>
    </w:rPr>
  </w:style>
  <w:style w:type="paragraph" w:styleId="Revision">
    <w:name w:val="Revision"/>
    <w:hidden/>
    <w:uiPriority w:val="99"/>
    <w:semiHidden/>
    <w:rsid w:val="0050694E"/>
    <w:rPr>
      <w:sz w:val="24"/>
    </w:rPr>
  </w:style>
  <w:style w:type="character" w:styleId="CommentReference">
    <w:name w:val="annotation reference"/>
    <w:basedOn w:val="DefaultParagraphFont"/>
    <w:rsid w:val="005F5A29"/>
    <w:rPr>
      <w:sz w:val="16"/>
      <w:szCs w:val="16"/>
    </w:rPr>
  </w:style>
  <w:style w:type="paragraph" w:styleId="CommentText">
    <w:name w:val="annotation text"/>
    <w:basedOn w:val="Normal"/>
    <w:link w:val="CommentTextChar"/>
    <w:rsid w:val="005F5A29"/>
    <w:rPr>
      <w:sz w:val="20"/>
    </w:rPr>
  </w:style>
  <w:style w:type="character" w:customStyle="1" w:styleId="CommentTextChar">
    <w:name w:val="Comment Text Char"/>
    <w:basedOn w:val="DefaultParagraphFont"/>
    <w:link w:val="CommentText"/>
    <w:rsid w:val="005F5A29"/>
  </w:style>
  <w:style w:type="paragraph" w:styleId="CommentSubject">
    <w:name w:val="annotation subject"/>
    <w:basedOn w:val="CommentText"/>
    <w:next w:val="CommentText"/>
    <w:link w:val="CommentSubjectChar"/>
    <w:semiHidden/>
    <w:unhideWhenUsed/>
    <w:rsid w:val="005F5A29"/>
    <w:rPr>
      <w:b/>
      <w:bCs/>
    </w:rPr>
  </w:style>
  <w:style w:type="character" w:customStyle="1" w:styleId="CommentSubjectChar">
    <w:name w:val="Comment Subject Char"/>
    <w:basedOn w:val="CommentTextChar"/>
    <w:link w:val="CommentSubject"/>
    <w:semiHidden/>
    <w:rsid w:val="005F5A29"/>
    <w:rPr>
      <w:b/>
      <w:bCs/>
    </w:rPr>
  </w:style>
  <w:style w:type="character" w:styleId="FollowedHyperlink">
    <w:name w:val="FollowedHyperlink"/>
    <w:basedOn w:val="DefaultParagraphFont"/>
    <w:rsid w:val="003067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365515">
      <w:bodyDiv w:val="1"/>
      <w:marLeft w:val="0"/>
      <w:marRight w:val="0"/>
      <w:marTop w:val="0"/>
      <w:marBottom w:val="0"/>
      <w:divBdr>
        <w:top w:val="none" w:sz="0" w:space="0" w:color="auto"/>
        <w:left w:val="none" w:sz="0" w:space="0" w:color="auto"/>
        <w:bottom w:val="none" w:sz="0" w:space="0" w:color="auto"/>
        <w:right w:val="none" w:sz="0" w:space="0" w:color="auto"/>
      </w:divBdr>
    </w:div>
    <w:div w:id="354697617">
      <w:bodyDiv w:val="1"/>
      <w:marLeft w:val="0"/>
      <w:marRight w:val="0"/>
      <w:marTop w:val="0"/>
      <w:marBottom w:val="0"/>
      <w:divBdr>
        <w:top w:val="none" w:sz="0" w:space="0" w:color="auto"/>
        <w:left w:val="none" w:sz="0" w:space="0" w:color="auto"/>
        <w:bottom w:val="none" w:sz="0" w:space="0" w:color="auto"/>
        <w:right w:val="none" w:sz="0" w:space="0" w:color="auto"/>
      </w:divBdr>
    </w:div>
    <w:div w:id="469594021">
      <w:bodyDiv w:val="1"/>
      <w:marLeft w:val="0"/>
      <w:marRight w:val="0"/>
      <w:marTop w:val="0"/>
      <w:marBottom w:val="0"/>
      <w:divBdr>
        <w:top w:val="none" w:sz="0" w:space="0" w:color="auto"/>
        <w:left w:val="none" w:sz="0" w:space="0" w:color="auto"/>
        <w:bottom w:val="none" w:sz="0" w:space="0" w:color="auto"/>
        <w:right w:val="none" w:sz="0" w:space="0" w:color="auto"/>
      </w:divBdr>
    </w:div>
    <w:div w:id="476148539">
      <w:bodyDiv w:val="1"/>
      <w:marLeft w:val="0"/>
      <w:marRight w:val="0"/>
      <w:marTop w:val="0"/>
      <w:marBottom w:val="0"/>
      <w:divBdr>
        <w:top w:val="none" w:sz="0" w:space="0" w:color="auto"/>
        <w:left w:val="none" w:sz="0" w:space="0" w:color="auto"/>
        <w:bottom w:val="none" w:sz="0" w:space="0" w:color="auto"/>
        <w:right w:val="none" w:sz="0" w:space="0" w:color="auto"/>
      </w:divBdr>
    </w:div>
    <w:div w:id="578904710">
      <w:bodyDiv w:val="1"/>
      <w:marLeft w:val="0"/>
      <w:marRight w:val="0"/>
      <w:marTop w:val="0"/>
      <w:marBottom w:val="0"/>
      <w:divBdr>
        <w:top w:val="none" w:sz="0" w:space="0" w:color="auto"/>
        <w:left w:val="none" w:sz="0" w:space="0" w:color="auto"/>
        <w:bottom w:val="none" w:sz="0" w:space="0" w:color="auto"/>
        <w:right w:val="none" w:sz="0" w:space="0" w:color="auto"/>
      </w:divBdr>
    </w:div>
    <w:div w:id="685907349">
      <w:bodyDiv w:val="1"/>
      <w:marLeft w:val="0"/>
      <w:marRight w:val="0"/>
      <w:marTop w:val="0"/>
      <w:marBottom w:val="0"/>
      <w:divBdr>
        <w:top w:val="none" w:sz="0" w:space="0" w:color="auto"/>
        <w:left w:val="none" w:sz="0" w:space="0" w:color="auto"/>
        <w:bottom w:val="none" w:sz="0" w:space="0" w:color="auto"/>
        <w:right w:val="none" w:sz="0" w:space="0" w:color="auto"/>
      </w:divBdr>
    </w:div>
    <w:div w:id="959610607">
      <w:bodyDiv w:val="1"/>
      <w:marLeft w:val="0"/>
      <w:marRight w:val="0"/>
      <w:marTop w:val="0"/>
      <w:marBottom w:val="0"/>
      <w:divBdr>
        <w:top w:val="none" w:sz="0" w:space="0" w:color="auto"/>
        <w:left w:val="none" w:sz="0" w:space="0" w:color="auto"/>
        <w:bottom w:val="none" w:sz="0" w:space="0" w:color="auto"/>
        <w:right w:val="none" w:sz="0" w:space="0" w:color="auto"/>
      </w:divBdr>
    </w:div>
    <w:div w:id="1486312052">
      <w:bodyDiv w:val="1"/>
      <w:marLeft w:val="0"/>
      <w:marRight w:val="0"/>
      <w:marTop w:val="0"/>
      <w:marBottom w:val="0"/>
      <w:divBdr>
        <w:top w:val="none" w:sz="0" w:space="0" w:color="auto"/>
        <w:left w:val="none" w:sz="0" w:space="0" w:color="auto"/>
        <w:bottom w:val="none" w:sz="0" w:space="0" w:color="auto"/>
        <w:right w:val="none" w:sz="0" w:space="0" w:color="auto"/>
      </w:divBdr>
    </w:div>
    <w:div w:id="1493906954">
      <w:bodyDiv w:val="1"/>
      <w:marLeft w:val="0"/>
      <w:marRight w:val="0"/>
      <w:marTop w:val="0"/>
      <w:marBottom w:val="0"/>
      <w:divBdr>
        <w:top w:val="none" w:sz="0" w:space="0" w:color="auto"/>
        <w:left w:val="none" w:sz="0" w:space="0" w:color="auto"/>
        <w:bottom w:val="none" w:sz="0" w:space="0" w:color="auto"/>
        <w:right w:val="none" w:sz="0" w:space="0" w:color="auto"/>
      </w:divBdr>
    </w:div>
    <w:div w:id="1503667438">
      <w:bodyDiv w:val="1"/>
      <w:marLeft w:val="0"/>
      <w:marRight w:val="0"/>
      <w:marTop w:val="0"/>
      <w:marBottom w:val="0"/>
      <w:divBdr>
        <w:top w:val="none" w:sz="0" w:space="0" w:color="auto"/>
        <w:left w:val="none" w:sz="0" w:space="0" w:color="auto"/>
        <w:bottom w:val="none" w:sz="0" w:space="0" w:color="auto"/>
        <w:right w:val="none" w:sz="0" w:space="0" w:color="auto"/>
      </w:divBdr>
    </w:div>
    <w:div w:id="1750882045">
      <w:bodyDiv w:val="1"/>
      <w:marLeft w:val="0"/>
      <w:marRight w:val="0"/>
      <w:marTop w:val="0"/>
      <w:marBottom w:val="0"/>
      <w:divBdr>
        <w:top w:val="none" w:sz="0" w:space="0" w:color="auto"/>
        <w:left w:val="none" w:sz="0" w:space="0" w:color="auto"/>
        <w:bottom w:val="none" w:sz="0" w:space="0" w:color="auto"/>
        <w:right w:val="none" w:sz="0" w:space="0" w:color="auto"/>
      </w:divBdr>
    </w:div>
    <w:div w:id="1886484652">
      <w:bodyDiv w:val="1"/>
      <w:marLeft w:val="0"/>
      <w:marRight w:val="0"/>
      <w:marTop w:val="0"/>
      <w:marBottom w:val="0"/>
      <w:divBdr>
        <w:top w:val="none" w:sz="0" w:space="0" w:color="auto"/>
        <w:left w:val="none" w:sz="0" w:space="0" w:color="auto"/>
        <w:bottom w:val="none" w:sz="0" w:space="0" w:color="auto"/>
        <w:right w:val="none" w:sz="0" w:space="0" w:color="auto"/>
      </w:divBdr>
    </w:div>
    <w:div w:id="2026127255">
      <w:bodyDiv w:val="1"/>
      <w:marLeft w:val="0"/>
      <w:marRight w:val="0"/>
      <w:marTop w:val="0"/>
      <w:marBottom w:val="0"/>
      <w:divBdr>
        <w:top w:val="none" w:sz="0" w:space="0" w:color="auto"/>
        <w:left w:val="none" w:sz="0" w:space="0" w:color="auto"/>
        <w:bottom w:val="none" w:sz="0" w:space="0" w:color="auto"/>
        <w:right w:val="none" w:sz="0" w:space="0" w:color="auto"/>
      </w:divBdr>
    </w:div>
    <w:div w:id="206251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1115/oj" TargetMode="External"/><Relationship Id="rId2" Type="http://schemas.openxmlformats.org/officeDocument/2006/relationships/hyperlink" Target="http://data.europa.eu/eli/reg/2010/995/oj" TargetMode="External"/><Relationship Id="rId1" Type="http://schemas.openxmlformats.org/officeDocument/2006/relationships/hyperlink" Target="http://data.europa.eu/eli/reg/2005/2173/oj" TargetMode="External"/><Relationship Id="rId5" Type="http://schemas.openxmlformats.org/officeDocument/2006/relationships/hyperlink" Target="http://data.europa.eu/eli/agree_interinstit/2021/611/oj" TargetMode="External"/><Relationship Id="rId4" Type="http://schemas.openxmlformats.org/officeDocument/2006/relationships/hyperlink" Target="http://data.europa.eu/eli/C/2024/66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EB72E-7E2F-4AC5-A627-9E8628EB3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1998</Words>
  <Characters>11452</Characters>
  <Application>Microsoft Office Word</Application>
  <DocSecurity>0</DocSecurity>
  <Lines>212</Lines>
  <Paragraphs>78</Paragraphs>
  <ScaleCrop>false</ScaleCrop>
  <HeadingPairs>
    <vt:vector size="2" baseType="variant">
      <vt:variant>
        <vt:lpstr>Title</vt:lpstr>
      </vt:variant>
      <vt:variant>
        <vt:i4>1</vt:i4>
      </vt:variant>
    </vt:vector>
  </HeadingPairs>
  <TitlesOfParts>
    <vt:vector size="1" baseType="lpstr">
      <vt:lpstr>PR_Consent_Motion</vt:lpstr>
    </vt:vector>
  </TitlesOfParts>
  <Company/>
  <LinksUpToDate>false</LinksUpToDate>
  <CharactersWithSpaces>13372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PR_Consent_Motion</dc:title>
  <dc:subject/>
  <dc:creator>ELSTEIN Inga</dc:creator>
  <cp:keywords/>
  <cp:lastModifiedBy>ROLIN Alice</cp:lastModifiedBy>
  <cp:revision>2</cp:revision>
  <cp:lastPrinted>2026-02-26T15:40:00Z</cp:lastPrinted>
  <dcterms:created xsi:type="dcterms:W3CDTF">2026-02-26T16:07:00Z</dcterms:created>
  <dcterms:modified xsi:type="dcterms:W3CDTF">2026-02-26T16:07:00Z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1338140</vt:lpwstr>
  </property>
  <property fmtid="{D5CDD505-2E9C-101B-9397-08002B2CF9AE}" pid="6" name="&lt;Type&gt;">
    <vt:lpwstr>PR</vt:lpwstr>
  </property>
  <property fmtid="{D5CDD505-2E9C-101B-9397-08002B2CF9AE}" pid="7" name="&lt;ModelCod&gt;">
    <vt:lpwstr>\\eiciBRUpr1\pdocep$\DocEP\DOCS\General\PR\PR_NonLeg\Other\PR_Consent_Motion.dotx(12/08/2024 16:16:00)</vt:lpwstr>
  </property>
  <property fmtid="{D5CDD505-2E9C-101B-9397-08002B2CF9AE}" pid="8" name="&lt;ModelTra&gt;">
    <vt:lpwstr>\\eiciBRUpr1\pdocep$\DocEP\TRANSFIL\EN\PR_Consent_Motion.EN(21/10/2024 06:35:04)</vt:lpwstr>
  </property>
  <property fmtid="{D5CDD505-2E9C-101B-9397-08002B2CF9AE}" pid="9" name="&lt;Model&gt;">
    <vt:lpwstr>PR_Consent_Motion</vt:lpwstr>
  </property>
  <property fmtid="{D5CDD505-2E9C-101B-9397-08002B2CF9AE}" pid="10" name="FooterPath">
    <vt:lpwstr>PR\1338140EN.docx</vt:lpwstr>
  </property>
  <property fmtid="{D5CDD505-2E9C-101B-9397-08002B2CF9AE}" pid="11" name="PE number">
    <vt:lpwstr>785.168</vt:lpwstr>
  </property>
  <property fmtid="{D5CDD505-2E9C-101B-9397-08002B2CF9AE}" pid="12" name="SendToEpades">
    <vt:lpwstr>OK - 2026/02/25 16:24</vt:lpwstr>
  </property>
  <property fmtid="{D5CDD505-2E9C-101B-9397-08002B2CF9AE}" pid="13" name="Bookout">
    <vt:lpwstr>OK - 2026/02/26 17:06</vt:lpwstr>
  </property>
</Properties>
</file>