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31D16038" w14:textId="77777777" w:rsidTr="00C85D0F">
        <w:tblPrEx>
          <w:tblW w:w="9072" w:type="dxa"/>
          <w:tblCellMar>
            <w:left w:w="0" w:type="dxa"/>
            <w:right w:w="0" w:type="dxa"/>
          </w:tblCellMar>
          <w:tblLook w:val="01E0"/>
        </w:tblPrEx>
        <w:trPr>
          <w:trHeight w:hRule="exact" w:val="1418"/>
        </w:trPr>
        <w:tc>
          <w:tcPr>
            <w:tcW w:w="6804" w:type="dxa"/>
            <w:shd w:val="clear" w:color="auto" w:fill="auto"/>
            <w:vAlign w:val="center"/>
          </w:tcPr>
          <w:p w:rsidR="00172C59" w:rsidRPr="00FF47A6" w:rsidP="00C85D0F" w14:paraId="3B6EBFE9" w14:textId="77777777">
            <w:pPr>
              <w:pStyle w:val="EPName"/>
            </w:pPr>
            <w:r w:rsidRPr="00FF47A6">
              <w:t>European Parliament</w:t>
            </w:r>
          </w:p>
          <w:p w:rsidR="00172C59" w:rsidRPr="00FF47A6" w:rsidP="00C85D0F" w14:paraId="22C526D0" w14:textId="7DDB90EE">
            <w:pPr>
              <w:pStyle w:val="EPTerm"/>
            </w:pPr>
            <w:r w:rsidRPr="00FF47A6">
              <w:t>2024-2029</w:t>
            </w:r>
          </w:p>
        </w:tc>
        <w:tc>
          <w:tcPr>
            <w:tcW w:w="2268" w:type="dxa"/>
            <w:shd w:val="clear" w:color="auto" w:fill="auto"/>
          </w:tcPr>
          <w:p w:rsidR="00172C59" w:rsidRPr="00FF47A6" w:rsidP="00C85D0F" w14:paraId="006EB2E3" w14:textId="77777777">
            <w:pPr>
              <w:pStyle w:val="EPLogo"/>
            </w:pPr>
            <w:r w:rsidRPr="00FF47A6">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433547"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A26973" w:rsidRPr="00FF47A6" w:rsidP="00A26973" w14:paraId="48650F33" w14:textId="77777777">
      <w:pPr>
        <w:pStyle w:val="LineTop"/>
      </w:pPr>
    </w:p>
    <w:p w:rsidR="00A26973" w:rsidRPr="00FF47A6" w:rsidP="00A26973" w14:paraId="6804E81C" w14:textId="11B84701">
      <w:pPr>
        <w:pStyle w:val="EPBody"/>
      </w:pPr>
      <w:r w:rsidRPr="00FF47A6">
        <w:rPr>
          <w:rStyle w:val="HideTWBExt"/>
          <w:noProof w:val="0"/>
        </w:rPr>
        <w:t>&lt;</w:t>
      </w:r>
      <w:r w:rsidRPr="00FF47A6">
        <w:rPr>
          <w:rStyle w:val="HideTWBExt"/>
          <w:i w:val="0"/>
          <w:noProof w:val="0"/>
        </w:rPr>
        <w:t>Commission</w:t>
      </w:r>
      <w:r w:rsidRPr="00FF47A6">
        <w:rPr>
          <w:rStyle w:val="HideTWBExt"/>
          <w:noProof w:val="0"/>
        </w:rPr>
        <w:t>&gt;</w:t>
      </w:r>
      <w:r w:rsidRPr="00FF47A6" w:rsidR="003241CA">
        <w:rPr>
          <w:rStyle w:val="HideTWBInt"/>
        </w:rPr>
        <w:t>{INTA}</w:t>
      </w:r>
      <w:r w:rsidRPr="00FF47A6" w:rsidR="003241CA">
        <w:t>Committee on International Trade</w:t>
      </w:r>
      <w:r w:rsidRPr="00FF47A6">
        <w:rPr>
          <w:rStyle w:val="HideTWBExt"/>
          <w:noProof w:val="0"/>
        </w:rPr>
        <w:t>&lt;/</w:t>
      </w:r>
      <w:r w:rsidRPr="00FF47A6">
        <w:rPr>
          <w:rStyle w:val="HideTWBExt"/>
          <w:i w:val="0"/>
          <w:noProof w:val="0"/>
        </w:rPr>
        <w:t>Commission</w:t>
      </w:r>
      <w:r w:rsidRPr="00FF47A6">
        <w:rPr>
          <w:rStyle w:val="HideTWBExt"/>
          <w:noProof w:val="0"/>
        </w:rPr>
        <w:t>&gt;</w:t>
      </w:r>
    </w:p>
    <w:p w:rsidR="00A26973" w:rsidRPr="00FF47A6" w:rsidP="00A26973" w14:paraId="1F4974C2" w14:textId="77777777">
      <w:pPr>
        <w:pStyle w:val="LineBottom"/>
      </w:pPr>
    </w:p>
    <w:p w:rsidR="00A26973" w:rsidRPr="00FF47A6" w:rsidP="00A26973" w14:paraId="6010F03F" w14:textId="14F137AA">
      <w:pPr>
        <w:pStyle w:val="CoverReference"/>
      </w:pPr>
      <w:r w:rsidRPr="00FF47A6">
        <w:rPr>
          <w:rStyle w:val="HideTWBExt"/>
          <w:b w:val="0"/>
          <w:noProof w:val="0"/>
        </w:rPr>
        <w:t>&lt;RefProc&gt;</w:t>
      </w:r>
      <w:r w:rsidRPr="00FF47A6" w:rsidR="003241CA">
        <w:t>2025/0273M</w:t>
      </w:r>
      <w:r w:rsidRPr="00FF47A6">
        <w:rPr>
          <w:rStyle w:val="HideTWBExt"/>
          <w:b w:val="0"/>
          <w:noProof w:val="0"/>
        </w:rPr>
        <w:t>&lt;/RefProc&gt;&lt;RefTypeProc&gt;</w:t>
      </w:r>
      <w:r w:rsidRPr="00FF47A6" w:rsidR="009F3EB4">
        <w:t>(</w:t>
      </w:r>
      <w:r w:rsidRPr="00FF47A6" w:rsidR="003241CA">
        <w:t>NLE</w:t>
      </w:r>
      <w:r w:rsidRPr="00FF47A6" w:rsidR="009F3EB4">
        <w:t>)</w:t>
      </w:r>
      <w:r w:rsidRPr="00FF47A6">
        <w:rPr>
          <w:rStyle w:val="HideTWBExt"/>
          <w:b w:val="0"/>
          <w:noProof w:val="0"/>
        </w:rPr>
        <w:t>&lt;/RefTypeProc&gt;</w:t>
      </w:r>
    </w:p>
    <w:p w:rsidR="00A26973" w:rsidRPr="00FF47A6" w:rsidP="00A26973" w14:paraId="04DD7C74" w14:textId="0BBA8D5C">
      <w:pPr>
        <w:pStyle w:val="CoverDate"/>
      </w:pPr>
      <w:r w:rsidRPr="00FF47A6">
        <w:rPr>
          <w:rStyle w:val="HideTWBExt"/>
          <w:noProof w:val="0"/>
        </w:rPr>
        <w:t>&lt;Date&gt;</w:t>
      </w:r>
      <w:r w:rsidRPr="00FF47A6" w:rsidR="003241CA">
        <w:rPr>
          <w:rStyle w:val="HideTWBInt"/>
        </w:rPr>
        <w:t>{1</w:t>
      </w:r>
      <w:r w:rsidRPr="00FF47A6" w:rsidR="008429D0">
        <w:rPr>
          <w:rStyle w:val="HideTWBInt"/>
        </w:rPr>
        <w:t>5</w:t>
      </w:r>
      <w:r w:rsidRPr="00FF47A6" w:rsidR="003241CA">
        <w:rPr>
          <w:rStyle w:val="HideTWBInt"/>
        </w:rPr>
        <w:t>/09/2026}</w:t>
      </w:r>
      <w:r w:rsidRPr="00FF47A6" w:rsidR="003241CA">
        <w:t>1</w:t>
      </w:r>
      <w:r w:rsidRPr="00FF47A6" w:rsidR="008429D0">
        <w:t>5</w:t>
      </w:r>
      <w:r w:rsidRPr="00FF47A6" w:rsidR="003241CA">
        <w:t>.9.2026</w:t>
      </w:r>
      <w:r w:rsidRPr="00FF47A6">
        <w:rPr>
          <w:rStyle w:val="HideTWBExt"/>
          <w:noProof w:val="0"/>
        </w:rPr>
        <w:t>&lt;/Date&gt;</w:t>
      </w:r>
    </w:p>
    <w:p w:rsidR="00A26973" w:rsidRPr="00FF47A6" w:rsidP="00A26973" w14:paraId="3FFC2045" w14:textId="77777777">
      <w:pPr>
        <w:pStyle w:val="CoverDocType24a"/>
      </w:pPr>
      <w:r w:rsidRPr="00FF47A6">
        <w:rPr>
          <w:rStyle w:val="HideTWBExt"/>
          <w:b w:val="0"/>
          <w:noProof w:val="0"/>
        </w:rPr>
        <w:t>&lt;TitreType&gt;</w:t>
      </w:r>
      <w:r w:rsidRPr="00FF47A6" w:rsidR="009F3EB4">
        <w:t>DRAFT REPORT</w:t>
      </w:r>
      <w:r w:rsidRPr="00FF47A6">
        <w:rPr>
          <w:rStyle w:val="HideTWBExt"/>
          <w:b w:val="0"/>
          <w:noProof w:val="0"/>
        </w:rPr>
        <w:t>&lt;/TitreType&gt;</w:t>
      </w:r>
    </w:p>
    <w:p w:rsidR="00A26973" w:rsidRPr="00FF47A6" w:rsidP="00A26973" w14:paraId="466EBE66" w14:textId="6EC8004B">
      <w:pPr>
        <w:pStyle w:val="CoverNormal"/>
      </w:pPr>
      <w:r w:rsidRPr="00FF47A6">
        <w:rPr>
          <w:rStyle w:val="HideTWBExt"/>
          <w:noProof w:val="0"/>
        </w:rPr>
        <w:t>&lt;Titre&gt;</w:t>
      </w:r>
      <w:r w:rsidRPr="00FF47A6" w:rsidR="009F3EB4">
        <w:t xml:space="preserve">containing a motion for a non-legislative resolution on the </w:t>
      </w:r>
      <w:r w:rsidRPr="00FF47A6" w:rsidR="00B35EBA">
        <w:t>draft Council decision on the conclusion of the Agreement on Digital Trade between the European Union and the Republic of Korea</w:t>
      </w:r>
      <w:r w:rsidRPr="00FF47A6">
        <w:rPr>
          <w:rStyle w:val="HideTWBExt"/>
          <w:noProof w:val="0"/>
        </w:rPr>
        <w:t>&lt;/Titre&gt;</w:t>
      </w:r>
    </w:p>
    <w:p w:rsidR="00A26973" w:rsidRPr="00FF47A6" w:rsidP="00A26973" w14:paraId="218B25E6" w14:textId="342D37A0">
      <w:pPr>
        <w:pStyle w:val="CoverNormal24a"/>
      </w:pPr>
      <w:r w:rsidRPr="00FF47A6">
        <w:rPr>
          <w:rStyle w:val="HideTWBExt"/>
          <w:noProof w:val="0"/>
        </w:rPr>
        <w:t>&lt;DocRef&gt;</w:t>
      </w:r>
      <w:r w:rsidRPr="00FF47A6" w:rsidR="009F3EB4">
        <w:t>(</w:t>
      </w:r>
      <w:r w:rsidRPr="00FF47A6" w:rsidR="00B35EBA">
        <w:t xml:space="preserve">13083/2025 </w:t>
      </w:r>
      <w:r w:rsidRPr="00FF47A6" w:rsidR="003241CA">
        <w:t>–</w:t>
      </w:r>
      <w:r w:rsidRPr="00FF47A6" w:rsidR="009F3EB4">
        <w:t xml:space="preserve"> </w:t>
      </w:r>
      <w:r w:rsidRPr="00FF47A6" w:rsidR="003241CA">
        <w:t>C10</w:t>
      </w:r>
      <w:r w:rsidRPr="00FF47A6" w:rsidR="003241CA">
        <w:noBreakHyphen/>
      </w:r>
      <w:r w:rsidRPr="00FF47A6" w:rsidR="00B35EBA">
        <w:t>0143/2026</w:t>
      </w:r>
      <w:r w:rsidRPr="00FF47A6" w:rsidR="009F3EB4">
        <w:t xml:space="preserve"> </w:t>
      </w:r>
      <w:r w:rsidRPr="00FF47A6" w:rsidR="003241CA">
        <w:t>–</w:t>
      </w:r>
      <w:r w:rsidRPr="00FF47A6" w:rsidR="009F3EB4">
        <w:t xml:space="preserve"> </w:t>
      </w:r>
      <w:r w:rsidRPr="00FF47A6" w:rsidR="003241CA">
        <w:t>2025/0273M</w:t>
      </w:r>
      <w:r w:rsidRPr="00FF47A6" w:rsidR="009F3EB4">
        <w:t>(</w:t>
      </w:r>
      <w:r w:rsidRPr="00FF47A6" w:rsidR="003241CA">
        <w:t>NLE</w:t>
      </w:r>
      <w:r w:rsidRPr="00FF47A6" w:rsidR="009F3EB4">
        <w:t>))</w:t>
      </w:r>
      <w:r w:rsidRPr="00FF47A6">
        <w:rPr>
          <w:rStyle w:val="HideTWBExt"/>
          <w:noProof w:val="0"/>
        </w:rPr>
        <w:t>&lt;/DocRef&gt;</w:t>
      </w:r>
    </w:p>
    <w:p w:rsidR="00A26973" w:rsidRPr="00FF47A6" w:rsidP="00A26973" w14:paraId="7239B009" w14:textId="2698624F">
      <w:pPr>
        <w:pStyle w:val="CoverNormal24a"/>
      </w:pPr>
      <w:r w:rsidRPr="00FF47A6">
        <w:rPr>
          <w:rStyle w:val="HideTWBExt"/>
          <w:noProof w:val="0"/>
        </w:rPr>
        <w:t>&lt;Commission&gt;</w:t>
      </w:r>
      <w:r w:rsidRPr="00FF47A6" w:rsidR="003241CA">
        <w:rPr>
          <w:rStyle w:val="HideTWBInt"/>
        </w:rPr>
        <w:t>{INTA}</w:t>
      </w:r>
      <w:r w:rsidRPr="00FF47A6" w:rsidR="003241CA">
        <w:t>Committee on International Trade</w:t>
      </w:r>
      <w:r w:rsidRPr="00FF47A6">
        <w:rPr>
          <w:rStyle w:val="HideTWBExt"/>
          <w:noProof w:val="0"/>
        </w:rPr>
        <w:t>&lt;/Commission&gt;</w:t>
      </w:r>
    </w:p>
    <w:p w:rsidR="00A26973" w:rsidRPr="00FF47A6" w:rsidP="00A26973" w14:paraId="2A232E0D" w14:textId="34B08F58">
      <w:pPr>
        <w:pStyle w:val="CoverNormal24a"/>
      </w:pPr>
      <w:r w:rsidRPr="00FF47A6">
        <w:t>Rapporteur:</w:t>
      </w:r>
      <w:r w:rsidRPr="00FF47A6">
        <w:t xml:space="preserve"> </w:t>
      </w:r>
      <w:r w:rsidRPr="00FF47A6">
        <w:rPr>
          <w:rStyle w:val="HideTWBExt"/>
          <w:noProof w:val="0"/>
        </w:rPr>
        <w:t>&lt;Depute&gt;</w:t>
      </w:r>
      <w:r w:rsidRPr="00FF47A6" w:rsidR="003241CA">
        <w:t>Lina Gálvez</w:t>
      </w:r>
      <w:r w:rsidRPr="00FF47A6">
        <w:rPr>
          <w:rStyle w:val="HideTWBExt"/>
          <w:noProof w:val="0"/>
        </w:rPr>
        <w:t>&lt;/Depute&gt;</w:t>
      </w:r>
    </w:p>
    <w:p w:rsidR="00B42885" w:rsidRPr="00FF47A6" w:rsidP="00B42885" w14:paraId="22AA680A" w14:textId="77777777">
      <w:pPr>
        <w:pStyle w:val="CoverNormal"/>
      </w:pPr>
    </w:p>
    <w:p w:rsidR="00197326" w:rsidRPr="00FF47A6" w:rsidP="00925477" w14:paraId="7E660DC3" w14:textId="77777777">
      <w:pPr>
        <w:widowControl/>
        <w:tabs>
          <w:tab w:val="center" w:pos="4677"/>
        </w:tabs>
      </w:pPr>
      <w:r w:rsidRPr="00FF47A6">
        <w:br w:type="page"/>
      </w:r>
      <w:r w:rsidRPr="00FF47A6" w:rsidR="009F3EB4">
        <w:t>PR_Consent_Motion</w:t>
      </w:r>
    </w:p>
    <w:p w:rsidR="00197326" w:rsidRPr="00FF47A6" w:rsidP="00197326" w14:paraId="2C2AF2A5" w14:textId="77777777">
      <w:pPr>
        <w:pStyle w:val="TOCHeading"/>
      </w:pPr>
      <w:r w:rsidRPr="00FF47A6">
        <w:t>CONTENTS</w:t>
      </w:r>
    </w:p>
    <w:p w:rsidR="00197326" w:rsidRPr="00FF47A6" w:rsidP="00925477" w14:paraId="06AB60B6" w14:textId="77777777">
      <w:pPr>
        <w:pStyle w:val="TOCPage"/>
      </w:pPr>
      <w:r w:rsidRPr="00FF47A6">
        <w:t>Page</w:t>
      </w:r>
    </w:p>
    <w:p w:rsidR="00EB5F8F" w14:paraId="0F631EC5" w14:textId="0F0A6A85">
      <w:pPr>
        <w:pStyle w:val="TOC1"/>
        <w:tabs>
          <w:tab w:val="right" w:leader="dot" w:pos="9060"/>
        </w:tabs>
        <w:rPr>
          <w:rFonts w:asciiTheme="minorHAnsi" w:eastAsiaTheme="minorEastAsia" w:hAnsiTheme="minorHAnsi" w:cstheme="minorBidi"/>
          <w:noProof/>
          <w:kern w:val="2"/>
          <w:szCs w:val="24"/>
          <w14:ligatures w14:val="standardContextual"/>
        </w:rPr>
      </w:pPr>
      <w:r w:rsidRPr="00FF47A6">
        <w:rPr>
          <w:b/>
        </w:rPr>
        <w:fldChar w:fldCharType="begin"/>
      </w:r>
      <w:r w:rsidRPr="00FF47A6">
        <w:rPr>
          <w:b/>
        </w:rPr>
        <w:instrText xml:space="preserve"> TOC \t "PageHeading</w:instrText>
      </w:r>
      <w:r w:rsidRPr="00FF47A6" w:rsidR="005A1CAE">
        <w:rPr>
          <w:b/>
        </w:rPr>
        <w:instrText>;</w:instrText>
      </w:r>
      <w:r w:rsidRPr="00FF47A6">
        <w:rPr>
          <w:b/>
        </w:rPr>
        <w:instrText xml:space="preserve">1" </w:instrText>
      </w:r>
      <w:r w:rsidRPr="00FF47A6">
        <w:rPr>
          <w:b/>
        </w:rPr>
        <w:fldChar w:fldCharType="separate"/>
      </w:r>
      <w:r>
        <w:rPr>
          <w:noProof/>
        </w:rPr>
        <w:t>MOTION FOR A EUROPEAN PARLIAMENT NON-LEGISLATIVE RESOLUTION</w:t>
      </w:r>
      <w:r>
        <w:rPr>
          <w:noProof/>
        </w:rPr>
        <w:tab/>
      </w:r>
      <w:r>
        <w:rPr>
          <w:noProof/>
        </w:rPr>
        <w:fldChar w:fldCharType="begin"/>
      </w:r>
      <w:r>
        <w:rPr>
          <w:noProof/>
        </w:rPr>
        <w:instrText xml:space="preserve"> PAGEREF _Toc240552177 \h </w:instrText>
      </w:r>
      <w:r>
        <w:rPr>
          <w:noProof/>
        </w:rPr>
        <w:fldChar w:fldCharType="separate"/>
      </w:r>
      <w:r>
        <w:rPr>
          <w:noProof/>
        </w:rPr>
        <w:t>3</w:t>
      </w:r>
      <w:r>
        <w:rPr>
          <w:noProof/>
        </w:rPr>
        <w:fldChar w:fldCharType="end"/>
      </w:r>
    </w:p>
    <w:p w:rsidR="00EB5F8F" w14:paraId="68A02928" w14:textId="660CD561">
      <w:pPr>
        <w:pStyle w:val="TOC1"/>
        <w:tabs>
          <w:tab w:val="right" w:leader="dot" w:pos="9060"/>
        </w:tabs>
        <w:rPr>
          <w:rFonts w:asciiTheme="minorHAnsi" w:eastAsiaTheme="minorEastAsia" w:hAnsiTheme="minorHAnsi" w:cstheme="minorBidi"/>
          <w:noProof/>
          <w:kern w:val="2"/>
          <w:szCs w:val="24"/>
          <w14:ligatures w14:val="standardContextual"/>
        </w:rPr>
      </w:pPr>
      <w:r>
        <w:rPr>
          <w:noProof/>
        </w:rPr>
        <w:t>EXPLANATORY STATEMENT</w:t>
      </w:r>
      <w:r>
        <w:rPr>
          <w:noProof/>
        </w:rPr>
        <w:tab/>
      </w:r>
      <w:r>
        <w:rPr>
          <w:noProof/>
        </w:rPr>
        <w:fldChar w:fldCharType="begin"/>
      </w:r>
      <w:r>
        <w:rPr>
          <w:noProof/>
        </w:rPr>
        <w:instrText xml:space="preserve"> PAGEREF _Toc240552178 \h </w:instrText>
      </w:r>
      <w:r>
        <w:rPr>
          <w:noProof/>
        </w:rPr>
        <w:fldChar w:fldCharType="separate"/>
      </w:r>
      <w:r>
        <w:rPr>
          <w:noProof/>
        </w:rPr>
        <w:t>8</w:t>
      </w:r>
      <w:r>
        <w:rPr>
          <w:noProof/>
        </w:rPr>
        <w:fldChar w:fldCharType="end"/>
      </w:r>
    </w:p>
    <w:p w:rsidR="00EB5F8F" w14:paraId="6357C935" w14:textId="0A39B73C">
      <w:pPr>
        <w:pStyle w:val="TOC1"/>
        <w:tabs>
          <w:tab w:val="right" w:leader="dot" w:pos="9060"/>
        </w:tabs>
        <w:rPr>
          <w:rFonts w:asciiTheme="minorHAnsi" w:eastAsiaTheme="minorEastAsia" w:hAnsiTheme="minorHAnsi" w:cstheme="minorBidi"/>
          <w:noProof/>
          <w:kern w:val="2"/>
          <w:szCs w:val="24"/>
          <w14:ligatures w14:val="standardContextual"/>
        </w:rPr>
      </w:pPr>
      <w:r>
        <w:rPr>
          <w:noProof/>
        </w:rPr>
        <w:t>ANNEX: DECLARATION OF INPUT</w:t>
      </w:r>
      <w:r>
        <w:rPr>
          <w:noProof/>
        </w:rPr>
        <w:tab/>
      </w:r>
      <w:r>
        <w:rPr>
          <w:noProof/>
        </w:rPr>
        <w:fldChar w:fldCharType="begin"/>
      </w:r>
      <w:r>
        <w:rPr>
          <w:noProof/>
        </w:rPr>
        <w:instrText xml:space="preserve"> PAGEREF _Toc240552179 \h </w:instrText>
      </w:r>
      <w:r>
        <w:rPr>
          <w:noProof/>
        </w:rPr>
        <w:fldChar w:fldCharType="separate"/>
      </w:r>
      <w:r>
        <w:rPr>
          <w:noProof/>
        </w:rPr>
        <w:t>10</w:t>
      </w:r>
      <w:r>
        <w:rPr>
          <w:noProof/>
        </w:rPr>
        <w:fldChar w:fldCharType="end"/>
      </w:r>
    </w:p>
    <w:p w:rsidR="00197326" w:rsidRPr="00FF47A6" w:rsidP="00197326" w14:paraId="7DF961E8" w14:textId="39CEE2C0">
      <w:r w:rsidRPr="00FF47A6">
        <w:rPr>
          <w:b/>
        </w:rPr>
        <w:fldChar w:fldCharType="end"/>
      </w:r>
    </w:p>
    <w:p w:rsidR="00363B94" w:rsidRPr="00FF47A6" w14:paraId="632DEBAD" w14:textId="77777777">
      <w:pPr>
        <w:pStyle w:val="PageHeading"/>
      </w:pPr>
      <w:r w:rsidRPr="00FF47A6">
        <w:br w:type="page"/>
      </w:r>
      <w:bookmarkStart w:id="0" w:name="_Toc240552177"/>
      <w:r w:rsidRPr="00FF47A6" w:rsidR="009F3EB4">
        <w:t>MOTION FOR A EUROPEAN PARLIAMENT NON-LEGISLATIVE RESOLUTION</w:t>
      </w:r>
      <w:bookmarkEnd w:id="0"/>
    </w:p>
    <w:p w:rsidR="00363B94" w:rsidRPr="00FF47A6" w14:paraId="73B7495A" w14:textId="6CACBDE5">
      <w:pPr>
        <w:pStyle w:val="NormalBold"/>
      </w:pPr>
      <w:r w:rsidRPr="00FF47A6">
        <w:t xml:space="preserve">on the </w:t>
      </w:r>
      <w:r w:rsidRPr="00FF47A6" w:rsidR="00B35EBA">
        <w:t>draft Council decision on the conclusion of the Agreement on Digital Trade between the European Union and the Republic of Korea</w:t>
      </w:r>
    </w:p>
    <w:p w:rsidR="00363B94" w:rsidRPr="00FF47A6" w:rsidP="00A07A05" w14:paraId="5985E50D" w14:textId="7C8F6289">
      <w:pPr>
        <w:pStyle w:val="NormalBold"/>
      </w:pPr>
      <w:r w:rsidRPr="00FF47A6">
        <w:t>(</w:t>
      </w:r>
      <w:r w:rsidRPr="00FF47A6" w:rsidR="00B35EBA">
        <w:t>13083/2025</w:t>
      </w:r>
      <w:r w:rsidRPr="00FF47A6">
        <w:t xml:space="preserve"> </w:t>
      </w:r>
      <w:r w:rsidRPr="00FF47A6" w:rsidR="003241CA">
        <w:t>–</w:t>
      </w:r>
      <w:r w:rsidRPr="00FF47A6">
        <w:t xml:space="preserve"> </w:t>
      </w:r>
      <w:r w:rsidRPr="00FF47A6" w:rsidR="003241CA">
        <w:t>C10</w:t>
      </w:r>
      <w:r w:rsidRPr="00FF47A6" w:rsidR="003241CA">
        <w:noBreakHyphen/>
      </w:r>
      <w:r w:rsidRPr="00FF47A6" w:rsidR="00B35EBA">
        <w:t>0143/2026</w:t>
      </w:r>
      <w:r w:rsidRPr="00FF47A6">
        <w:t xml:space="preserve"> </w:t>
      </w:r>
      <w:r w:rsidRPr="00FF47A6" w:rsidR="003241CA">
        <w:t>–</w:t>
      </w:r>
      <w:r w:rsidRPr="00FF47A6">
        <w:t xml:space="preserve"> </w:t>
      </w:r>
      <w:r w:rsidRPr="00FF47A6" w:rsidR="003241CA">
        <w:t>2025/0273M</w:t>
      </w:r>
      <w:r w:rsidRPr="00FF47A6">
        <w:t>(</w:t>
      </w:r>
      <w:r w:rsidRPr="00FF47A6" w:rsidR="003241CA">
        <w:t>NLE</w:t>
      </w:r>
      <w:r w:rsidRPr="00FF47A6">
        <w:t>))</w:t>
      </w:r>
    </w:p>
    <w:p w:rsidR="00363B94" w:rsidRPr="00FF47A6" w14:paraId="00B0F82C" w14:textId="77777777">
      <w:pPr>
        <w:pStyle w:val="EPComma"/>
      </w:pPr>
      <w:r w:rsidRPr="00FF47A6">
        <w:rPr>
          <w:i/>
        </w:rPr>
        <w:t>The European Parliament</w:t>
      </w:r>
      <w:r w:rsidRPr="00FF47A6">
        <w:t>,</w:t>
      </w:r>
    </w:p>
    <w:p w:rsidR="00363B94" w:rsidRPr="00FF47A6" w14:paraId="06A12AD0" w14:textId="3D051309">
      <w:pPr>
        <w:pStyle w:val="NormalHanging12a"/>
      </w:pPr>
      <w:r w:rsidRPr="00FF47A6">
        <w:t>–</w:t>
      </w:r>
      <w:r w:rsidRPr="00FF47A6">
        <w:tab/>
      </w:r>
      <w:r w:rsidRPr="00FF47A6" w:rsidR="003241CA">
        <w:t xml:space="preserve">having regard to </w:t>
      </w:r>
      <w:r w:rsidRPr="00FF47A6" w:rsidR="004C1F3F">
        <w:t>the Treaty on European Union, in particular Title V thereof on the Union</w:t>
      </w:r>
      <w:r w:rsidR="00FF47A6">
        <w:t>’</w:t>
      </w:r>
      <w:r w:rsidRPr="00FF47A6" w:rsidR="004C1F3F">
        <w:t>s external action,</w:t>
      </w:r>
    </w:p>
    <w:p w:rsidR="004C1F3F" w:rsidRPr="00FF47A6" w14:paraId="6A1C5E28" w14:textId="4ECD77A0">
      <w:pPr>
        <w:pStyle w:val="NormalHanging12a"/>
      </w:pPr>
      <w:r w:rsidRPr="00FF47A6">
        <w:t>–</w:t>
      </w:r>
      <w:r w:rsidRPr="00FF47A6">
        <w:tab/>
        <w:t>having regard to the Treaty on the Functioning of the European Union (TFEU), in particular Article 207 in conjunction with Article 218(6)(a)(v) thereof,</w:t>
      </w:r>
    </w:p>
    <w:p w:rsidR="004C1F3F" w:rsidRPr="00FF47A6" w14:paraId="2FFACFF6" w14:textId="37F1890D">
      <w:pPr>
        <w:pStyle w:val="NormalHanging12a"/>
      </w:pPr>
      <w:r w:rsidRPr="00FF47A6">
        <w:t>–</w:t>
      </w:r>
      <w:r w:rsidRPr="00FF47A6">
        <w:tab/>
        <w:t>having regard to the draft Council decision on the conclusion of the Agreement on Digital Trade between the European Union and the Republic of Korea,</w:t>
      </w:r>
    </w:p>
    <w:p w:rsidR="004C1F3F" w:rsidRPr="00FF47A6" w14:paraId="1ADE21DA" w14:textId="48238533">
      <w:pPr>
        <w:pStyle w:val="NormalHanging12a"/>
      </w:pPr>
      <w:r w:rsidRPr="00FF47A6">
        <w:t>–</w:t>
      </w:r>
      <w:r w:rsidRPr="00FF47A6">
        <w:tab/>
        <w:t>having regard to the Agreement on Digital Trade between the European Union and the Republic of Korea, signed on 10</w:t>
      </w:r>
      <w:r w:rsidRPr="00FF47A6" w:rsidR="0028405C">
        <w:t> </w:t>
      </w:r>
      <w:r w:rsidRPr="00FF47A6">
        <w:t>June 2026,</w:t>
      </w:r>
    </w:p>
    <w:p w:rsidR="004C1F3F" w:rsidRPr="00FF47A6" w14:paraId="546457C4" w14:textId="15B9C853">
      <w:pPr>
        <w:pStyle w:val="NormalHanging12a"/>
      </w:pPr>
      <w:r w:rsidRPr="00FF47A6">
        <w:t>–</w:t>
      </w:r>
      <w:r w:rsidRPr="00FF47A6">
        <w:tab/>
        <w:t xml:space="preserve">having regard to the Commission proposal of </w:t>
      </w:r>
      <w:r w:rsidRPr="00FF47A6" w:rsidR="00A32026">
        <w:t>10</w:t>
      </w:r>
      <w:r w:rsidRPr="00FF47A6" w:rsidR="0028405C">
        <w:t> </w:t>
      </w:r>
      <w:r w:rsidRPr="00FF47A6">
        <w:t>September 2025 for a Council decision on the conclusion, on behalf of the Union, of the Digital Trade Agreement between the European Union and the Republic of Korea</w:t>
      </w:r>
      <w:r w:rsidRPr="00FF47A6" w:rsidR="00A32026">
        <w:t xml:space="preserve"> </w:t>
      </w:r>
      <w:r w:rsidRPr="00FF47A6">
        <w:t>(COM(2025)0479),</w:t>
      </w:r>
    </w:p>
    <w:p w:rsidR="004C1F3F" w:rsidRPr="00FF47A6" w14:paraId="45D2E761" w14:textId="09444561">
      <w:pPr>
        <w:pStyle w:val="NormalHanging12a"/>
      </w:pPr>
      <w:r w:rsidRPr="00FF47A6">
        <w:t>–</w:t>
      </w:r>
      <w:r w:rsidRPr="00FF47A6">
        <w:tab/>
        <w:t>having regard to the request for consent submitted by the Council in accordance with Article 207(4), first subparagraph, and Article 218(6), second subparagraph, point (a) TFEU,</w:t>
      </w:r>
    </w:p>
    <w:p w:rsidR="004C1F3F" w:rsidRPr="00FF47A6" w14:paraId="054035CF" w14:textId="47AB4E4C">
      <w:pPr>
        <w:pStyle w:val="NormalHanging12a"/>
      </w:pPr>
      <w:r w:rsidRPr="00FF47A6">
        <w:t>–</w:t>
      </w:r>
      <w:r w:rsidRPr="00FF47A6">
        <w:tab/>
        <w:t>having regard to European Data Protection Supervisor Opinion 27/2025 on the Proposals for Council Decisions on the signing and conclusion, on behalf of the Union, of the Digital Trade Agreement between the European Union and the Republic of Korea,</w:t>
      </w:r>
    </w:p>
    <w:p w:rsidR="004C1F3F" w:rsidRPr="00FF47A6" w14:paraId="06E64C98" w14:textId="35AC19E8">
      <w:pPr>
        <w:pStyle w:val="NormalHanging12a"/>
      </w:pPr>
      <w:r w:rsidRPr="00FF47A6">
        <w:t>–</w:t>
      </w:r>
      <w:r w:rsidRPr="00FF47A6">
        <w:tab/>
        <w:t xml:space="preserve">having regard to the Free Trade Agreement between the European Union </w:t>
      </w:r>
      <w:r w:rsidRPr="00FF47A6" w:rsidR="0028405C">
        <w:t xml:space="preserve">and its Member States, of the one part, </w:t>
      </w:r>
      <w:r w:rsidRPr="00FF47A6">
        <w:t xml:space="preserve">and the Republic of Korea, </w:t>
      </w:r>
      <w:r w:rsidRPr="00FF47A6" w:rsidR="00793597">
        <w:t>of the other part</w:t>
      </w:r>
      <w:r>
        <w:rPr>
          <w:rStyle w:val="FootnoteReference"/>
        </w:rPr>
        <w:footnoteReference w:id="2"/>
      </w:r>
      <w:r w:rsidRPr="00FF47A6" w:rsidR="000C12B6">
        <w:t xml:space="preserve"> (EU-Korea FTA)</w:t>
      </w:r>
      <w:r w:rsidRPr="00FF47A6" w:rsidR="00793597">
        <w:t xml:space="preserve">, of 14 May 2011, </w:t>
      </w:r>
      <w:r w:rsidRPr="00FF47A6">
        <w:t>which entered provisionally into force on 1</w:t>
      </w:r>
      <w:r w:rsidRPr="00FF47A6" w:rsidR="0028405C">
        <w:t> </w:t>
      </w:r>
      <w:r w:rsidRPr="00FF47A6">
        <w:t>July 2011 and fully in</w:t>
      </w:r>
      <w:r w:rsidRPr="00FF47A6" w:rsidR="00A966A8">
        <w:t>to</w:t>
      </w:r>
      <w:r w:rsidRPr="00FF47A6">
        <w:t xml:space="preserve"> force on 13</w:t>
      </w:r>
      <w:r w:rsidRPr="00FF47A6" w:rsidR="0028405C">
        <w:t> </w:t>
      </w:r>
      <w:r w:rsidRPr="00FF47A6">
        <w:t>December 2015,</w:t>
      </w:r>
    </w:p>
    <w:p w:rsidR="004C1F3F" w:rsidRPr="00FF47A6" w14:paraId="1F8E4B77" w14:textId="266AB359">
      <w:pPr>
        <w:pStyle w:val="NormalHanging12a"/>
      </w:pPr>
      <w:r w:rsidRPr="00FF47A6">
        <w:t>–</w:t>
      </w:r>
      <w:r w:rsidRPr="00FF47A6">
        <w:tab/>
        <w:t xml:space="preserve">having regard to </w:t>
      </w:r>
      <w:r w:rsidRPr="00FF47A6" w:rsidR="00A966A8">
        <w:t xml:space="preserve">the </w:t>
      </w:r>
      <w:r w:rsidRPr="00FF47A6">
        <w:t>Framework Agreement between the European Union and its Member States, on the one part, and the Republic of Korea, on the other part</w:t>
      </w:r>
      <w:r>
        <w:rPr>
          <w:rStyle w:val="FootnoteReference"/>
        </w:rPr>
        <w:footnoteReference w:id="3"/>
      </w:r>
      <w:r w:rsidRPr="00FF47A6">
        <w:t>, signed on 10</w:t>
      </w:r>
      <w:r w:rsidRPr="00FF47A6" w:rsidR="00793597">
        <w:t> </w:t>
      </w:r>
      <w:r w:rsidRPr="00FF47A6">
        <w:t>May 2010,</w:t>
      </w:r>
    </w:p>
    <w:p w:rsidR="004C1F3F" w:rsidRPr="00FF47A6" w:rsidP="004C1F3F" w14:paraId="6C520ACB" w14:textId="08A64F51">
      <w:pPr>
        <w:pStyle w:val="NormalHanging12a"/>
      </w:pPr>
      <w:r w:rsidRPr="00FF47A6">
        <w:t>–</w:t>
      </w:r>
      <w:r w:rsidRPr="00FF47A6">
        <w:tab/>
        <w:t xml:space="preserve">having regard to Opinion 2/15 of the Court of Justice of the European Union of </w:t>
      </w:r>
      <w:r w:rsidRPr="00FF47A6">
        <w:t>16 May 20</w:t>
      </w:r>
      <w:r w:rsidRPr="00FF47A6" w:rsidR="00A32026">
        <w:t>17</w:t>
      </w:r>
      <w:r>
        <w:rPr>
          <w:vertAlign w:val="superscript"/>
        </w:rPr>
        <w:footnoteReference w:id="4"/>
      </w:r>
      <w:r w:rsidRPr="00FF47A6">
        <w:t xml:space="preserve"> pursuant to Article 218(11) TFEU, requested by the Commission on 10 July 2015, </w:t>
      </w:r>
    </w:p>
    <w:p w:rsidR="004C1F3F" w:rsidRPr="00FF47A6" w:rsidP="004C1F3F" w14:paraId="3C55BC94" w14:textId="666F1D8B">
      <w:pPr>
        <w:pStyle w:val="NormalHanging12a"/>
      </w:pPr>
      <w:r w:rsidRPr="00FF47A6">
        <w:t>–</w:t>
      </w:r>
      <w:r w:rsidRPr="00FF47A6">
        <w:tab/>
        <w:t xml:space="preserve">having regard to the EU-Republic of Korea Digital Trade Principles, a key deliverable of the EU-Korea Digital Partnership, </w:t>
      </w:r>
    </w:p>
    <w:p w:rsidR="004C1F3F" w:rsidRPr="00FF47A6" w14:paraId="5C2AFDAE" w14:textId="29B8E647">
      <w:pPr>
        <w:pStyle w:val="NormalHanging12a"/>
      </w:pPr>
      <w:r w:rsidRPr="00FF47A6">
        <w:t>–</w:t>
      </w:r>
      <w:r w:rsidRPr="00FF47A6">
        <w:tab/>
        <w:t>having regard to the Commission communication of 9</w:t>
      </w:r>
      <w:r w:rsidRPr="00FF47A6" w:rsidR="00EA1EB9">
        <w:t> </w:t>
      </w:r>
      <w:r w:rsidRPr="00FF47A6">
        <w:t xml:space="preserve">March 2021 entitled </w:t>
      </w:r>
      <w:r w:rsidR="00FF47A6">
        <w:t>‘</w:t>
      </w:r>
      <w:r w:rsidRPr="00FF47A6">
        <w:t>2030 Digital Compass: the European Way for the Digital Decade</w:t>
      </w:r>
      <w:r w:rsidR="00FF47A6">
        <w:t>’</w:t>
      </w:r>
      <w:r w:rsidRPr="00FF47A6">
        <w:t xml:space="preserve"> (COM(2021)0118),</w:t>
      </w:r>
    </w:p>
    <w:p w:rsidR="004C1F3F" w:rsidRPr="00FF47A6" w14:paraId="085ECD42" w14:textId="2562578E">
      <w:pPr>
        <w:pStyle w:val="NormalHanging12a"/>
      </w:pPr>
      <w:r w:rsidRPr="00FF47A6">
        <w:t>–</w:t>
      </w:r>
      <w:r w:rsidRPr="00FF47A6">
        <w:tab/>
        <w:t>having regard to the joint communication from the Commission of 16</w:t>
      </w:r>
      <w:r w:rsidRPr="00FF47A6" w:rsidR="00EA1EB9">
        <w:t> </w:t>
      </w:r>
      <w:r w:rsidRPr="00FF47A6">
        <w:t xml:space="preserve">September 2021 entitled </w:t>
      </w:r>
      <w:r w:rsidR="00FF47A6">
        <w:t>‘</w:t>
      </w:r>
      <w:r w:rsidRPr="00FF47A6">
        <w:t>The EU strategy for cooperation in the Indo-Pacific</w:t>
      </w:r>
      <w:r w:rsidR="00FF47A6">
        <w:t>’</w:t>
      </w:r>
      <w:r w:rsidRPr="00FF47A6">
        <w:t xml:space="preserve"> (JOIN(2021)0024),</w:t>
      </w:r>
    </w:p>
    <w:p w:rsidR="004C1F3F" w:rsidRPr="00FF47A6" w:rsidP="004C1F3F" w14:paraId="2BCB27B1" w14:textId="4FAAE529">
      <w:pPr>
        <w:pStyle w:val="NormalHanging12a"/>
      </w:pPr>
      <w:r w:rsidRPr="00FF47A6">
        <w:t>–</w:t>
      </w:r>
      <w:r w:rsidRPr="00FF47A6">
        <w:tab/>
        <w:t>having regard to the Commission communication of 18</w:t>
      </w:r>
      <w:r w:rsidRPr="00FF47A6" w:rsidR="00EA1EB9">
        <w:t> </w:t>
      </w:r>
      <w:r w:rsidRPr="00FF47A6">
        <w:t xml:space="preserve">February 2021 entitled </w:t>
      </w:r>
      <w:r w:rsidR="00FF47A6">
        <w:t>‘</w:t>
      </w:r>
      <w:r w:rsidRPr="00FF47A6">
        <w:t>Trade Policy Review - An Open, Sustainable and Assertive Trade Policy</w:t>
      </w:r>
      <w:r w:rsidR="00FF47A6">
        <w:t>’</w:t>
      </w:r>
      <w:r w:rsidRPr="00FF47A6">
        <w:t xml:space="preserve"> (COM(2021)0066),</w:t>
      </w:r>
    </w:p>
    <w:p w:rsidR="004C1F3F" w:rsidRPr="00FF47A6" w:rsidP="004C1F3F" w14:paraId="2BBE8BF7" w14:textId="51C0F126">
      <w:pPr>
        <w:pStyle w:val="NormalHanging12a"/>
      </w:pPr>
      <w:r w:rsidRPr="00FF47A6">
        <w:t>–</w:t>
      </w:r>
      <w:r w:rsidRPr="00FF47A6">
        <w:tab/>
        <w:t>having regard to the joint communication from the Commission and the High Representative of the Union for Foreign Affairs and Security Policy of 20</w:t>
      </w:r>
      <w:r w:rsidRPr="00FF47A6" w:rsidR="00FC7342">
        <w:t> </w:t>
      </w:r>
      <w:r w:rsidRPr="00FF47A6">
        <w:t xml:space="preserve">June 2023 entitled </w:t>
      </w:r>
      <w:r w:rsidR="00FF47A6">
        <w:t>‘</w:t>
      </w:r>
      <w:r w:rsidRPr="00FF47A6">
        <w:t>European economic security strategy</w:t>
      </w:r>
      <w:r w:rsidR="00FF47A6">
        <w:t>’</w:t>
      </w:r>
      <w:r w:rsidRPr="00FF47A6">
        <w:t xml:space="preserve"> (JOIN(2023)0020),</w:t>
      </w:r>
    </w:p>
    <w:p w:rsidR="0099331D" w:rsidRPr="00FF47A6" w:rsidP="0099331D" w14:paraId="230C2C07" w14:textId="5220F6BC">
      <w:pPr>
        <w:pStyle w:val="NormalHanging12a"/>
      </w:pPr>
      <w:r w:rsidRPr="00FF47A6">
        <w:t>–</w:t>
      </w:r>
      <w:r w:rsidRPr="00FF47A6">
        <w:tab/>
        <w:t>having regard to</w:t>
      </w:r>
      <w:r w:rsidRPr="00FF47A6">
        <w:t xml:space="preserve"> its resolution of 17</w:t>
      </w:r>
      <w:r w:rsidRPr="00FF47A6" w:rsidR="00FC7342">
        <w:t> </w:t>
      </w:r>
      <w:r w:rsidRPr="00FF47A6">
        <w:t>February 2011 on the draft Council decision on the conclusion of the Free Trade Agreement between the European Union and its Member States, of the one part, and the Republic of Korea, of the other part</w:t>
      </w:r>
      <w:r>
        <w:rPr>
          <w:vertAlign w:val="superscript"/>
        </w:rPr>
        <w:footnoteReference w:id="5"/>
      </w:r>
      <w:r w:rsidRPr="00FF47A6">
        <w:t xml:space="preserve">, </w:t>
      </w:r>
    </w:p>
    <w:p w:rsidR="0099331D" w:rsidRPr="00FF47A6" w:rsidP="0099331D" w14:paraId="3D35EAB8" w14:textId="77777777">
      <w:pPr>
        <w:pStyle w:val="NormalHanging12a"/>
      </w:pPr>
      <w:r w:rsidRPr="00FF47A6">
        <w:t>–</w:t>
      </w:r>
      <w:r w:rsidRPr="00FF47A6">
        <w:tab/>
        <w:t>having regard to</w:t>
      </w:r>
      <w:r w:rsidRPr="00FF47A6">
        <w:t xml:space="preserve"> its resolution of 5 July 2016 on a new forward-looking and innovative future strategy for trade and investment</w:t>
      </w:r>
      <w:r>
        <w:rPr>
          <w:vertAlign w:val="superscript"/>
        </w:rPr>
        <w:footnoteReference w:id="6"/>
      </w:r>
      <w:r w:rsidRPr="00FF47A6">
        <w:t xml:space="preserve">, </w:t>
      </w:r>
    </w:p>
    <w:p w:rsidR="004C1F3F" w:rsidRPr="00FF47A6" w:rsidP="004C1F3F" w14:paraId="108D8589" w14:textId="4BC52D77">
      <w:pPr>
        <w:pStyle w:val="NormalHanging12a"/>
      </w:pPr>
      <w:r w:rsidRPr="00FF47A6">
        <w:t>–</w:t>
      </w:r>
      <w:r w:rsidRPr="00FF47A6">
        <w:tab/>
        <w:t>having regard to</w:t>
      </w:r>
      <w:r w:rsidRPr="00FF47A6" w:rsidR="0099331D">
        <w:t xml:space="preserve"> the World Trade Organization Joint Statement Initiative on Electronic Commerce,</w:t>
      </w:r>
    </w:p>
    <w:p w:rsidR="0099331D" w:rsidRPr="00FF47A6" w:rsidP="0099331D" w14:paraId="44896C76" w14:textId="77777777">
      <w:pPr>
        <w:pStyle w:val="NormalHanging12a"/>
      </w:pPr>
      <w:r w:rsidRPr="00FF47A6">
        <w:t>–</w:t>
      </w:r>
      <w:r w:rsidRPr="00FF47A6">
        <w:tab/>
        <w:t>having regard to</w:t>
      </w:r>
      <w:r w:rsidRPr="00FF47A6">
        <w:t xml:space="preserve"> its legislative resolution of …</w:t>
      </w:r>
      <w:r>
        <w:rPr>
          <w:vertAlign w:val="superscript"/>
        </w:rPr>
        <w:footnoteReference w:id="7"/>
      </w:r>
      <w:r w:rsidRPr="00FF47A6">
        <w:t xml:space="preserve"> on the draft Council decision, </w:t>
      </w:r>
    </w:p>
    <w:p w:rsidR="00363B94" w:rsidRPr="00FF47A6" w14:paraId="102A3486" w14:textId="2ADB0FBF">
      <w:pPr>
        <w:pStyle w:val="NormalHanging12a"/>
      </w:pPr>
      <w:r w:rsidRPr="00FF47A6">
        <w:t>–</w:t>
      </w:r>
      <w:r w:rsidRPr="00FF47A6">
        <w:tab/>
      </w:r>
      <w:r w:rsidRPr="00FF47A6" w:rsidR="009F3EB4">
        <w:t>having regard to Rule 107(2)</w:t>
      </w:r>
      <w:r w:rsidRPr="00FF47A6" w:rsidR="00EF747B">
        <w:t xml:space="preserve"> of its Rules of Procedure,</w:t>
      </w:r>
    </w:p>
    <w:p w:rsidR="00363B94" w:rsidRPr="00FF47A6" w14:paraId="4D2658C2" w14:textId="0A79E324">
      <w:pPr>
        <w:pStyle w:val="NormalHanging12a"/>
      </w:pPr>
      <w:r w:rsidRPr="00FF47A6">
        <w:t>–</w:t>
      </w:r>
      <w:r w:rsidRPr="00FF47A6">
        <w:tab/>
      </w:r>
      <w:r w:rsidRPr="00FF47A6" w:rsidR="009F3EB4">
        <w:t xml:space="preserve">having regard to the report of the </w:t>
      </w:r>
      <w:r w:rsidRPr="00FF47A6" w:rsidR="003241CA">
        <w:t>Committee on International Trade</w:t>
      </w:r>
      <w:r w:rsidRPr="00FF47A6" w:rsidR="009F3EB4">
        <w:t xml:space="preserve"> (</w:t>
      </w:r>
      <w:r w:rsidRPr="00FF47A6" w:rsidR="003241CA">
        <w:t>A10</w:t>
      </w:r>
      <w:r w:rsidRPr="00FF47A6" w:rsidR="003241CA">
        <w:noBreakHyphen/>
      </w:r>
      <w:r w:rsidRPr="00FF47A6" w:rsidR="009F3EB4">
        <w:t>0000/</w:t>
      </w:r>
      <w:r w:rsidRPr="00FF47A6" w:rsidR="003241CA">
        <w:t>2026</w:t>
      </w:r>
      <w:r w:rsidRPr="00FF47A6" w:rsidR="009F3EB4">
        <w:t>),</w:t>
      </w:r>
    </w:p>
    <w:p w:rsidR="00F731BD" w:rsidRPr="00FF47A6" w:rsidP="00F731BD" w14:paraId="5327E61D" w14:textId="200E9629">
      <w:pPr>
        <w:pStyle w:val="NormalHanging12a"/>
      </w:pPr>
      <w:r w:rsidRPr="00FF47A6">
        <w:t>A.</w:t>
      </w:r>
      <w:r w:rsidRPr="00FF47A6">
        <w:tab/>
      </w:r>
      <w:r w:rsidRPr="00FF47A6" w:rsidR="00AE6AC9">
        <w:t xml:space="preserve">whereas the EU and </w:t>
      </w:r>
      <w:r w:rsidRPr="00FF47A6" w:rsidR="0042422D">
        <w:t xml:space="preserve">the Republic of Korea (hereinafter </w:t>
      </w:r>
      <w:r w:rsidR="00FF47A6">
        <w:t>‘</w:t>
      </w:r>
      <w:r w:rsidRPr="00FF47A6" w:rsidR="0042422D">
        <w:t>Korea</w:t>
      </w:r>
      <w:r w:rsidR="00FF47A6">
        <w:t>’</w:t>
      </w:r>
      <w:r w:rsidRPr="00FF47A6" w:rsidR="0042422D">
        <w:t xml:space="preserve">) </w:t>
      </w:r>
      <w:r w:rsidRPr="00FF47A6" w:rsidR="00AE6AC9">
        <w:t>share important values, including democracy, the rule of law, respect for human rights and a strong commitment to open and rules-based trade and the multilateral trading system, as well as challenges, such as facing a complex international economic situation, energy insecurity and high pressure on the multilateral system;</w:t>
      </w:r>
    </w:p>
    <w:p w:rsidR="00AE6AC9" w:rsidRPr="00FF47A6" w:rsidP="00F731BD" w14:paraId="6BD6B991" w14:textId="5B5DEFB1">
      <w:pPr>
        <w:pStyle w:val="NormalHanging12a"/>
      </w:pPr>
      <w:r w:rsidRPr="00FF47A6">
        <w:t>B</w:t>
      </w:r>
      <w:r w:rsidRPr="00FF47A6">
        <w:t>.</w:t>
      </w:r>
      <w:r w:rsidRPr="00FF47A6">
        <w:tab/>
        <w:t>whereas this stand</w:t>
      </w:r>
      <w:r w:rsidRPr="00FF47A6" w:rsidR="001A5E69">
        <w:t>-</w:t>
      </w:r>
      <w:r w:rsidRPr="00FF47A6">
        <w:t xml:space="preserve">alone digital trade agreement </w:t>
      </w:r>
      <w:r w:rsidRPr="00FF47A6" w:rsidR="00CF1E18">
        <w:t xml:space="preserve">(DTA) </w:t>
      </w:r>
      <w:r w:rsidRPr="00FF47A6">
        <w:t xml:space="preserve">represents an important stepping stone towards raising the ambition of digital trade rules globally, in particular throughout the Indo-Pacific region, by setting standards for digital trade, data flows, data protection and consumer rights online; </w:t>
      </w:r>
    </w:p>
    <w:p w:rsidR="00AE6AC9" w:rsidRPr="00FF47A6" w:rsidP="00F731BD" w14:paraId="6F0536CD" w14:textId="6E254450">
      <w:pPr>
        <w:pStyle w:val="NormalHanging12a"/>
      </w:pPr>
      <w:r w:rsidRPr="00FF47A6">
        <w:t>C.</w:t>
      </w:r>
      <w:r w:rsidRPr="00FF47A6">
        <w:tab/>
        <w:t>whereas on 17</w:t>
      </w:r>
      <w:r w:rsidRPr="00FF47A6" w:rsidR="00FC7342">
        <w:t> </w:t>
      </w:r>
      <w:r w:rsidRPr="00FF47A6">
        <w:t xml:space="preserve">December 2021 </w:t>
      </w:r>
      <w:r w:rsidRPr="00FF47A6" w:rsidR="001A5E69">
        <w:t xml:space="preserve">the Commission adopted </w:t>
      </w:r>
      <w:r w:rsidRPr="00FF47A6">
        <w:t xml:space="preserve">the adequacy decision for personal data transfers between the EU and Korea; </w:t>
      </w:r>
    </w:p>
    <w:p w:rsidR="00AE6AC9" w:rsidRPr="00FF47A6" w:rsidP="00F731BD" w14:paraId="06B7CA81" w14:textId="1AD8A249">
      <w:pPr>
        <w:pStyle w:val="NormalHanging12a"/>
      </w:pPr>
      <w:r w:rsidRPr="00FF47A6">
        <w:t>D</w:t>
      </w:r>
      <w:r w:rsidRPr="00FF47A6">
        <w:t>.</w:t>
      </w:r>
      <w:r w:rsidRPr="00FF47A6">
        <w:tab/>
        <w:t xml:space="preserve">whereas </w:t>
      </w:r>
      <w:r w:rsidRPr="00FF47A6" w:rsidR="001A5E69">
        <w:t xml:space="preserve">in September 2025 </w:t>
      </w:r>
      <w:r w:rsidRPr="00FF47A6">
        <w:t>Korea recognised the European Union</w:t>
      </w:r>
      <w:r w:rsidR="00FF47A6">
        <w:t>’</w:t>
      </w:r>
      <w:r w:rsidRPr="00FF47A6">
        <w:t>s personal data protection framework as equivalent;</w:t>
      </w:r>
    </w:p>
    <w:p w:rsidR="00AE6AC9" w:rsidRPr="00FF47A6" w:rsidP="00F731BD" w14:paraId="1F44036A" w14:textId="2FF21CFD">
      <w:pPr>
        <w:pStyle w:val="NormalHanging12a"/>
      </w:pPr>
      <w:r w:rsidRPr="00FF47A6">
        <w:t>E</w:t>
      </w:r>
      <w:r w:rsidRPr="00FF47A6">
        <w:t>.</w:t>
      </w:r>
      <w:r w:rsidRPr="00FF47A6">
        <w:tab/>
      </w:r>
      <w:r w:rsidRPr="00FF47A6">
        <w:t>whereas in 2025, Korea was the EU</w:t>
      </w:r>
      <w:r w:rsidR="00FF47A6">
        <w:t>’</w:t>
      </w:r>
      <w:r w:rsidRPr="00FF47A6">
        <w:t xml:space="preserve">s </w:t>
      </w:r>
      <w:r w:rsidRPr="00FF47A6" w:rsidR="001A5E69">
        <w:t xml:space="preserve">eighth </w:t>
      </w:r>
      <w:r w:rsidRPr="00FF47A6">
        <w:t>largest trading partner worldwide for trade in goods and its third-largest trading partner in Asia, accounting for 2.4 % of the EU</w:t>
      </w:r>
      <w:r w:rsidR="00FF47A6">
        <w:t>’</w:t>
      </w:r>
      <w:r w:rsidRPr="00FF47A6">
        <w:t>s total trade in goods, while the EU was Korea</w:t>
      </w:r>
      <w:r w:rsidR="00FF47A6">
        <w:t>’</w:t>
      </w:r>
      <w:r w:rsidRPr="00FF47A6">
        <w:t>s third-largest trading partner, accounting for 10.2 % of the country</w:t>
      </w:r>
      <w:r w:rsidR="00FF47A6">
        <w:t>’</w:t>
      </w:r>
      <w:r w:rsidRPr="00FF47A6">
        <w:t>s trade in goods; whereas bilateral trade in goods</w:t>
      </w:r>
      <w:r w:rsidRPr="00FF47A6" w:rsidR="001A5E69">
        <w:t xml:space="preserve"> between the EU and Korea</w:t>
      </w:r>
      <w:r w:rsidRPr="00FF47A6">
        <w:t xml:space="preserve"> </w:t>
      </w:r>
      <w:r w:rsidRPr="00FF47A6" w:rsidR="001A5E69">
        <w:t>underwent</w:t>
      </w:r>
      <w:r w:rsidRPr="00FF47A6">
        <w:t xml:space="preserve"> average annual growth from 2011 to 2025 of 5.3</w:t>
      </w:r>
      <w:r w:rsidRPr="00FF47A6" w:rsidR="001A5E69">
        <w:t> </w:t>
      </w:r>
      <w:r w:rsidRPr="00FF47A6">
        <w:t>%;</w:t>
      </w:r>
    </w:p>
    <w:p w:rsidR="006B5005" w:rsidRPr="00FF47A6" w:rsidP="006B5005" w14:paraId="1D909BCE" w14:textId="4A342E3F">
      <w:pPr>
        <w:pStyle w:val="NormalHanging12a"/>
      </w:pPr>
      <w:r w:rsidRPr="00FF47A6">
        <w:t>F.</w:t>
      </w:r>
      <w:r w:rsidRPr="00FF47A6">
        <w:tab/>
        <w:t xml:space="preserve">whereas the EU is the largest foreign investor </w:t>
      </w:r>
      <w:r w:rsidRPr="00FF47A6" w:rsidR="001A5E69">
        <w:t xml:space="preserve">in Korea </w:t>
      </w:r>
      <w:r w:rsidRPr="00FF47A6">
        <w:t xml:space="preserve">representing almost a quarter of </w:t>
      </w:r>
      <w:r w:rsidRPr="00FF47A6" w:rsidR="001A5E69">
        <w:t>the country</w:t>
      </w:r>
      <w:r w:rsidR="00FF47A6">
        <w:t>’</w:t>
      </w:r>
      <w:r w:rsidRPr="00FF47A6" w:rsidR="001A5E69">
        <w:t xml:space="preserve">s </w:t>
      </w:r>
      <w:r w:rsidRPr="00FF47A6">
        <w:t xml:space="preserve">total </w:t>
      </w:r>
      <w:r w:rsidRPr="00FF47A6" w:rsidR="001A5E69">
        <w:t xml:space="preserve">inward </w:t>
      </w:r>
      <w:r w:rsidRPr="00FF47A6">
        <w:t xml:space="preserve">investment; </w:t>
      </w:r>
    </w:p>
    <w:p w:rsidR="006B5005" w:rsidRPr="00FF47A6" w:rsidP="006B5005" w14:paraId="4FB5DE2A" w14:textId="2440B50F">
      <w:pPr>
        <w:pStyle w:val="NormalHanging12a"/>
      </w:pPr>
      <w:r w:rsidRPr="00FF47A6">
        <w:t>G.</w:t>
      </w:r>
      <w:r w:rsidRPr="00FF47A6">
        <w:tab/>
        <w:t xml:space="preserve">whereas Korea is the </w:t>
      </w:r>
      <w:r w:rsidRPr="00FF47A6" w:rsidR="001A5E69">
        <w:t>fif</w:t>
      </w:r>
      <w:r w:rsidRPr="00FF47A6">
        <w:t>th largest Asian investor in the EU; whereas in 2024, the stock of EU foreign direct investment (FDI) in Korea amounted to EUR</w:t>
      </w:r>
      <w:r w:rsidR="00EB5F8F">
        <w:t> </w:t>
      </w:r>
      <w:r w:rsidRPr="00FF47A6">
        <w:t>53</w:t>
      </w:r>
      <w:r w:rsidRPr="00FF47A6" w:rsidR="000C12B6">
        <w:t> </w:t>
      </w:r>
      <w:r w:rsidRPr="00FF47A6">
        <w:t>billion and the stock of Korea</w:t>
      </w:r>
      <w:r w:rsidR="00FF47A6">
        <w:t>’</w:t>
      </w:r>
      <w:r w:rsidRPr="00FF47A6">
        <w:t>s FDI in the EU was EUR</w:t>
      </w:r>
      <w:r w:rsidRPr="00FF47A6" w:rsidR="001A5E69">
        <w:t> </w:t>
      </w:r>
      <w:r w:rsidRPr="00FF47A6">
        <w:t>41.8</w:t>
      </w:r>
      <w:r w:rsidRPr="00FF47A6" w:rsidR="001A5E69">
        <w:t> </w:t>
      </w:r>
      <w:r w:rsidRPr="00FF47A6">
        <w:t>billion;</w:t>
      </w:r>
    </w:p>
    <w:p w:rsidR="006B5005" w:rsidRPr="00FF47A6" w:rsidP="006B5005" w14:paraId="0F18D12B" w14:textId="0A71E072">
      <w:pPr>
        <w:pStyle w:val="NormalHanging12a"/>
      </w:pPr>
      <w:r w:rsidRPr="00FF47A6">
        <w:t>H.</w:t>
      </w:r>
      <w:r w:rsidRPr="00FF47A6">
        <w:tab/>
        <w:t>whereas in 2024, EU-Korean trade in services amounted to EUR</w:t>
      </w:r>
      <w:r w:rsidRPr="00FF47A6" w:rsidR="001A5E69">
        <w:t> </w:t>
      </w:r>
      <w:r w:rsidRPr="00FF47A6">
        <w:t>32.9</w:t>
      </w:r>
      <w:r w:rsidRPr="00FF47A6" w:rsidR="001A5E69">
        <w:t> </w:t>
      </w:r>
      <w:r w:rsidRPr="00FF47A6">
        <w:t>billion</w:t>
      </w:r>
      <w:r w:rsidRPr="00FF47A6" w:rsidR="004D7785">
        <w:t>,</w:t>
      </w:r>
      <w:r w:rsidRPr="00FF47A6">
        <w:t xml:space="preserve"> representing an annual increase of 4</w:t>
      </w:r>
      <w:r w:rsidRPr="00FF47A6" w:rsidR="001A5E69">
        <w:t> </w:t>
      </w:r>
      <w:r w:rsidRPr="00FF47A6">
        <w:t>%;</w:t>
      </w:r>
    </w:p>
    <w:p w:rsidR="006B5005" w:rsidRPr="00FF47A6" w:rsidP="006B5005" w14:paraId="461D2547" w14:textId="4DBC2332">
      <w:pPr>
        <w:pStyle w:val="NormalHanging12a"/>
      </w:pPr>
      <w:r w:rsidRPr="00FF47A6">
        <w:t>I.</w:t>
      </w:r>
      <w:r w:rsidRPr="00FF47A6">
        <w:tab/>
        <w:t>whereas digital trade accounts for around 25</w:t>
      </w:r>
      <w:r w:rsidRPr="00FF47A6" w:rsidR="001A5E69">
        <w:t> </w:t>
      </w:r>
      <w:r w:rsidRPr="00FF47A6">
        <w:t xml:space="preserve">% of all international trade and has been growing at a faster pace than traditional trade; </w:t>
      </w:r>
    </w:p>
    <w:p w:rsidR="006B5005" w:rsidRPr="00FF47A6" w:rsidP="006B5005" w14:paraId="672BF9A5" w14:textId="3DA6D4E0">
      <w:pPr>
        <w:pStyle w:val="NormalHanging12a"/>
      </w:pPr>
      <w:r w:rsidRPr="00FF47A6">
        <w:t>J.</w:t>
      </w:r>
      <w:r w:rsidRPr="00FF47A6">
        <w:tab/>
        <w:t>whereas the EU is the world</w:t>
      </w:r>
      <w:r w:rsidR="00FF47A6">
        <w:t>’</w:t>
      </w:r>
      <w:r w:rsidRPr="00FF47A6">
        <w:t>s leader in both exports and imports of digitally deliverable services;</w:t>
      </w:r>
    </w:p>
    <w:p w:rsidR="006B5005" w:rsidRPr="00FF47A6" w:rsidP="006B5005" w14:paraId="58CF8292" w14:textId="459F0E54">
      <w:pPr>
        <w:pStyle w:val="NormalHanging12a"/>
      </w:pPr>
      <w:r w:rsidRPr="00FF47A6">
        <w:t>K.</w:t>
      </w:r>
      <w:r w:rsidRPr="00FF47A6">
        <w:tab/>
        <w:t xml:space="preserve">whereas the current bilateral trade relationship between the EU and Korea, underpinned by the EU-Korea FTA, needs to be deepened with and supported by updated digital rules; </w:t>
      </w:r>
    </w:p>
    <w:p w:rsidR="006B5005" w:rsidRPr="00FF47A6" w:rsidP="006B5005" w14:paraId="099F4A52" w14:textId="615049B1">
      <w:pPr>
        <w:pStyle w:val="NormalHanging12a"/>
      </w:pPr>
      <w:r w:rsidRPr="00FF47A6">
        <w:t>L.</w:t>
      </w:r>
      <w:r w:rsidRPr="00FF47A6">
        <w:tab/>
        <w:t>whereas the EU Trade Policy Review of 2021 recognised the contribution of the EU</w:t>
      </w:r>
      <w:r w:rsidR="00FF47A6">
        <w:t>’</w:t>
      </w:r>
      <w:r w:rsidRPr="00FF47A6">
        <w:t>s digital trade policy to the EU</w:t>
      </w:r>
      <w:r w:rsidR="00FF47A6">
        <w:t>’</w:t>
      </w:r>
      <w:r w:rsidRPr="00FF47A6">
        <w:t>s digital transformation and led to the announcement of the EU</w:t>
      </w:r>
      <w:r w:rsidR="00FF47A6">
        <w:t>’</w:t>
      </w:r>
      <w:r w:rsidRPr="00FF47A6">
        <w:t xml:space="preserve">s intention to step up bilateral engagement and explore stronger frameworks for cooperation on trade-related digital issues with like-minded partners; </w:t>
      </w:r>
    </w:p>
    <w:p w:rsidR="006B5005" w:rsidRPr="00FF47A6" w:rsidP="006B5005" w14:paraId="3EF2E0EA" w14:textId="24F364CE">
      <w:pPr>
        <w:pStyle w:val="NormalHanging12a"/>
      </w:pPr>
      <w:r w:rsidRPr="00FF47A6">
        <w:t>M.</w:t>
      </w:r>
      <w:r w:rsidRPr="00FF47A6">
        <w:tab/>
        <w:t>whereas pursuing partnerships with like-minded countries is also consistent with the objective of the 2023 EU economic security strategy;</w:t>
      </w:r>
    </w:p>
    <w:p w:rsidR="006B5005" w:rsidRPr="00FF47A6" w:rsidP="006B5005" w14:paraId="06AB4289" w14:textId="44C7F73B">
      <w:pPr>
        <w:pStyle w:val="NormalHanging12a"/>
      </w:pPr>
      <w:r w:rsidRPr="00FF47A6">
        <w:t>N.</w:t>
      </w:r>
      <w:r w:rsidRPr="00FF47A6">
        <w:tab/>
        <w:t>whereas the EU strategy for cooperation in the Indo-Pacific recognised that the region is at the forefront of the digital economy and proposed establishing digital partnerships with key partners in the region, including with Korea;</w:t>
      </w:r>
    </w:p>
    <w:p w:rsidR="006B5005" w:rsidRPr="00FF47A6" w:rsidP="006B5005" w14:paraId="0B1B443B" w14:textId="778850FC">
      <w:pPr>
        <w:pStyle w:val="NormalHanging12a"/>
      </w:pPr>
      <w:r w:rsidRPr="00FF47A6">
        <w:t>O.</w:t>
      </w:r>
      <w:r w:rsidRPr="00FF47A6">
        <w:tab/>
        <w:t>whereas this agreement aligns with the EU</w:t>
      </w:r>
      <w:r w:rsidR="00FF47A6">
        <w:t>’</w:t>
      </w:r>
      <w:r w:rsidRPr="00FF47A6">
        <w:t xml:space="preserve">s goal to establish modern digital trade rules with </w:t>
      </w:r>
      <w:r w:rsidRPr="00FF47A6" w:rsidR="00B56A82">
        <w:t xml:space="preserve">its </w:t>
      </w:r>
      <w:r w:rsidRPr="00FF47A6">
        <w:t>global partners, as demonstrated in the digital trade chapters of recently concluded FTAs with Australia, as well as the cross-border data flows agreement with Japan;</w:t>
      </w:r>
    </w:p>
    <w:p w:rsidR="00363B94" w:rsidRPr="00FF47A6" w14:paraId="3CB3C5FF" w14:textId="39A72384">
      <w:pPr>
        <w:pStyle w:val="NormalHanging12a"/>
      </w:pPr>
      <w:r w:rsidRPr="00FF47A6">
        <w:t>1.</w:t>
      </w:r>
      <w:r w:rsidRPr="00FF47A6">
        <w:tab/>
      </w:r>
      <w:r w:rsidRPr="00FF47A6" w:rsidR="00EF747B">
        <w:t>Welcomes the signing, in Brussels on 10</w:t>
      </w:r>
      <w:r w:rsidRPr="00FF47A6" w:rsidR="00B56A82">
        <w:t> </w:t>
      </w:r>
      <w:r w:rsidRPr="00FF47A6" w:rsidR="00EF747B">
        <w:t>June 2026, of the Digital Trade Agreement;</w:t>
      </w:r>
    </w:p>
    <w:p w:rsidR="00AE6AC9" w:rsidRPr="00FF47A6" w14:paraId="17CC0F2B" w14:textId="1B61B7F0">
      <w:pPr>
        <w:pStyle w:val="NormalHanging12a"/>
      </w:pPr>
      <w:r w:rsidRPr="00FF47A6">
        <w:t>2.</w:t>
      </w:r>
      <w:r w:rsidRPr="00FF47A6">
        <w:tab/>
      </w:r>
      <w:r w:rsidRPr="00FF47A6" w:rsidR="00EF747B">
        <w:t>Notes that the agreement lays down binding rules on trade in goods and services enabled by electronic means; acknowledges that these rules will further enhance bilateral trade relations between the EU and Korea, fostering consumer confidence and providing predictability and legal certainty for businesses involved in digital trade;</w:t>
      </w:r>
    </w:p>
    <w:p w:rsidR="00AE6AC9" w:rsidRPr="00FF47A6" w:rsidP="00AE6AC9" w14:paraId="4D72738B" w14:textId="331BF911">
      <w:pPr>
        <w:pStyle w:val="NormalHanging12a"/>
      </w:pPr>
      <w:r w:rsidRPr="00FF47A6">
        <w:t>3.</w:t>
      </w:r>
      <w:r w:rsidRPr="00FF47A6">
        <w:tab/>
      </w:r>
      <w:r w:rsidRPr="00FF47A6" w:rsidR="00EF747B">
        <w:t xml:space="preserve">Recalls that the agreement applies to all types of trade enabled by electronic means and aims to guarantee predictability and legal certainty for online trade, while preserving policy space for the parties; welcomes in particular </w:t>
      </w:r>
      <w:r w:rsidRPr="00FF47A6" w:rsidR="00D91CEC">
        <w:t xml:space="preserve">the fact </w:t>
      </w:r>
      <w:r w:rsidRPr="00FF47A6" w:rsidR="00EF747B">
        <w:t>that the agreement explicitly upholds the EU</w:t>
      </w:r>
      <w:r w:rsidR="00FF47A6">
        <w:t>’</w:t>
      </w:r>
      <w:r w:rsidRPr="00FF47A6" w:rsidR="00EF747B">
        <w:t>s stringent standards for personal data and privacy protection, ensuring both parties retain the right to implement and maintain measures to safeguard personal data and privacy;</w:t>
      </w:r>
    </w:p>
    <w:p w:rsidR="00AE6AC9" w:rsidRPr="00FF47A6" w:rsidP="00AE6AC9" w14:paraId="4FDA19F1" w14:textId="33317A33">
      <w:pPr>
        <w:pStyle w:val="NormalHanging12a"/>
      </w:pPr>
      <w:r w:rsidRPr="00FF47A6">
        <w:t>4.</w:t>
      </w:r>
      <w:r w:rsidRPr="00FF47A6">
        <w:tab/>
      </w:r>
      <w:r w:rsidRPr="00FF47A6" w:rsidR="00EF747B">
        <w:t xml:space="preserve">Stresses that this agreement will facilitate electronic transactions by introducing electronic signatures and electronic authentication, and promote a safe online environment by ensuring </w:t>
      </w:r>
      <w:r w:rsidRPr="00FF47A6" w:rsidR="007500E0">
        <w:t xml:space="preserve">the </w:t>
      </w:r>
      <w:r w:rsidRPr="00FF47A6" w:rsidR="00EF747B">
        <w:t xml:space="preserve">protection </w:t>
      </w:r>
      <w:r w:rsidRPr="00FF47A6" w:rsidR="007500E0">
        <w:t xml:space="preserve">of consumers </w:t>
      </w:r>
      <w:r w:rsidRPr="00FF47A6" w:rsidR="00EF747B">
        <w:t xml:space="preserve">and </w:t>
      </w:r>
      <w:r w:rsidRPr="00FF47A6" w:rsidR="007500E0">
        <w:t>their</w:t>
      </w:r>
      <w:r w:rsidRPr="00FF47A6" w:rsidR="00EF747B">
        <w:t xml:space="preserve"> data; considers</w:t>
      </w:r>
      <w:r w:rsidRPr="00FF47A6" w:rsidR="00D91CEC">
        <w:t>,</w:t>
      </w:r>
      <w:r w:rsidRPr="00FF47A6" w:rsidR="00EF747B">
        <w:t xml:space="preserve"> </w:t>
      </w:r>
      <w:r w:rsidRPr="00FF47A6" w:rsidR="00D91CEC">
        <w:t xml:space="preserve">furthermore, </w:t>
      </w:r>
      <w:r w:rsidRPr="00FF47A6" w:rsidR="00EF747B">
        <w:t>that the agreement will create legal certainty for businesses through source code protection and by prohibiting forced technology transfer, while improving access to electronic commerce and simplifying digital trade by reducing the administrative burden for e-commerce by enabling e-invoicing and paperless trading;</w:t>
      </w:r>
    </w:p>
    <w:p w:rsidR="00AE6AC9" w:rsidRPr="00FF47A6" w:rsidP="00AE6AC9" w14:paraId="7D222543" w14:textId="0C29B313">
      <w:pPr>
        <w:pStyle w:val="NormalHanging12a"/>
      </w:pPr>
      <w:r w:rsidRPr="00FF47A6">
        <w:t>5.</w:t>
      </w:r>
      <w:r w:rsidRPr="00FF47A6">
        <w:tab/>
      </w:r>
      <w:r w:rsidRPr="00FF47A6" w:rsidR="00EF747B">
        <w:t xml:space="preserve">Welcomes the fact that the cross-border data flow provisions in the agreement apply to all sectors in order to ensure that data flows freely; underlines that these provisions build on established practice and are accompanied by regulatory policy space in order for regulators and supervisors to exercise their right to ensure the protection of data and privacy and to </w:t>
      </w:r>
      <w:r w:rsidRPr="00FF47A6" w:rsidR="007500E0">
        <w:t xml:space="preserve">safeguard </w:t>
      </w:r>
      <w:r w:rsidRPr="00FF47A6" w:rsidR="00EF747B">
        <w:t>other public policy objectives;</w:t>
      </w:r>
    </w:p>
    <w:p w:rsidR="00EF747B" w:rsidRPr="00FF47A6" w:rsidP="00AE6AC9" w14:paraId="0AE3625D" w14:textId="0453CF33">
      <w:pPr>
        <w:pStyle w:val="NormalHanging12a"/>
      </w:pPr>
      <w:r w:rsidRPr="00FF47A6">
        <w:t>6.</w:t>
      </w:r>
      <w:r w:rsidRPr="00FF47A6">
        <w:tab/>
      </w:r>
      <w:r w:rsidRPr="00FF47A6">
        <w:t xml:space="preserve">Acknowledges that the provisions on source code in this agreement are slightly more advanced </w:t>
      </w:r>
      <w:r w:rsidRPr="00FF47A6" w:rsidR="00B56A82">
        <w:t>than those in</w:t>
      </w:r>
      <w:r w:rsidRPr="00FF47A6">
        <w:t xml:space="preserve"> previous agreements, further strengthening the role of source code protection; considers this vital in order to protect small and medium-sized enterprises and start-ups against forced technology transfers; recalls, in this regard, the EU</w:t>
      </w:r>
      <w:r w:rsidR="00FF47A6">
        <w:t>’</w:t>
      </w:r>
      <w:r w:rsidRPr="00FF47A6">
        <w:t>s strategic objectives of further industrialisation and technological sovereignty; underlines, however, the simultaneous need for regulatory oversight and policy space; welcomes the fact that the agreement does not jeopardise the enforcement of the EU</w:t>
      </w:r>
      <w:r w:rsidR="00FF47A6">
        <w:t>’</w:t>
      </w:r>
      <w:r w:rsidRPr="00FF47A6">
        <w:t>s digital rules;</w:t>
      </w:r>
    </w:p>
    <w:p w:rsidR="00AE6AC9" w:rsidRPr="00FF47A6" w:rsidP="00AE6AC9" w14:paraId="6EA36F3D" w14:textId="78A72B30">
      <w:pPr>
        <w:pStyle w:val="NormalHanging12a"/>
      </w:pPr>
      <w:r w:rsidRPr="00FF47A6">
        <w:t>7.</w:t>
      </w:r>
      <w:r w:rsidRPr="00FF47A6">
        <w:tab/>
      </w:r>
      <w:r w:rsidRPr="00FF47A6" w:rsidR="00EF747B">
        <w:t>Stresses the strategic importance of this agreement, given Korea</w:t>
      </w:r>
      <w:r w:rsidR="00FF47A6">
        <w:t>’</w:t>
      </w:r>
      <w:r w:rsidRPr="00FF47A6" w:rsidR="00EF747B">
        <w:t>s position in East Asia; considers this agreement to be a milestone in the EU</w:t>
      </w:r>
      <w:r w:rsidR="00FF47A6">
        <w:t>’</w:t>
      </w:r>
      <w:r w:rsidRPr="00FF47A6" w:rsidR="00EF747B">
        <w:t>s ambition to shape global rules for digital trade, enabling the EU to advance its vision for the digital economy;</w:t>
      </w:r>
    </w:p>
    <w:p w:rsidR="00AE6AC9" w:rsidRPr="00FF47A6" w:rsidP="00AE6AC9" w14:paraId="0EEF5C9E" w14:textId="0AFC7BA5">
      <w:pPr>
        <w:pStyle w:val="NormalHanging12a"/>
      </w:pPr>
      <w:r w:rsidRPr="00FF47A6">
        <w:t>8.</w:t>
      </w:r>
      <w:r w:rsidRPr="00FF47A6">
        <w:tab/>
      </w:r>
      <w:r w:rsidRPr="00FF47A6" w:rsidR="00EF747B">
        <w:t>Underlines the significance of concluding bilateral agreements in the current geopolitical climate; calls, in this context, on the Commission and the Member States to explore possibilities for further digital trade agreements with other partners;</w:t>
      </w:r>
    </w:p>
    <w:p w:rsidR="00AE6AC9" w:rsidRPr="00FF47A6" w:rsidP="00AE6AC9" w14:paraId="2CA538E4" w14:textId="0C2028F3">
      <w:pPr>
        <w:pStyle w:val="NormalHanging12a"/>
      </w:pPr>
      <w:r w:rsidRPr="00FF47A6">
        <w:t>9.</w:t>
      </w:r>
      <w:r w:rsidRPr="00FF47A6">
        <w:tab/>
      </w:r>
      <w:r w:rsidRPr="00FF47A6" w:rsidR="00EF747B">
        <w:t>Welcomes Opinion 27/2025 of the European Data Protection Supervisor and calls on the Commission</w:t>
      </w:r>
      <w:r w:rsidRPr="00FF47A6" w:rsidR="008D11DE">
        <w:t>,</w:t>
      </w:r>
      <w:r w:rsidRPr="00FF47A6" w:rsidR="00EF747B">
        <w:t xml:space="preserve"> </w:t>
      </w:r>
      <w:r w:rsidRPr="00FF47A6" w:rsidR="008D11DE">
        <w:t xml:space="preserve">when implementing the agreement, </w:t>
      </w:r>
      <w:r w:rsidRPr="00FF47A6" w:rsidR="00EF747B">
        <w:t>to integrate its core recommendations to safeguard fundamental rights, preserve public policy space for sensitive data localisation, and ensure effective regulatory oversight;</w:t>
      </w:r>
    </w:p>
    <w:p w:rsidR="00AE6AC9" w:rsidRPr="00FF47A6" w:rsidP="00AE6AC9" w14:paraId="598455FF" w14:textId="457BFCE2">
      <w:pPr>
        <w:pStyle w:val="NormalHanging12a"/>
      </w:pPr>
      <w:r w:rsidRPr="00FF47A6">
        <w:t>10.</w:t>
      </w:r>
      <w:r w:rsidRPr="00FF47A6">
        <w:tab/>
      </w:r>
      <w:r w:rsidRPr="00FF47A6" w:rsidR="00EF747B">
        <w:t xml:space="preserve">Welcomes </w:t>
      </w:r>
      <w:r w:rsidRPr="00FF47A6" w:rsidR="007500E0">
        <w:t xml:space="preserve">the fact </w:t>
      </w:r>
      <w:r w:rsidRPr="00FF47A6" w:rsidR="00EF747B">
        <w:t>that the DTA with Korea includes provisions on emerging technologies such as AI and digital technologies;</w:t>
      </w:r>
    </w:p>
    <w:p w:rsidR="00AE6AC9" w:rsidRPr="00FF47A6" w:rsidP="00AE6AC9" w14:paraId="44E4094E" w14:textId="4D1CE683">
      <w:pPr>
        <w:pStyle w:val="NormalHanging12a"/>
      </w:pPr>
      <w:r w:rsidRPr="00FF47A6">
        <w:t>11.</w:t>
      </w:r>
      <w:r w:rsidRPr="00FF47A6">
        <w:tab/>
      </w:r>
      <w:r w:rsidRPr="00FF47A6" w:rsidR="00EF747B">
        <w:t xml:space="preserve">Welcomes the ratification </w:t>
      </w:r>
      <w:r w:rsidRPr="00FF47A6" w:rsidR="008D11DE">
        <w:t xml:space="preserve">by Korea </w:t>
      </w:r>
      <w:r w:rsidRPr="00FF47A6" w:rsidR="00EF747B">
        <w:t xml:space="preserve">of </w:t>
      </w:r>
      <w:r w:rsidRPr="00FF47A6" w:rsidR="008D11DE">
        <w:t xml:space="preserve">two </w:t>
      </w:r>
      <w:r w:rsidRPr="00FF47A6" w:rsidR="00EF747B">
        <w:t>I</w:t>
      </w:r>
      <w:r w:rsidRPr="00FF47A6" w:rsidR="00CF1E18">
        <w:t xml:space="preserve">nternational </w:t>
      </w:r>
      <w:r w:rsidRPr="00FF47A6" w:rsidR="00EF747B">
        <w:t>L</w:t>
      </w:r>
      <w:r w:rsidRPr="00FF47A6" w:rsidR="00CF1E18">
        <w:t xml:space="preserve">abour </w:t>
      </w:r>
      <w:r w:rsidRPr="00FF47A6" w:rsidR="00EF747B">
        <w:t>O</w:t>
      </w:r>
      <w:r w:rsidRPr="00FF47A6" w:rsidR="00CF1E18">
        <w:t>rganization</w:t>
      </w:r>
      <w:r w:rsidRPr="00FF47A6" w:rsidR="00EF747B">
        <w:t xml:space="preserve"> </w:t>
      </w:r>
      <w:r w:rsidR="00EB5F8F">
        <w:t xml:space="preserve">(ILO) </w:t>
      </w:r>
      <w:r w:rsidRPr="00FF47A6" w:rsidR="008D11DE">
        <w:t xml:space="preserve">fundamental </w:t>
      </w:r>
      <w:r w:rsidRPr="00FF47A6" w:rsidR="00EF747B">
        <w:t>conventions</w:t>
      </w:r>
      <w:r w:rsidRPr="00FF47A6" w:rsidR="008D11DE">
        <w:t>, namely</w:t>
      </w:r>
      <w:r w:rsidRPr="00FF47A6" w:rsidR="00EF747B">
        <w:t xml:space="preserve"> </w:t>
      </w:r>
      <w:r w:rsidRPr="00FF47A6" w:rsidR="008D11DE">
        <w:t>CO87 Freedom of Association and Protection of the Right to Organise and CO98 Right to Organise and Collective Bargaining, and calls for continued engagement for the ratification of the outstanding ILO convention on the Abolition of Forced Labour</w:t>
      </w:r>
      <w:r w:rsidRPr="00FF47A6" w:rsidR="00DA1E89">
        <w:t>;</w:t>
      </w:r>
    </w:p>
    <w:p w:rsidR="00EF48F2" w:rsidRPr="00FF47A6" w:rsidP="00EF48F2" w14:paraId="57BF8AD9" w14:textId="5615A027">
      <w:pPr>
        <w:pStyle w:val="NormalHanging12a"/>
      </w:pPr>
      <w:r w:rsidRPr="00FF47A6">
        <w:t>12</w:t>
      </w:r>
      <w:r w:rsidRPr="00FF47A6" w:rsidR="009F3EB4">
        <w:t>.</w:t>
      </w:r>
      <w:r w:rsidRPr="00FF47A6" w:rsidR="009F3EB4">
        <w:tab/>
        <w:t>Instructs its President to forward its position to the Council, the Commission</w:t>
      </w:r>
      <w:r w:rsidRPr="00FF47A6">
        <w:t xml:space="preserve">, </w:t>
      </w:r>
      <w:r w:rsidRPr="00FF47A6" w:rsidR="00D91CEC">
        <w:t>and</w:t>
      </w:r>
      <w:r w:rsidRPr="00FF47A6">
        <w:t xml:space="preserve"> to the governments and parliaments of the Member States and</w:t>
      </w:r>
      <w:r w:rsidRPr="00FF47A6" w:rsidR="00AE6AC9">
        <w:t xml:space="preserve"> the Government and Parliament of the Republic of Korea.</w:t>
      </w:r>
    </w:p>
    <w:p w:rsidR="00D32578" w:rsidRPr="00FF47A6" w:rsidP="008544DE" w14:paraId="6A3E7E0C" w14:textId="77777777">
      <w:pPr>
        <w:sectPr w:rsidSect="00C859BA">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titlePg/>
        </w:sectPr>
      </w:pPr>
    </w:p>
    <w:p w:rsidR="00D32578" w:rsidRPr="00FF47A6" w:rsidP="00D32578" w14:paraId="7A767CAE" w14:textId="77777777">
      <w:pPr>
        <w:pStyle w:val="PageHeading"/>
      </w:pPr>
      <w:bookmarkStart w:id="1" w:name="_Toc240552178"/>
      <w:r w:rsidRPr="00FF47A6">
        <w:t>EXPLANATORY STATEMENT</w:t>
      </w:r>
      <w:bookmarkEnd w:id="1"/>
    </w:p>
    <w:p w:rsidR="00131DEE" w:rsidRPr="00FF47A6" w:rsidP="00131DEE" w14:paraId="5C967FBB" w14:textId="5991D756">
      <w:r w:rsidRPr="00FF47A6">
        <w:t>The European Union and the Republic of Korea share a deep strategic partnership built through the EU-RoK Framework Agreement (2010), the EU-RoK Free Trade Agreement (2010), a Digital Partnership (2022), a Green Partnership</w:t>
      </w:r>
      <w:r w:rsidR="00FF47A6">
        <w:t xml:space="preserve"> </w:t>
      </w:r>
      <w:r w:rsidRPr="00FF47A6">
        <w:t>(2023), a Security and Defence Partnership (2024), Korea</w:t>
      </w:r>
      <w:r w:rsidR="00FF47A6">
        <w:t>’</w:t>
      </w:r>
      <w:r w:rsidRPr="00FF47A6">
        <w:t xml:space="preserve">s association to Pillar II of Horizon Europe (2025) and a Competitiveness Partnership (2026). All of these agreements could be achieved as the EU and RoK share common values, including the defence of fundamental rights and democratic institutions, such as the rule of law, alongside an unshakeable commitment to an open, rules-based multilateral trading system. </w:t>
      </w:r>
    </w:p>
    <w:p w:rsidR="00131DEE" w:rsidRPr="00FF47A6" w:rsidP="00131DEE" w14:paraId="14AF1D26" w14:textId="77777777"/>
    <w:p w:rsidR="00131DEE" w:rsidRPr="00FF47A6" w:rsidP="00131DEE" w14:paraId="1CFE0A15" w14:textId="02E0FE7B">
      <w:r w:rsidRPr="00FF47A6">
        <w:t>Since the entry into provisional application of the EU-South Korea Free Trade Agreement (FTA) in 2011, and its full entry into force in 2015, bilateral trade relations have deepened significantly. In 2025, South Korea was the EU</w:t>
      </w:r>
      <w:r w:rsidR="00FF47A6">
        <w:t>’</w:t>
      </w:r>
      <w:r w:rsidRPr="00FF47A6">
        <w:t>s 8th largest trading partner worldwide and its 3rd largest in Asia, while the EU ranked as Korea</w:t>
      </w:r>
      <w:r w:rsidR="00FF47A6">
        <w:t>’</w:t>
      </w:r>
      <w:r w:rsidRPr="00FF47A6">
        <w:t>s 3rd largest trading partner. Bilateral trade in goods has more than doubled since the FTA entered into force, trade in services reached EUR 32.9 billion in 2024, and the EU remains the largest foreign direct investor in South Korea. As digitally deliverable services now represent roughly 25% of all global trade and continue to expand at a faster pace than traditional commerce, it became imperative to complement the existing FTA framework with modern, binding rules tailored to the digital transformation. Against this backdrop, negotiations for a standalone digital trade agreement were authorized in June 2023, launched in October 2023, concluded in March 2025, and signed on 16 June 2026.</w:t>
      </w:r>
    </w:p>
    <w:p w:rsidR="00131DEE" w:rsidRPr="00FF47A6" w:rsidP="00131DEE" w14:paraId="58D581D9" w14:textId="77777777"/>
    <w:p w:rsidR="00131DEE" w:rsidRPr="00FF47A6" w:rsidP="00131DEE" w14:paraId="11E340D8" w14:textId="6A963FEE">
      <w:r w:rsidRPr="00FF47A6">
        <w:t>The EU-Republic of Korea Digital Trade Agreement (EUKDTA) represents a landmark milestone in the EU</w:t>
      </w:r>
      <w:r w:rsidR="00FF47A6">
        <w:t>’</w:t>
      </w:r>
      <w:r w:rsidRPr="00FF47A6">
        <w:t>s strategy to establish modern digital trade rules with key international partners. It builds directly upon the EU-Korea Digital Partnership and the EU-Korea Digital Trade Principles signed in November 2022. The agreement aligns with the Union</w:t>
      </w:r>
      <w:r w:rsidR="00FF47A6">
        <w:t>’</w:t>
      </w:r>
      <w:r w:rsidRPr="00FF47A6">
        <w:t>s broader ambition to shape high-standard global digital trade disciplines, as demonstrated in the digital trade chapters of recently concluded FTAs with Australia, India and Indonesia, as well as the cross-border data flows agreement with Japan and the standalone digital trade agreement with Singapore. By establishing a dedicated, self-standing framework with South Korea, the EU deepens bilateral economic integration with one of Asia</w:t>
      </w:r>
      <w:r w:rsidR="00FF47A6">
        <w:t>’</w:t>
      </w:r>
      <w:r w:rsidRPr="00FF47A6">
        <w:t>s most advanced technological powerhouses.</w:t>
      </w:r>
    </w:p>
    <w:p w:rsidR="00131DEE" w:rsidRPr="00FF47A6" w:rsidP="00131DEE" w14:paraId="563B5E3B" w14:textId="77777777"/>
    <w:p w:rsidR="00131DEE" w:rsidRPr="00FF47A6" w:rsidP="00131DEE" w14:paraId="3E9AED60" w14:textId="77777777">
      <w:r w:rsidRPr="00FF47A6">
        <w:t xml:space="preserve">The EUKDTA aims to provide binding rules that enhance online consumer trust, foster legal certainty and predictability for businesses, particularly small and medium-sized enterprises (SMEs), and eliminate unjustified barriers to digital trade. The agreement establishes a forward-looking environment that facilitates seamless electronic transactions while embedding high standards of consumer safety, administrative simplification and regulatory cooperation and. </w:t>
      </w:r>
    </w:p>
    <w:p w:rsidR="00131DEE" w:rsidRPr="00FF47A6" w:rsidP="00131DEE" w14:paraId="589163F3" w14:textId="77777777"/>
    <w:p w:rsidR="00131DEE" w:rsidRPr="00FF47A6" w:rsidP="00131DEE" w14:paraId="5CB44694" w14:textId="77777777">
      <w:r w:rsidRPr="00FF47A6">
        <w:t xml:space="preserve">Key disciplines negotiated under the agreement include provisions enabling cross-border data flows with trust, a permanent ban on customs duties on electronic transmissions, and the recognition of the legal validity of electronic contracts, electronic authentication, and interoperable electronic signatures. Furthermore, the agreement facilitates digital trade and reduces administrative burdens through paperless trading, implementing a single window system for trade, frameworks for open government data, and cross-border interoperability of electronic invoicing (e-invoicing) standards. </w:t>
      </w:r>
    </w:p>
    <w:p w:rsidR="00131DEE" w:rsidRPr="00FF47A6" w:rsidP="00131DEE" w14:paraId="0B048BC9" w14:textId="77777777"/>
    <w:p w:rsidR="00131DEE" w:rsidRPr="00FF47A6" w:rsidP="00131DEE" w14:paraId="487366B3" w14:textId="7AA469D6">
      <w:r w:rsidRPr="00FF47A6">
        <w:t>The agreement will safeguard the EU</w:t>
      </w:r>
      <w:r w:rsidR="00FF47A6">
        <w:t>’</w:t>
      </w:r>
      <w:r w:rsidRPr="00FF47A6">
        <w:t>s legal framework on privacy and personal data protection, including the General Data Protection Regulation (GDPR), ensuring that fundamental rights remain non-negotiable and high standards of consumer protection. On that regard, Korea</w:t>
      </w:r>
      <w:r w:rsidR="00FF47A6">
        <w:t>’</w:t>
      </w:r>
      <w:r w:rsidRPr="00FF47A6">
        <w:t>s advancement on fundamental ILO Conventions is welcomed.</w:t>
      </w:r>
    </w:p>
    <w:p w:rsidR="00131DEE" w:rsidRPr="00FF47A6" w:rsidP="00131DEE" w14:paraId="0E37C236" w14:textId="77777777"/>
    <w:p w:rsidR="00131DEE" w:rsidRPr="00FF47A6" w:rsidP="00131DEE" w14:paraId="0C225BA6" w14:textId="7FAE688C">
      <w:r w:rsidRPr="00FF47A6">
        <w:t>From a geopolitical and strategic perspective, the EUKDTA carries immense value for the European Union</w:t>
      </w:r>
      <w:r w:rsidR="00FF47A6">
        <w:t>’</w:t>
      </w:r>
      <w:r w:rsidRPr="00FF47A6">
        <w:t>s external action in the Indo-Pacific region, fully aligning with the EU Strategy for Cooperation in the Indo-Pacific and the European Economic Security Strategy. In an increasingly volatile global and geopolitical landscape marked by increasing international tensions, threatening multilateralism, to a technological race within a deep digital transformation affecting value chains from critical raw materials to trade routes, this agreement underscores the Union</w:t>
      </w:r>
      <w:r w:rsidR="00FF47A6">
        <w:t>’</w:t>
      </w:r>
      <w:r w:rsidRPr="00FF47A6">
        <w:t>s commitment to an open, fair, transparent, and rules-based digital economy. By setting ambitious, human-centric benchmarks with a like-minded partner, the EUKDTA reasserts European leadership in defining the global standards of the digital age.</w:t>
      </w:r>
    </w:p>
    <w:p w:rsidR="008544DE" w:rsidRPr="00FF47A6" w:rsidP="008544DE" w14:paraId="68412803" w14:textId="77777777"/>
    <w:p w:rsidR="004F288D" w:rsidRPr="00FF47A6" w:rsidP="008544DE" w14:paraId="3D2928B6" w14:textId="77777777"/>
    <w:p w:rsidR="004F288D" w:rsidRPr="00FF47A6" w14:paraId="4C90B322" w14:textId="77777777">
      <w:pPr>
        <w:widowControl/>
        <w:sectPr w:rsidSect="004F288D">
          <w:footnotePr>
            <w:numRestart w:val="eachSect"/>
          </w:footnotePr>
          <w:endnotePr>
            <w:numFmt w:val="decimal"/>
          </w:endnotePr>
          <w:pgSz w:w="11906" w:h="16838" w:code="9"/>
          <w:pgMar w:top="1134" w:right="1418" w:bottom="1418" w:left="1418" w:header="1134" w:footer="567" w:gutter="0"/>
          <w:cols w:space="720"/>
          <w:noEndnote/>
          <w:docGrid w:linePitch="326"/>
        </w:sectPr>
      </w:pPr>
    </w:p>
    <w:p w:rsidR="004F288D" w:rsidRPr="00FF47A6" w14:paraId="2AE70E52" w14:textId="663509BF">
      <w:pPr>
        <w:widowControl/>
      </w:pPr>
    </w:p>
    <w:p w:rsidR="004F288D" w:rsidRPr="00FF47A6" w:rsidP="007041CC" w14:paraId="68931F66" w14:textId="69B95A8E">
      <w:pPr>
        <w:pStyle w:val="PageHeading"/>
      </w:pPr>
      <w:bookmarkStart w:id="2" w:name="FootprintPageRR"/>
      <w:bookmarkStart w:id="3" w:name="_Toc240552179"/>
      <w:r w:rsidRPr="00FF47A6">
        <w:t>ANNEX: DECLARATION OF INPUT</w:t>
      </w:r>
      <w:bookmarkEnd w:id="3"/>
    </w:p>
    <w:p w:rsidR="004F288D" w:rsidRPr="00FF47A6" w:rsidP="00B31C6A" w14:paraId="006E9F1A" w14:textId="110B7FE2">
      <w:pPr>
        <w:pStyle w:val="Normal24a"/>
        <w:spacing w:after="240"/>
      </w:pPr>
      <w:r w:rsidRPr="00FF47A6">
        <w:rPr>
          <w:rStyle w:val="HideTWBExt"/>
          <w:noProof w:val="0"/>
        </w:rPr>
        <w:t>&lt;FootprintIntro&gt;</w:t>
      </w:r>
      <w:r w:rsidRPr="00FF47A6">
        <w:t>Pursuant to Article 8 of Annex I to the Rules of Procedure, the rapporteur declares that she included in her report input on matters pertaining to the subject of the file that she received, in the preparation of the draft report, from the following interest representatives falling within the scope of the Interinstitutional Agreement on a mandatory transparency register</w:t>
      </w:r>
      <w:r>
        <w:rPr>
          <w:rStyle w:val="FootnoteReference"/>
        </w:rPr>
        <w:footnoteReference w:id="8"/>
      </w:r>
      <w:r w:rsidRPr="00FF47A6">
        <w:t>, or from the following representatives of public authorities of third countries, including their diplomatic missions and embassies:</w:t>
      </w:r>
      <w:r w:rsidRPr="00FF47A6">
        <w:rPr>
          <w:rStyle w:val="HideTWBExt"/>
          <w:noProof w:val="0"/>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60"/>
      </w:tblGrid>
      <w:tr w14:paraId="0AF6B38C" w14:textId="77777777" w:rsidTr="00A81CDF">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9060" w:type="dxa"/>
            <w:shd w:val="clear" w:color="auto" w:fill="auto"/>
          </w:tcPr>
          <w:p w:rsidR="004F288D" w:rsidRPr="00FF47A6" w:rsidP="00F42F07" w14:paraId="2EDA6237" w14:textId="7A92C424">
            <w:pPr>
              <w:pStyle w:val="NormalBoldCenter"/>
            </w:pPr>
            <w:r w:rsidRPr="00FF47A6">
              <w:t>1. Interest representatives falling within the scope of the Interinstitutional Agreement on a mandatory transparency register</w:t>
            </w:r>
          </w:p>
        </w:tc>
      </w:tr>
      <w:tr w14:paraId="4288F464" w14:textId="77777777" w:rsidTr="00A81CDF">
        <w:tblPrEx>
          <w:tblW w:w="0" w:type="auto"/>
          <w:tblLook w:val="04A0"/>
        </w:tblPrEx>
        <w:tc>
          <w:tcPr>
            <w:tcW w:w="9060" w:type="dxa"/>
            <w:shd w:val="clear" w:color="auto" w:fill="auto"/>
          </w:tcPr>
          <w:p w:rsidR="004F288D" w:rsidRPr="00FF47A6" w:rsidP="00A07C3D" w14:paraId="3552BF7D" w14:textId="4A6455DF">
            <w:pPr>
              <w:pStyle w:val="NormalSingle"/>
            </w:pPr>
            <w:r w:rsidRPr="00FF47A6">
              <w:t>European Digital Rights (EDRi)</w:t>
            </w:r>
          </w:p>
        </w:tc>
      </w:tr>
      <w:tr w14:paraId="045DDC89" w14:textId="77777777" w:rsidTr="00A81CDF">
        <w:tblPrEx>
          <w:tblW w:w="0" w:type="auto"/>
          <w:tblLook w:val="04A0"/>
        </w:tblPrEx>
        <w:tc>
          <w:tcPr>
            <w:tcW w:w="9060" w:type="dxa"/>
            <w:shd w:val="clear" w:color="auto" w:fill="auto"/>
          </w:tcPr>
          <w:p w:rsidR="00A07C3D" w:rsidRPr="00FF47A6" w:rsidP="00A07C3D" w14:paraId="6AC78C4A" w14:textId="063F3836">
            <w:pPr>
              <w:pStyle w:val="NormalSingle"/>
            </w:pPr>
            <w:r w:rsidRPr="00FF47A6">
              <w:t>BEUC - The European Consumer Organisation</w:t>
            </w:r>
          </w:p>
        </w:tc>
      </w:tr>
      <w:tr w14:paraId="30E0B1C8" w14:textId="77777777" w:rsidTr="00A81CDF">
        <w:tblPrEx>
          <w:tblW w:w="0" w:type="auto"/>
          <w:tblLook w:val="04A0"/>
        </w:tblPrEx>
        <w:tc>
          <w:tcPr>
            <w:tcW w:w="9060" w:type="dxa"/>
            <w:shd w:val="clear" w:color="auto" w:fill="auto"/>
          </w:tcPr>
          <w:p w:rsidR="00A07C3D" w:rsidRPr="00FF47A6" w:rsidP="00D47F5D" w14:paraId="42B4E5CD" w14:textId="65375CE4">
            <w:pPr>
              <w:pStyle w:val="NormalSingle"/>
            </w:pPr>
            <w:r w:rsidRPr="00FF47A6">
              <w:t>European Chamber of Commerce in Korea (ECCK)</w:t>
            </w:r>
          </w:p>
        </w:tc>
      </w:tr>
      <w:tr w14:paraId="7B3C69CA" w14:textId="77777777" w:rsidTr="00A81CDF">
        <w:tblPrEx>
          <w:tblW w:w="0" w:type="auto"/>
          <w:tblLook w:val="04A0"/>
        </w:tblPrEx>
        <w:tc>
          <w:tcPr>
            <w:tcW w:w="9060" w:type="dxa"/>
            <w:shd w:val="clear" w:color="auto" w:fill="auto"/>
          </w:tcPr>
          <w:p w:rsidR="004F288D" w:rsidRPr="00FF47A6" w:rsidP="001666EA" w14:paraId="1B147796" w14:textId="59FE36D4">
            <w:pPr>
              <w:pStyle w:val="NormalBoldCenter"/>
            </w:pPr>
            <w:r w:rsidRPr="00FF47A6">
              <w:t>2. Representatives of public authorities of third countries, including their diplomatic missions and embassies</w:t>
            </w:r>
          </w:p>
        </w:tc>
      </w:tr>
      <w:tr w14:paraId="17D09C78" w14:textId="77777777" w:rsidTr="00A81CDF">
        <w:tblPrEx>
          <w:tblW w:w="0" w:type="auto"/>
          <w:tblLook w:val="04A0"/>
        </w:tblPrEx>
        <w:tc>
          <w:tcPr>
            <w:tcW w:w="9060" w:type="dxa"/>
            <w:shd w:val="clear" w:color="auto" w:fill="auto"/>
          </w:tcPr>
          <w:p w:rsidR="004F288D" w:rsidRPr="00FF47A6" w:rsidP="00C6630E" w14:paraId="57B36258" w14:textId="1B06CE8E">
            <w:r w:rsidRPr="00FF47A6">
              <w:t>Embassy of the Republic of Korea to the Belgium and EU and Permanent Mission to the NATO</w:t>
            </w:r>
          </w:p>
        </w:tc>
      </w:tr>
    </w:tbl>
    <w:p w:rsidR="004F288D" w:rsidRPr="00FF47A6" w:rsidP="00086351" w14:paraId="390F5A8C" w14:textId="73201AD5">
      <w:pPr>
        <w:pStyle w:val="Footprint12b"/>
      </w:pPr>
      <w:r w:rsidRPr="00FF47A6">
        <w:t>The list above is drawn up under the exclusive responsibility of the rapporteur.</w:t>
      </w:r>
    </w:p>
    <w:p w:rsidR="004F288D" w:rsidRPr="00FF47A6" w:rsidP="00B7198C" w14:paraId="1D11741E" w14:textId="195051F1">
      <w:pPr>
        <w:pStyle w:val="Footprint12b"/>
      </w:pPr>
      <w:r w:rsidRPr="00FF47A6">
        <w:t>Where natural persons are identified in the list by their name, by their function or by both, the rapporteur declares that she has submitted to the natural persons concerned the European Parliament</w:t>
      </w:r>
      <w:r w:rsidR="00FF47A6">
        <w:t>’</w:t>
      </w:r>
      <w:r w:rsidRPr="00FF47A6">
        <w:t>s Data Protection Notice No 484 (</w:t>
      </w:r>
      <w:hyperlink r:id="rId13" w:tooltip="https://www.europarl.europa.eu/data-protect/index.do" w:history="1">
        <w:r w:rsidRPr="00FF47A6">
          <w:rPr>
            <w:rStyle w:val="Hyperlink"/>
          </w:rPr>
          <w:t>https://www.europarl.europa.eu/data-protect/index.do</w:t>
        </w:r>
      </w:hyperlink>
      <w:r w:rsidRPr="00FF47A6">
        <w:t>), which sets out the conditions applicable to the processing of their personal data and the rights linked to that processing.</w:t>
      </w:r>
    </w:p>
    <w:p w:rsidR="004F288D" w:rsidRPr="00FF47A6" w:rsidP="00646AD2" w14:paraId="41A072C6" w14:textId="06D3E902">
      <w:pPr>
        <w:pStyle w:val="Footprint12b"/>
      </w:pPr>
    </w:p>
    <w:p w:rsidR="004F288D" w:rsidRPr="00FF47A6" w:rsidP="004F288D" w14:paraId="55C047D6" w14:textId="77777777"/>
    <w:bookmarkEnd w:id="2"/>
    <w:p w:rsidR="004F288D" w:rsidRPr="00FF47A6" w:rsidP="008544DE" w14:paraId="6025619D" w14:textId="151EB2DB"/>
    <w:sectPr w:rsidSect="004F288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5002EFF" w:usb1="C200ACFF"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59BA" w:rsidRPr="00FF47A6" w:rsidP="00C859BA" w14:paraId="6533EA04" w14:textId="16ADD635">
    <w:pPr>
      <w:pStyle w:val="EPFooter"/>
    </w:pPr>
    <w:r w:rsidRPr="00FF47A6">
      <w:t>PE</w:t>
    </w:r>
    <w:r w:rsidRPr="00FF47A6">
      <w:rPr>
        <w:rStyle w:val="HideTWBExt"/>
        <w:noProof w:val="0"/>
      </w:rPr>
      <w:t>&lt;NoPE&gt;</w:t>
    </w:r>
    <w:r w:rsidRPr="00FF47A6">
      <w:t>792.145</w:t>
    </w:r>
    <w:r w:rsidRPr="00FF47A6">
      <w:rPr>
        <w:rStyle w:val="HideTWBExt"/>
        <w:noProof w:val="0"/>
      </w:rPr>
      <w:t>&lt;/NoPE&gt;&lt;Version&gt;</w:t>
    </w:r>
    <w:r w:rsidRPr="00FF47A6">
      <w:t>v01-00</w:t>
    </w:r>
    <w:r w:rsidRPr="00FF47A6">
      <w:rPr>
        <w:rStyle w:val="HideTWBExt"/>
        <w:noProof w:val="0"/>
      </w:rPr>
      <w:t>&lt;/Version&gt;</w:t>
    </w:r>
    <w:r w:rsidRPr="00FF47A6">
      <w:tab/>
    </w:r>
    <w:r w:rsidRPr="00FF47A6">
      <w:fldChar w:fldCharType="begin"/>
    </w:r>
    <w:r w:rsidRPr="00FF47A6">
      <w:instrText xml:space="preserve"> PAGE  \* MERGEFORMAT </w:instrText>
    </w:r>
    <w:r w:rsidRPr="00FF47A6">
      <w:fldChar w:fldCharType="separate"/>
    </w:r>
    <w:r w:rsidRPr="00FF47A6">
      <w:t>8</w:t>
    </w:r>
    <w:r w:rsidRPr="00FF47A6">
      <w:fldChar w:fldCharType="end"/>
    </w:r>
    <w:r w:rsidRPr="00FF47A6">
      <w:t>/</w:t>
    </w:r>
    <w:r w:rsidRPr="00FF47A6">
      <w:fldChar w:fldCharType="begin"/>
    </w:r>
    <w:r w:rsidRPr="00FF47A6">
      <w:instrText xml:space="preserve"> NUMPAGES  \* MERGEFORMAT </w:instrText>
    </w:r>
    <w:r w:rsidRPr="00FF47A6">
      <w:fldChar w:fldCharType="separate"/>
    </w:r>
    <w:r w:rsidRPr="00FF47A6">
      <w:t>10</w:t>
    </w:r>
    <w:r w:rsidRPr="00FF47A6">
      <w:fldChar w:fldCharType="end"/>
    </w:r>
    <w:r w:rsidRPr="00FF47A6">
      <w:tab/>
    </w:r>
    <w:r w:rsidRPr="00FF47A6">
      <w:rPr>
        <w:rStyle w:val="HideTWBExt"/>
        <w:noProof w:val="0"/>
      </w:rPr>
      <w:t>&lt;PathFdR&gt;</w:t>
    </w:r>
    <w:r w:rsidRPr="00FF47A6" w:rsidR="00EE0297">
      <w:t>PR\1350458EN.docx</w:t>
    </w:r>
    <w:r w:rsidRPr="00FF47A6">
      <w:rPr>
        <w:rStyle w:val="HideTWBExt"/>
        <w:noProof w:val="0"/>
      </w:rPr>
      <w:t>&lt;/PathFdR&gt;</w:t>
    </w:r>
  </w:p>
  <w:p w:rsidR="0085501C" w:rsidRPr="00FF47A6" w:rsidP="00C859BA" w14:paraId="1DC29F41" w14:textId="55E2C15A">
    <w:pPr>
      <w:pStyle w:val="EPFooter2"/>
    </w:pPr>
    <w:r w:rsidRPr="00FF47A6">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59BA" w:rsidRPr="00FF47A6" w:rsidP="00C859BA" w14:paraId="11CBF285" w14:textId="25FF6128">
    <w:pPr>
      <w:pStyle w:val="EPFooter"/>
    </w:pPr>
    <w:r w:rsidRPr="00FF47A6">
      <w:rPr>
        <w:rStyle w:val="HideTWBExt"/>
        <w:noProof w:val="0"/>
      </w:rPr>
      <w:t>&lt;PathFdR&gt;</w:t>
    </w:r>
    <w:r w:rsidRPr="00FF47A6" w:rsidR="00EE0297">
      <w:t>PR\1350458EN.docx</w:t>
    </w:r>
    <w:r w:rsidRPr="00FF47A6">
      <w:rPr>
        <w:rStyle w:val="HideTWBExt"/>
        <w:noProof w:val="0"/>
      </w:rPr>
      <w:t>&lt;/PathFdR&gt;</w:t>
    </w:r>
    <w:r w:rsidRPr="00FF47A6">
      <w:tab/>
    </w:r>
    <w:r w:rsidRPr="00FF47A6">
      <w:fldChar w:fldCharType="begin"/>
    </w:r>
    <w:r w:rsidRPr="00FF47A6">
      <w:instrText xml:space="preserve"> PAGE  \* MERGEFORMAT </w:instrText>
    </w:r>
    <w:r w:rsidRPr="00FF47A6">
      <w:fldChar w:fldCharType="separate"/>
    </w:r>
    <w:r w:rsidRPr="00FF47A6">
      <w:t>7</w:t>
    </w:r>
    <w:r w:rsidRPr="00FF47A6">
      <w:fldChar w:fldCharType="end"/>
    </w:r>
    <w:r w:rsidRPr="00FF47A6">
      <w:t>/</w:t>
    </w:r>
    <w:r w:rsidRPr="00FF47A6">
      <w:fldChar w:fldCharType="begin"/>
    </w:r>
    <w:r w:rsidRPr="00FF47A6">
      <w:instrText xml:space="preserve"> NUMPAGES  \* MERGEFORMAT </w:instrText>
    </w:r>
    <w:r w:rsidRPr="00FF47A6">
      <w:fldChar w:fldCharType="separate"/>
    </w:r>
    <w:r w:rsidRPr="00FF47A6">
      <w:t>10</w:t>
    </w:r>
    <w:r w:rsidRPr="00FF47A6">
      <w:fldChar w:fldCharType="end"/>
    </w:r>
    <w:r w:rsidRPr="00FF47A6">
      <w:tab/>
      <w:t>PE</w:t>
    </w:r>
    <w:r w:rsidRPr="00FF47A6">
      <w:rPr>
        <w:rStyle w:val="HideTWBExt"/>
        <w:noProof w:val="0"/>
      </w:rPr>
      <w:t>&lt;NoPE&gt;</w:t>
    </w:r>
    <w:r w:rsidRPr="00FF47A6">
      <w:t>792.145</w:t>
    </w:r>
    <w:r w:rsidRPr="00FF47A6">
      <w:rPr>
        <w:rStyle w:val="HideTWBExt"/>
        <w:noProof w:val="0"/>
      </w:rPr>
      <w:t>&lt;/NoPE&gt;&lt;Version&gt;</w:t>
    </w:r>
    <w:r w:rsidRPr="00FF47A6">
      <w:t>v01-00</w:t>
    </w:r>
    <w:r w:rsidRPr="00FF47A6">
      <w:rPr>
        <w:rStyle w:val="HideTWBExt"/>
        <w:noProof w:val="0"/>
      </w:rPr>
      <w:t>&lt;/Version&gt;</w:t>
    </w:r>
  </w:p>
  <w:p w:rsidR="0085501C" w:rsidRPr="00FF47A6" w:rsidP="00C859BA" w14:paraId="45F81FDF" w14:textId="420DEED1">
    <w:pPr>
      <w:pStyle w:val="EPFooter2"/>
    </w:pPr>
    <w:r w:rsidRPr="00FF47A6">
      <w:tab/>
    </w:r>
    <w:r w:rsidRPr="00FF47A6">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59BA" w:rsidRPr="00FF47A6" w:rsidP="00C859BA" w14:paraId="16F41C70" w14:textId="513F1452">
    <w:pPr>
      <w:pStyle w:val="EPFooter"/>
    </w:pPr>
    <w:r w:rsidRPr="00FF47A6">
      <w:rPr>
        <w:rStyle w:val="HideTWBExt"/>
        <w:noProof w:val="0"/>
      </w:rPr>
      <w:t>&lt;PathFdR&gt;</w:t>
    </w:r>
    <w:r w:rsidRPr="00FF47A6" w:rsidR="00EE0297">
      <w:t>PR\1350458EN.docx</w:t>
    </w:r>
    <w:r w:rsidRPr="00FF47A6">
      <w:rPr>
        <w:rStyle w:val="HideTWBExt"/>
        <w:noProof w:val="0"/>
      </w:rPr>
      <w:t>&lt;/PathFdR&gt;</w:t>
    </w:r>
    <w:r w:rsidRPr="00FF47A6">
      <w:tab/>
    </w:r>
    <w:r w:rsidRPr="00FF47A6">
      <w:tab/>
      <w:t>PE</w:t>
    </w:r>
    <w:r w:rsidRPr="00FF47A6">
      <w:rPr>
        <w:rStyle w:val="HideTWBExt"/>
        <w:noProof w:val="0"/>
      </w:rPr>
      <w:t>&lt;NoPE&gt;</w:t>
    </w:r>
    <w:r w:rsidRPr="00FF47A6">
      <w:t>792.145</w:t>
    </w:r>
    <w:r w:rsidRPr="00FF47A6">
      <w:rPr>
        <w:rStyle w:val="HideTWBExt"/>
        <w:noProof w:val="0"/>
      </w:rPr>
      <w:t>&lt;/NoPE&gt;&lt;Version&gt;</w:t>
    </w:r>
    <w:r w:rsidRPr="00FF47A6">
      <w:t>v01-00</w:t>
    </w:r>
    <w:r w:rsidRPr="00FF47A6">
      <w:rPr>
        <w:rStyle w:val="HideTWBExt"/>
        <w:noProof w:val="0"/>
      </w:rPr>
      <w:t>&lt;/Version&gt;</w:t>
    </w:r>
  </w:p>
  <w:p w:rsidR="0085501C" w:rsidRPr="00FF47A6" w:rsidP="00C859BA" w14:paraId="3DFE6598" w14:textId="00EEE996">
    <w:pPr>
      <w:pStyle w:val="EPFooter2"/>
    </w:pPr>
    <w:r w:rsidRPr="00FF47A6">
      <w:t>EN</w:t>
    </w:r>
    <w:r w:rsidRPr="00FF47A6">
      <w:tab/>
    </w:r>
    <w:r w:rsidRPr="00FF47A6">
      <w:rPr>
        <w:b w:val="0"/>
        <w:i/>
        <w:color w:val="C0C0C0"/>
        <w:sz w:val="22"/>
      </w:rPr>
      <w:t>United in diversity</w:t>
    </w:r>
    <w:r w:rsidRPr="00FF47A6">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9F3EB4" w:rsidRPr="00FF47A6" w14:paraId="52E07540" w14:textId="77777777">
      <w:r w:rsidRPr="00FF47A6">
        <w:separator/>
      </w:r>
    </w:p>
  </w:footnote>
  <w:footnote w:type="continuationSeparator" w:id="1">
    <w:p w:rsidR="009F3EB4" w:rsidRPr="00FF47A6" w14:paraId="5A245354" w14:textId="77777777">
      <w:r w:rsidRPr="00FF47A6">
        <w:continuationSeparator/>
      </w:r>
    </w:p>
  </w:footnote>
  <w:footnote w:id="2">
    <w:p w:rsidR="00793597" w:rsidRPr="00FF47A6" w14:paraId="07F35E29" w14:textId="75275003">
      <w:pPr>
        <w:pStyle w:val="FootnoteText"/>
      </w:pPr>
      <w:r w:rsidRPr="00FF47A6">
        <w:rPr>
          <w:rStyle w:val="FootnoteReference"/>
        </w:rPr>
        <w:footnoteRef/>
      </w:r>
      <w:r w:rsidRPr="00FF47A6">
        <w:t xml:space="preserve"> OJ L 127, 14.5.2011, p. 6</w:t>
      </w:r>
      <w:r w:rsidRPr="00FF47A6" w:rsidR="006351C6">
        <w:t>, ELI: </w:t>
      </w:r>
      <w:hyperlink r:id="rId1" w:tooltip="Gives access to this document through its ELI URI." w:history="1">
        <w:r w:rsidRPr="00FF47A6" w:rsidR="006351C6">
          <w:rPr>
            <w:rStyle w:val="Hyperlink"/>
          </w:rPr>
          <w:t>http://data.europa.eu/eli/agree_internation/2011/265/oj</w:t>
        </w:r>
      </w:hyperlink>
      <w:r w:rsidRPr="00FF47A6">
        <w:t>.</w:t>
      </w:r>
    </w:p>
  </w:footnote>
  <w:footnote w:id="3">
    <w:p w:rsidR="00793597" w:rsidRPr="00FF47A6" w14:paraId="0533C176" w14:textId="18798C3D">
      <w:pPr>
        <w:pStyle w:val="FootnoteText"/>
      </w:pPr>
      <w:r w:rsidRPr="00FF47A6">
        <w:rPr>
          <w:rStyle w:val="FootnoteReference"/>
        </w:rPr>
        <w:footnoteRef/>
      </w:r>
      <w:r w:rsidRPr="00FF47A6">
        <w:t xml:space="preserve"> OJ L 20, 23.1.2013, p. 2.</w:t>
      </w:r>
    </w:p>
  </w:footnote>
  <w:footnote w:id="4">
    <w:p w:rsidR="00A32026" w:rsidRPr="00FF47A6" w:rsidP="00A32026" w14:paraId="2B323D56" w14:textId="782AACFE">
      <w:pPr>
        <w:pStyle w:val="FootnoteText"/>
      </w:pPr>
      <w:r w:rsidRPr="00FF47A6">
        <w:rPr>
          <w:rStyle w:val="FootnoteReference"/>
        </w:rPr>
        <w:footnoteRef/>
      </w:r>
      <w:r w:rsidRPr="00FF47A6" w:rsidR="00EA1EB9">
        <w:t xml:space="preserve"> ECLI:EU:C:2017:376</w:t>
      </w:r>
      <w:r w:rsidRPr="00FF47A6" w:rsidR="0042422D">
        <w:t>.</w:t>
      </w:r>
      <w:r w:rsidRPr="00FF47A6">
        <w:t xml:space="preserve"> </w:t>
      </w:r>
    </w:p>
  </w:footnote>
  <w:footnote w:id="5">
    <w:p w:rsidR="0099331D" w:rsidRPr="00FF47A6" w:rsidP="0099331D" w14:paraId="52683184" w14:textId="77777777">
      <w:pPr>
        <w:pStyle w:val="FootnoteText"/>
      </w:pPr>
      <w:r w:rsidRPr="00FF47A6">
        <w:rPr>
          <w:rStyle w:val="FootnoteReference"/>
        </w:rPr>
        <w:footnoteRef/>
      </w:r>
      <w:r w:rsidRPr="00FF47A6">
        <w:rPr>
          <w:rStyle w:val="FootnoteReference"/>
        </w:rPr>
        <w:t xml:space="preserve"> </w:t>
      </w:r>
      <w:r w:rsidRPr="00FF47A6">
        <w:tab/>
        <w:t>OJ C 188 E, 28.6.2012, p. 113.</w:t>
      </w:r>
    </w:p>
  </w:footnote>
  <w:footnote w:id="6">
    <w:p w:rsidR="0099331D" w:rsidRPr="00FF47A6" w:rsidP="0099331D" w14:paraId="6D147450" w14:textId="77777777">
      <w:pPr>
        <w:pStyle w:val="FootnoteText"/>
        <w:rPr>
          <w:i/>
          <w:iCs/>
        </w:rPr>
      </w:pPr>
      <w:r w:rsidRPr="00FF47A6">
        <w:rPr>
          <w:rStyle w:val="FootnoteReference"/>
        </w:rPr>
        <w:footnoteRef/>
      </w:r>
      <w:r w:rsidRPr="00FF47A6">
        <w:rPr>
          <w:rStyle w:val="FootnoteReference"/>
        </w:rPr>
        <w:t xml:space="preserve"> </w:t>
      </w:r>
      <w:r w:rsidRPr="00FF47A6">
        <w:rPr>
          <w:rStyle w:val="Emphasis"/>
        </w:rPr>
        <w:tab/>
      </w:r>
      <w:r w:rsidRPr="00FF47A6">
        <w:rPr>
          <w:rStyle w:val="Emphasis"/>
          <w:i w:val="0"/>
          <w:iCs w:val="0"/>
        </w:rPr>
        <w:t>OJ C 101, 16.3.2018, p. 30</w:t>
      </w:r>
      <w:r w:rsidRPr="00FF47A6">
        <w:rPr>
          <w:i/>
          <w:iCs/>
        </w:rPr>
        <w:t>.</w:t>
      </w:r>
    </w:p>
  </w:footnote>
  <w:footnote w:id="7">
    <w:p w:rsidR="0099331D" w:rsidRPr="00FF47A6" w:rsidP="0099331D" w14:paraId="56700128" w14:textId="309EB0B8">
      <w:pPr>
        <w:pStyle w:val="FootnoteText"/>
      </w:pPr>
      <w:r w:rsidRPr="00FF47A6">
        <w:rPr>
          <w:rStyle w:val="FootnoteReference"/>
        </w:rPr>
        <w:footnoteRef/>
      </w:r>
      <w:r w:rsidRPr="00FF47A6">
        <w:rPr>
          <w:rStyle w:val="FootnoteReference"/>
        </w:rPr>
        <w:t xml:space="preserve"> </w:t>
      </w:r>
      <w:r w:rsidRPr="00FF47A6">
        <w:tab/>
        <w:t>Texts adopted, P10_TA(202</w:t>
      </w:r>
      <w:r w:rsidRPr="00FF47A6" w:rsidR="00EF747B">
        <w:t>6</w:t>
      </w:r>
      <w:r w:rsidRPr="00FF47A6">
        <w:t>)0000.</w:t>
      </w:r>
    </w:p>
  </w:footnote>
  <w:footnote w:id="8">
    <w:p w:rsidR="004F288D" w:rsidRPr="00FF47A6" w14:paraId="0135CA3C" w14:textId="2108D9D7">
      <w:pPr>
        <w:pStyle w:val="FootnoteText"/>
      </w:pPr>
      <w:r w:rsidRPr="00FF47A6">
        <w:rPr>
          <w:rStyle w:val="FootnoteReference"/>
        </w:rPr>
        <w:footnoteRef/>
      </w:r>
      <w:r w:rsidRPr="00FF47A6">
        <w:t xml:space="preserve"> Interinstitutional Agreement of 20 May 2021 between the European Parliament, the Council of the European Union and the European Commission on a mandatory transparency register (OJ L 207, 11.6.2021, p. 1, ELI: </w:t>
      </w:r>
      <w:hyperlink r:id="rId2" w:tooltip="http://data.europa.eu/eli/agree_interinstit/2021/611/oj" w:history="1">
        <w:r w:rsidRPr="00FF47A6">
          <w:rPr>
            <w:rStyle w:val="Hyperlink"/>
          </w:rPr>
          <w:t>http://data.europa.eu/eli/agree_interinstit/2021/611/oj</w:t>
        </w:r>
      </w:hyperlink>
      <w:r w:rsidRPr="00FF47A6">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11DE" w:rsidRPr="00FF47A6" w14:paraId="025DE60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11DE" w:rsidRPr="00FF47A6" w14:paraId="525ECBD7"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11DE" w:rsidRPr="00FF47A6" w14:paraId="46C4B83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cumentProtection w:edit="comments" w:enforcement="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EB4"/>
    <w:rsid w:val="0000361A"/>
    <w:rsid w:val="0000443F"/>
    <w:rsid w:val="000128A4"/>
    <w:rsid w:val="00016803"/>
    <w:rsid w:val="00030E11"/>
    <w:rsid w:val="00044034"/>
    <w:rsid w:val="00061759"/>
    <w:rsid w:val="0006484E"/>
    <w:rsid w:val="00086351"/>
    <w:rsid w:val="000B5887"/>
    <w:rsid w:val="000C123D"/>
    <w:rsid w:val="000C12B6"/>
    <w:rsid w:val="00102990"/>
    <w:rsid w:val="00131DEE"/>
    <w:rsid w:val="00146B4A"/>
    <w:rsid w:val="001666EA"/>
    <w:rsid w:val="00172C59"/>
    <w:rsid w:val="00180664"/>
    <w:rsid w:val="0019436E"/>
    <w:rsid w:val="00195921"/>
    <w:rsid w:val="00197326"/>
    <w:rsid w:val="001A5E69"/>
    <w:rsid w:val="001B1C23"/>
    <w:rsid w:val="001C5935"/>
    <w:rsid w:val="001D02E3"/>
    <w:rsid w:val="001E1AE2"/>
    <w:rsid w:val="001E42B9"/>
    <w:rsid w:val="0028405C"/>
    <w:rsid w:val="002E2E20"/>
    <w:rsid w:val="003072BE"/>
    <w:rsid w:val="00310CF7"/>
    <w:rsid w:val="0032167D"/>
    <w:rsid w:val="003241CA"/>
    <w:rsid w:val="0033134C"/>
    <w:rsid w:val="00333490"/>
    <w:rsid w:val="00345230"/>
    <w:rsid w:val="00363B94"/>
    <w:rsid w:val="003765E5"/>
    <w:rsid w:val="0038004C"/>
    <w:rsid w:val="00384848"/>
    <w:rsid w:val="003D540D"/>
    <w:rsid w:val="003F750F"/>
    <w:rsid w:val="00411642"/>
    <w:rsid w:val="004174FC"/>
    <w:rsid w:val="0042422D"/>
    <w:rsid w:val="004373F0"/>
    <w:rsid w:val="00460749"/>
    <w:rsid w:val="00460BD6"/>
    <w:rsid w:val="004840B1"/>
    <w:rsid w:val="004859B3"/>
    <w:rsid w:val="004974AF"/>
    <w:rsid w:val="004C1F3F"/>
    <w:rsid w:val="004D7785"/>
    <w:rsid w:val="004E1650"/>
    <w:rsid w:val="004F288D"/>
    <w:rsid w:val="004F29E7"/>
    <w:rsid w:val="005142BF"/>
    <w:rsid w:val="005715B7"/>
    <w:rsid w:val="00592084"/>
    <w:rsid w:val="005A1CAE"/>
    <w:rsid w:val="005D0B97"/>
    <w:rsid w:val="005D50F9"/>
    <w:rsid w:val="005F5D6C"/>
    <w:rsid w:val="006132CE"/>
    <w:rsid w:val="0063027E"/>
    <w:rsid w:val="006351C6"/>
    <w:rsid w:val="00646AD2"/>
    <w:rsid w:val="00666488"/>
    <w:rsid w:val="006769E2"/>
    <w:rsid w:val="006775BC"/>
    <w:rsid w:val="00694C12"/>
    <w:rsid w:val="006A2CF5"/>
    <w:rsid w:val="006B5005"/>
    <w:rsid w:val="006D1130"/>
    <w:rsid w:val="006D3839"/>
    <w:rsid w:val="007041CC"/>
    <w:rsid w:val="00715DF3"/>
    <w:rsid w:val="00721C50"/>
    <w:rsid w:val="007370DF"/>
    <w:rsid w:val="007500E0"/>
    <w:rsid w:val="0075702D"/>
    <w:rsid w:val="00791FE8"/>
    <w:rsid w:val="00793597"/>
    <w:rsid w:val="007C105D"/>
    <w:rsid w:val="0080122F"/>
    <w:rsid w:val="00802F8B"/>
    <w:rsid w:val="0080378A"/>
    <w:rsid w:val="008368CB"/>
    <w:rsid w:val="008429D0"/>
    <w:rsid w:val="008544DE"/>
    <w:rsid w:val="0085501C"/>
    <w:rsid w:val="00861006"/>
    <w:rsid w:val="00871A15"/>
    <w:rsid w:val="0088037D"/>
    <w:rsid w:val="008865DD"/>
    <w:rsid w:val="00892627"/>
    <w:rsid w:val="008947E9"/>
    <w:rsid w:val="008A4452"/>
    <w:rsid w:val="008C27C3"/>
    <w:rsid w:val="008C2BFA"/>
    <w:rsid w:val="008C39BE"/>
    <w:rsid w:val="008D11DE"/>
    <w:rsid w:val="008D3030"/>
    <w:rsid w:val="008E5314"/>
    <w:rsid w:val="008E57F8"/>
    <w:rsid w:val="008E596D"/>
    <w:rsid w:val="009040B7"/>
    <w:rsid w:val="00924EE0"/>
    <w:rsid w:val="00925477"/>
    <w:rsid w:val="00937BA9"/>
    <w:rsid w:val="00951627"/>
    <w:rsid w:val="009612AA"/>
    <w:rsid w:val="00972A8C"/>
    <w:rsid w:val="00973BE2"/>
    <w:rsid w:val="0099331D"/>
    <w:rsid w:val="009B3B05"/>
    <w:rsid w:val="009B6F40"/>
    <w:rsid w:val="009F3EB4"/>
    <w:rsid w:val="00A07A05"/>
    <w:rsid w:val="00A07C3D"/>
    <w:rsid w:val="00A26973"/>
    <w:rsid w:val="00A26BC7"/>
    <w:rsid w:val="00A32026"/>
    <w:rsid w:val="00A916D9"/>
    <w:rsid w:val="00A966A8"/>
    <w:rsid w:val="00AB39B7"/>
    <w:rsid w:val="00AC411F"/>
    <w:rsid w:val="00AC41F1"/>
    <w:rsid w:val="00AE6AC9"/>
    <w:rsid w:val="00B31C6A"/>
    <w:rsid w:val="00B31D18"/>
    <w:rsid w:val="00B35EBA"/>
    <w:rsid w:val="00B37BF5"/>
    <w:rsid w:val="00B42885"/>
    <w:rsid w:val="00B50C20"/>
    <w:rsid w:val="00B56A82"/>
    <w:rsid w:val="00B7198C"/>
    <w:rsid w:val="00B978B4"/>
    <w:rsid w:val="00BB41C8"/>
    <w:rsid w:val="00BE4BE3"/>
    <w:rsid w:val="00BE5E72"/>
    <w:rsid w:val="00BF0A0F"/>
    <w:rsid w:val="00BF2E15"/>
    <w:rsid w:val="00BF7F55"/>
    <w:rsid w:val="00C009DA"/>
    <w:rsid w:val="00C15447"/>
    <w:rsid w:val="00C4269E"/>
    <w:rsid w:val="00C6630E"/>
    <w:rsid w:val="00C70D19"/>
    <w:rsid w:val="00C859BA"/>
    <w:rsid w:val="00C85D0F"/>
    <w:rsid w:val="00CF1E18"/>
    <w:rsid w:val="00CF44DF"/>
    <w:rsid w:val="00D04E0B"/>
    <w:rsid w:val="00D32578"/>
    <w:rsid w:val="00D47F5D"/>
    <w:rsid w:val="00D62DA0"/>
    <w:rsid w:val="00D91CEC"/>
    <w:rsid w:val="00DA1E89"/>
    <w:rsid w:val="00DB24CA"/>
    <w:rsid w:val="00DC3166"/>
    <w:rsid w:val="00E15DB5"/>
    <w:rsid w:val="00E20F34"/>
    <w:rsid w:val="00E50F1A"/>
    <w:rsid w:val="00E71368"/>
    <w:rsid w:val="00E840E2"/>
    <w:rsid w:val="00E9187B"/>
    <w:rsid w:val="00E93816"/>
    <w:rsid w:val="00EA1EB9"/>
    <w:rsid w:val="00EA57BF"/>
    <w:rsid w:val="00EB5F8F"/>
    <w:rsid w:val="00EE0297"/>
    <w:rsid w:val="00EF48F2"/>
    <w:rsid w:val="00EF747B"/>
    <w:rsid w:val="00F215DE"/>
    <w:rsid w:val="00F42F07"/>
    <w:rsid w:val="00F731BD"/>
    <w:rsid w:val="00F84E0B"/>
    <w:rsid w:val="00F90C4A"/>
    <w:rsid w:val="00FC7342"/>
    <w:rsid w:val="00FE385D"/>
    <w:rsid w:val="00FF47A6"/>
  </w:rsids>
  <w:docVars>
    <w:docVar w:name="AUTHORMFPMNU" w:val=" 2"/>
    <w:docVar w:name="CIT1MNU" w:val=" 4"/>
    <w:docVar w:name="CIT2MNU" w:val=" 4"/>
    <w:docVar w:name="CIT3MNU" w:val=" 4"/>
    <w:docVar w:name="CODEMNU" w:val=" 3"/>
    <w:docVar w:name="COMKEY" w:val="INTA"/>
    <w:docVar w:name="CONTRIBUTIONMNU" w:val=" 1"/>
    <w:docVar w:name="DOCDT" w:val="10/09/2026"/>
    <w:docVar w:name="LastEditedSection" w:val=" 1"/>
    <w:docVar w:name="NVAR1" w:val="0"/>
    <w:docVar w:name="strDocTypeID" w:val="PR_Consent_Motion"/>
    <w:docVar w:name="strSubDir" w:val="1350"/>
    <w:docVar w:name="TITLENLE2MNU" w:val=" 1"/>
    <w:docVar w:name="TXTLANGUE" w:val="EN"/>
    <w:docVar w:name="TXTLANGUEMIN" w:val="en"/>
    <w:docVar w:name="TXTNRC" w:val="0000/2026"/>
    <w:docVar w:name="TXTNRCOM" w:val="(2025)0479"/>
    <w:docVar w:name="TXTNRPE" w:val="792.145"/>
    <w:docVar w:name="TXTNRPROC" w:val="2025/0273M"/>
    <w:docVar w:name="TXTPEorAP" w:val="PE"/>
    <w:docVar w:name="TXTROUTE" w:val="PR\1350458EN.docx"/>
    <w:docVar w:name="TXTTITLE" w:val="on the conclusion, on behalf of the Union, of the Digital Trade Agreement between the European Union and the Republic of Korea"/>
    <w:docVar w:name="TXTVERSION" w:val="01-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326C419A-A32B-4502-A82D-67625760F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484E"/>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07A05"/>
    <w:pPr>
      <w:spacing w:before="480" w:after="240"/>
    </w:pPr>
  </w:style>
  <w:style w:type="paragraph" w:styleId="TOC1">
    <w:name w:val="toc 1"/>
    <w:basedOn w:val="Normal"/>
    <w:next w:val="Normal"/>
    <w:autoRedefine/>
    <w:uiPriority w:val="39"/>
    <w:rsid w:val="009B6F40"/>
    <w:pPr>
      <w:spacing w:after="240"/>
    </w:pPr>
  </w:style>
  <w:style w:type="paragraph" w:styleId="TOCHeading">
    <w:name w:val="TOC Heading"/>
    <w:basedOn w:val="Normal"/>
    <w:next w:val="TOCPage"/>
    <w:pPr>
      <w:keepNext/>
      <w:spacing w:before="240" w:after="240"/>
      <w:jc w:val="center"/>
    </w:pPr>
    <w:rPr>
      <w:rFonts w:ascii="Arial" w:hAnsi="Arial"/>
      <w:b/>
    </w:rPr>
  </w:style>
  <w:style w:type="paragraph" w:customStyle="1" w:styleId="TOCPage">
    <w:name w:val="TOC Page"/>
    <w:basedOn w:val="Normal"/>
    <w:next w:val="TOC1"/>
    <w:rsid w:val="008C39BE"/>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925477"/>
    <w:pPr>
      <w:spacing w:before="80" w:after="80"/>
    </w:pPr>
    <w:rPr>
      <w:rFonts w:ascii="Arial Narrow" w:hAnsi="Arial Narrow" w:cs="Arial"/>
      <w:b/>
      <w:sz w:val="32"/>
      <w:szCs w:val="22"/>
    </w:rPr>
  </w:style>
  <w:style w:type="paragraph" w:customStyle="1" w:styleId="CoverNormal24a">
    <w:name w:val="CoverNormal24a"/>
    <w:basedOn w:val="Normal"/>
    <w:rsid w:val="00A916D9"/>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044034"/>
    <w:pPr>
      <w:spacing w:before="1080"/>
      <w:jc w:val="right"/>
    </w:pPr>
    <w:rPr>
      <w:rFonts w:ascii="Arial" w:hAnsi="Arial" w:cs="Arial"/>
      <w:b/>
    </w:rPr>
  </w:style>
  <w:style w:type="paragraph" w:customStyle="1" w:styleId="CoverDocType24a">
    <w:name w:val="CoverDocType24a"/>
    <w:basedOn w:val="Normal"/>
    <w:rsid w:val="00A916D9"/>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63027E"/>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25477"/>
    <w:pPr>
      <w:spacing w:after="80"/>
    </w:pPr>
    <w:rPr>
      <w:rFonts w:ascii="Arial" w:hAnsi="Arial" w:cs="Arial"/>
      <w:sz w:val="20"/>
      <w:szCs w:val="22"/>
    </w:rPr>
  </w:style>
  <w:style w:type="paragraph" w:customStyle="1" w:styleId="EPLogo">
    <w:name w:val="EPLogo"/>
    <w:basedOn w:val="Normal"/>
    <w:qFormat/>
    <w:rsid w:val="00925477"/>
    <w:pPr>
      <w:jc w:val="right"/>
    </w:pPr>
  </w:style>
  <w:style w:type="paragraph" w:customStyle="1" w:styleId="EPFooter">
    <w:name w:val="EPFooter"/>
    <w:basedOn w:val="Normal"/>
    <w:rsid w:val="00A916D9"/>
    <w:pPr>
      <w:tabs>
        <w:tab w:val="center" w:pos="4535"/>
        <w:tab w:val="right" w:pos="9071"/>
      </w:tabs>
      <w:spacing w:before="240" w:after="240"/>
    </w:pPr>
    <w:rPr>
      <w:color w:val="010000"/>
      <w:sz w:val="22"/>
    </w:rPr>
  </w:style>
  <w:style w:type="character" w:styleId="PageNumber">
    <w:name w:val="page number"/>
    <w:basedOn w:val="DefaultParagraphFont"/>
    <w:semiHidden/>
    <w:rsid w:val="00892627"/>
  </w:style>
  <w:style w:type="character" w:customStyle="1" w:styleId="HeaderChar">
    <w:name w:val="Header Char"/>
    <w:basedOn w:val="DefaultParagraphFont"/>
    <w:link w:val="Header"/>
    <w:semiHidden/>
    <w:rsid w:val="0063027E"/>
    <w:rPr>
      <w:sz w:val="24"/>
    </w:rPr>
  </w:style>
  <w:style w:type="paragraph" w:customStyle="1" w:styleId="Normal12a">
    <w:name w:val="Normal12a"/>
    <w:basedOn w:val="Normal"/>
    <w:rsid w:val="00D32578"/>
    <w:pPr>
      <w:spacing w:after="240"/>
    </w:pPr>
  </w:style>
  <w:style w:type="paragraph" w:styleId="FootnoteText">
    <w:name w:val="footnote text"/>
    <w:basedOn w:val="Normal"/>
    <w:link w:val="FootnoteTextChar"/>
    <w:uiPriority w:val="99"/>
    <w:rsid w:val="003241CA"/>
    <w:rPr>
      <w:sz w:val="20"/>
    </w:rPr>
  </w:style>
  <w:style w:type="character" w:customStyle="1" w:styleId="FootnoteTextChar">
    <w:name w:val="Footnote Text Char"/>
    <w:basedOn w:val="DefaultParagraphFont"/>
    <w:link w:val="FootnoteText"/>
    <w:uiPriority w:val="99"/>
    <w:rsid w:val="003241CA"/>
  </w:style>
  <w:style w:type="character" w:styleId="FootnoteReference">
    <w:name w:val="footnote reference"/>
    <w:basedOn w:val="DefaultParagraphFont"/>
    <w:uiPriority w:val="99"/>
    <w:rsid w:val="003241CA"/>
    <w:rPr>
      <w:vertAlign w:val="superscript"/>
    </w:rPr>
  </w:style>
  <w:style w:type="character" w:styleId="Hyperlink">
    <w:name w:val="Hyperlink"/>
    <w:basedOn w:val="DefaultParagraphFont"/>
    <w:uiPriority w:val="99"/>
    <w:unhideWhenUsed/>
    <w:rsid w:val="004C1F3F"/>
    <w:rPr>
      <w:color w:val="0563C1" w:themeColor="hyperlink"/>
      <w:u w:val="single"/>
    </w:rPr>
  </w:style>
  <w:style w:type="character" w:styleId="Emphasis">
    <w:name w:val="Emphasis"/>
    <w:basedOn w:val="DefaultParagraphFont"/>
    <w:uiPriority w:val="20"/>
    <w:qFormat/>
    <w:rsid w:val="0099331D"/>
    <w:rPr>
      <w:i/>
      <w:iCs/>
    </w:rPr>
  </w:style>
  <w:style w:type="paragraph" w:styleId="Footer">
    <w:name w:val="footer"/>
    <w:basedOn w:val="Normal"/>
    <w:link w:val="FooterChar"/>
    <w:semiHidden/>
    <w:rsid w:val="00E50F1A"/>
    <w:pPr>
      <w:tabs>
        <w:tab w:val="center" w:pos="4513"/>
        <w:tab w:val="right" w:pos="9026"/>
      </w:tabs>
    </w:pPr>
  </w:style>
  <w:style w:type="character" w:customStyle="1" w:styleId="FooterChar">
    <w:name w:val="Footer Char"/>
    <w:basedOn w:val="DefaultParagraphFont"/>
    <w:link w:val="Footer"/>
    <w:semiHidden/>
    <w:rsid w:val="00E50F1A"/>
    <w:rPr>
      <w:sz w:val="24"/>
    </w:rPr>
  </w:style>
  <w:style w:type="paragraph" w:customStyle="1" w:styleId="Normal24a">
    <w:name w:val="Normal24a"/>
    <w:basedOn w:val="Normal"/>
    <w:rsid w:val="004F288D"/>
    <w:pPr>
      <w:spacing w:after="480"/>
    </w:pPr>
  </w:style>
  <w:style w:type="paragraph" w:customStyle="1" w:styleId="NormalBoldCenter">
    <w:name w:val="NormalBoldCenter"/>
    <w:basedOn w:val="Normal"/>
    <w:rsid w:val="004F288D"/>
    <w:pPr>
      <w:jc w:val="center"/>
    </w:pPr>
    <w:rPr>
      <w:b/>
    </w:rPr>
  </w:style>
  <w:style w:type="paragraph" w:customStyle="1" w:styleId="Footprint12b">
    <w:name w:val="Footprint12b"/>
    <w:basedOn w:val="Normal"/>
    <w:rsid w:val="004F288D"/>
    <w:pPr>
      <w:spacing w:before="240"/>
    </w:pPr>
    <w:rPr>
      <w:szCs w:val="24"/>
    </w:rPr>
  </w:style>
  <w:style w:type="paragraph" w:customStyle="1" w:styleId="NormalSingle">
    <w:name w:val="NormalSingle"/>
    <w:basedOn w:val="Normal"/>
    <w:qFormat/>
    <w:rsid w:val="004F288D"/>
    <w:rPr>
      <w:szCs w:val="24"/>
    </w:rPr>
  </w:style>
  <w:style w:type="character" w:customStyle="1" w:styleId="UnresolvedMention">
    <w:name w:val="Unresolved Mention"/>
    <w:basedOn w:val="DefaultParagraphFont"/>
    <w:uiPriority w:val="99"/>
    <w:semiHidden/>
    <w:unhideWhenUsed/>
    <w:rsid w:val="004F288D"/>
    <w:rPr>
      <w:color w:val="605E5C"/>
      <w:shd w:val="clear" w:color="auto" w:fill="E1DFDD"/>
    </w:rPr>
  </w:style>
  <w:style w:type="paragraph" w:styleId="Revision">
    <w:name w:val="Revision"/>
    <w:hidden/>
    <w:uiPriority w:val="99"/>
    <w:semiHidden/>
    <w:rsid w:val="0028405C"/>
    <w:rPr>
      <w:sz w:val="24"/>
    </w:rPr>
  </w:style>
  <w:style w:type="character" w:styleId="FollowedHyperlink">
    <w:name w:val="FollowedHyperlink"/>
    <w:basedOn w:val="DefaultParagraphFont"/>
    <w:rsid w:val="00EA1EB9"/>
    <w:rPr>
      <w:color w:val="954F72" w:themeColor="followedHyperlink"/>
      <w:u w:val="single"/>
    </w:rPr>
  </w:style>
  <w:style w:type="character" w:styleId="CommentReference">
    <w:name w:val="annotation reference"/>
    <w:basedOn w:val="DefaultParagraphFont"/>
    <w:rsid w:val="0088037D"/>
    <w:rPr>
      <w:sz w:val="16"/>
      <w:szCs w:val="16"/>
    </w:rPr>
  </w:style>
  <w:style w:type="paragraph" w:styleId="CommentText">
    <w:name w:val="annotation text"/>
    <w:basedOn w:val="Normal"/>
    <w:link w:val="CommentTextChar"/>
    <w:rsid w:val="0088037D"/>
    <w:rPr>
      <w:sz w:val="20"/>
    </w:rPr>
  </w:style>
  <w:style w:type="character" w:customStyle="1" w:styleId="CommentTextChar">
    <w:name w:val="Comment Text Char"/>
    <w:basedOn w:val="DefaultParagraphFont"/>
    <w:link w:val="CommentText"/>
    <w:rsid w:val="0088037D"/>
  </w:style>
  <w:style w:type="paragraph" w:styleId="CommentSubject">
    <w:name w:val="annotation subject"/>
    <w:basedOn w:val="CommentText"/>
    <w:next w:val="CommentText"/>
    <w:link w:val="CommentSubjectChar"/>
    <w:semiHidden/>
    <w:unhideWhenUsed/>
    <w:rsid w:val="0088037D"/>
    <w:rPr>
      <w:b/>
      <w:bCs/>
    </w:rPr>
  </w:style>
  <w:style w:type="character" w:customStyle="1" w:styleId="CommentSubjectChar">
    <w:name w:val="Comment Subject Char"/>
    <w:basedOn w:val="CommentTextChar"/>
    <w:link w:val="CommentSubject"/>
    <w:semiHidden/>
    <w:rsid w:val="0088037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yperlink" Target="https://www.europarl.europa.eu/data-protect/index.do" TargetMode="Externa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agree_internation/2011/265/oj" TargetMode="External" /><Relationship Id="rId2"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BEB72E-7E2F-4AC5-A627-9E8628EB3A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2696</Words>
  <Characters>15450</Characters>
  <Application>Microsoft Office Word</Application>
  <DocSecurity>0</DocSecurity>
  <Lines>280</Lines>
  <Paragraphs>103</Paragraphs>
  <ScaleCrop>false</ScaleCrop>
  <HeadingPairs>
    <vt:vector size="2" baseType="variant">
      <vt:variant>
        <vt:lpstr>Title</vt:lpstr>
      </vt:variant>
      <vt:variant>
        <vt:i4>1</vt:i4>
      </vt:variant>
    </vt:vector>
  </HeadingPairs>
  <TitlesOfParts>
    <vt:vector size="1" baseType="lpstr">
      <vt:lpstr>PR_Consent_Motion</vt:lpstr>
    </vt:vector>
  </TitlesOfParts>
  <Company/>
  <LinksUpToDate>false</LinksUpToDate>
  <CharactersWithSpaces>18043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PR_Consent_Motion</dc:title>
  <dc:creator>European Parliament</dc:creator>
  <cp:lastModifiedBy>European Parliament</cp:lastModifiedBy>
  <cp:revision>2</cp:revision>
  <cp:lastPrinted>2002-12-11T09:25:00Z</cp:lastPrinted>
  <dcterms:created xsi:type="dcterms:W3CDTF">2026-09-17T13:42:00Z</dcterms:created>
  <dcterms:modified xsi:type="dcterms:W3CDTF">2026-09-17T13:42:00Z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1350458</vt:lpwstr>
  </property>
  <property fmtid="{D5CDD505-2E9C-101B-9397-08002B2CF9AE}" pid="4" name="&lt;Model&gt;">
    <vt:lpwstr>PR_Consent_Motion</vt:lpwstr>
  </property>
  <property fmtid="{D5CDD505-2E9C-101B-9397-08002B2CF9AE}" pid="5" name="&lt;ModelCod&gt;">
    <vt:lpwstr>\\eiciBRUpr1\pdocep$\DocEP\DOCS\General\PR\PR_NonLeg\Other\PR_Consent_Motion.dotx(12/08/2024 17:16:00)</vt:lpwstr>
  </property>
  <property fmtid="{D5CDD505-2E9C-101B-9397-08002B2CF9AE}" pid="6" name="&lt;ModelTra&gt;">
    <vt:lpwstr>\\eiciBRUpr1\pdocep$\DocEP\TRANSFIL\EN\PR_Consent_Motion.EN(04/03/2026 07:56:04)</vt:lpwstr>
  </property>
  <property fmtid="{D5CDD505-2E9C-101B-9397-08002B2CF9AE}" pid="7" name="&lt;Type&gt;">
    <vt:lpwstr>PR</vt:lpwstr>
  </property>
  <property fmtid="{D5CDD505-2E9C-101B-9397-08002B2CF9AE}" pid="8" name="Bookout">
    <vt:lpwstr>OK - 2026/09/17 15:42</vt:lpwstr>
  </property>
  <property fmtid="{D5CDD505-2E9C-101B-9397-08002B2CF9AE}" pid="9" name="Created with">
    <vt:lpwstr>10.3.1 Build [20260701]</vt:lpwstr>
  </property>
  <property fmtid="{D5CDD505-2E9C-101B-9397-08002B2CF9AE}" pid="10" name="FooterPath">
    <vt:lpwstr>PR\1350458EN.docx</vt:lpwstr>
  </property>
  <property fmtid="{D5CDD505-2E9C-101B-9397-08002B2CF9AE}" pid="11" name="LastEdited with">
    <vt:lpwstr>10.3.1 Build [20260902]</vt:lpwstr>
  </property>
  <property fmtid="{D5CDD505-2E9C-101B-9397-08002B2CF9AE}" pid="12" name="PE number">
    <vt:lpwstr>792.145</vt:lpwstr>
  </property>
  <property fmtid="{D5CDD505-2E9C-101B-9397-08002B2CF9AE}" pid="13" name="RegistreCheck">
    <vt:lpwstr>OK</vt:lpwstr>
  </property>
  <property fmtid="{D5CDD505-2E9C-101B-9397-08002B2CF9AE}" pid="14" name="SendToEpades">
    <vt:lpwstr>OK - 2026/09/15 11:59</vt:lpwstr>
  </property>
</Properties>
</file>