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B0AEA" w:rsidRPr="00C07AC4" w14:paraId="48E5693A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806EAA" w14:textId="77777777" w:rsidR="000B0AEA" w:rsidRPr="00C07AC4" w:rsidRDefault="005D4E25" w:rsidP="00873F47">
            <w:pPr>
              <w:pStyle w:val="EPName"/>
              <w:spacing w:before="0" w:after="240"/>
            </w:pPr>
            <w:r w:rsidRPr="00C07AC4">
              <w:t>Evropský parlament</w:t>
            </w:r>
          </w:p>
          <w:p w14:paraId="0322530B" w14:textId="77777777" w:rsidR="000B0AEA" w:rsidRPr="00C07AC4" w:rsidRDefault="00864CA1" w:rsidP="00873F47">
            <w:pPr>
              <w:pStyle w:val="EPTerm"/>
              <w:spacing w:after="240"/>
            </w:pPr>
            <w:r w:rsidRPr="00C07AC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6D873F5" w14:textId="77777777" w:rsidR="000B0AEA" w:rsidRPr="00C07AC4" w:rsidRDefault="000B0AEA" w:rsidP="00873F47">
            <w:pPr>
              <w:pStyle w:val="EPLogo"/>
              <w:spacing w:after="240"/>
            </w:pPr>
            <w:r w:rsidRPr="00C07AC4">
              <w:rPr>
                <w:noProof/>
                <w:lang w:val="en-GB"/>
              </w:rPr>
              <w:drawing>
                <wp:inline distT="0" distB="0" distL="0" distR="0" wp14:anchorId="47963BBF" wp14:editId="697EDE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BD5745" w14:textId="77777777" w:rsidR="003935E2" w:rsidRPr="00F84C38" w:rsidRDefault="003935E2" w:rsidP="003935E2">
      <w:pPr>
        <w:pStyle w:val="LineTop"/>
      </w:pPr>
      <w:bookmarkStart w:id="0" w:name="_GoBack"/>
      <w:bookmarkEnd w:id="0"/>
    </w:p>
    <w:p w14:paraId="72C9D1F9" w14:textId="0AD25CB4" w:rsidR="003935E2" w:rsidRPr="00F84C38" w:rsidRDefault="003935E2" w:rsidP="003935E2">
      <w:pPr>
        <w:pStyle w:val="EPBody"/>
      </w:pPr>
      <w:r w:rsidRPr="00F84C38">
        <w:rPr>
          <w:rStyle w:val="HideTWBExt"/>
        </w:rPr>
        <w:t>&lt;</w:t>
      </w:r>
      <w:r w:rsidRPr="00F84C38">
        <w:rPr>
          <w:rStyle w:val="HideTWBExt"/>
          <w:i w:val="0"/>
        </w:rPr>
        <w:t>Commission</w:t>
      </w:r>
      <w:r w:rsidRPr="00F84C38">
        <w:rPr>
          <w:rStyle w:val="HideTWBExt"/>
        </w:rPr>
        <w:t>&gt;</w:t>
      </w:r>
      <w:r w:rsidRPr="00F84C38">
        <w:rPr>
          <w:rStyle w:val="HideTWBInt"/>
        </w:rPr>
        <w:t>{INTA}</w:t>
      </w:r>
      <w:r w:rsidRPr="00F84C38">
        <w:t xml:space="preserve">Výbor pro </w:t>
      </w:r>
      <w:r>
        <w:t>právní záležitosti</w:t>
      </w:r>
      <w:r w:rsidRPr="00F84C38">
        <w:rPr>
          <w:rStyle w:val="HideTWBExt"/>
        </w:rPr>
        <w:t>&lt;/</w:t>
      </w:r>
      <w:r w:rsidRPr="00F84C38">
        <w:rPr>
          <w:rStyle w:val="HideTWBExt"/>
          <w:i w:val="0"/>
        </w:rPr>
        <w:t>Commission</w:t>
      </w:r>
      <w:r w:rsidRPr="00F84C38">
        <w:rPr>
          <w:rStyle w:val="HideTWBExt"/>
        </w:rPr>
        <w:t>&gt;</w:t>
      </w:r>
    </w:p>
    <w:p w14:paraId="43892A7A" w14:textId="77777777" w:rsidR="003935E2" w:rsidRPr="00F84C38" w:rsidRDefault="003935E2" w:rsidP="003935E2">
      <w:pPr>
        <w:pStyle w:val="LineBottom"/>
      </w:pPr>
    </w:p>
    <w:p w14:paraId="41AA2DF8" w14:textId="77777777" w:rsidR="00C07AC4" w:rsidRPr="00C07AC4" w:rsidRDefault="00C07AC4" w:rsidP="00873F47">
      <w:pPr>
        <w:pStyle w:val="CoverReference"/>
        <w:spacing w:before="0" w:after="240"/>
        <w:rPr>
          <w:rStyle w:val="HideTWBExt"/>
          <w:b w:val="0"/>
          <w:vanish w:val="0"/>
        </w:rPr>
      </w:pPr>
    </w:p>
    <w:p w14:paraId="073049E7" w14:textId="60413C10" w:rsidR="009E6E1A" w:rsidRPr="00C07AC4" w:rsidRDefault="009E6E1A" w:rsidP="00873F47">
      <w:pPr>
        <w:pStyle w:val="CoverReference"/>
        <w:spacing w:before="0" w:after="240"/>
      </w:pPr>
      <w:r w:rsidRPr="00C07AC4">
        <w:rPr>
          <w:rStyle w:val="HideTWBExt"/>
          <w:b w:val="0"/>
        </w:rPr>
        <w:t>&lt;RefProc&gt;</w:t>
      </w:r>
      <w:r w:rsidRPr="00C07AC4">
        <w:t>2021/2161</w:t>
      </w:r>
      <w:r w:rsidRPr="00C07AC4">
        <w:rPr>
          <w:rStyle w:val="HideTWBExt"/>
          <w:b w:val="0"/>
        </w:rPr>
        <w:t>&lt;/RefProc&gt;&lt;RefTypeProc&gt;</w:t>
      </w:r>
      <w:r w:rsidRPr="00C07AC4">
        <w:t>(INL)</w:t>
      </w:r>
      <w:r w:rsidRPr="00C07AC4">
        <w:rPr>
          <w:rStyle w:val="HideTWBExt"/>
          <w:b w:val="0"/>
        </w:rPr>
        <w:t>&lt;/RefTypeProc&gt;</w:t>
      </w:r>
    </w:p>
    <w:p w14:paraId="628FD08C" w14:textId="77777777" w:rsidR="009E6E1A" w:rsidRPr="00C07AC4" w:rsidRDefault="009E6E1A" w:rsidP="00873F47">
      <w:pPr>
        <w:pStyle w:val="CoverDate"/>
        <w:spacing w:before="0" w:after="240"/>
      </w:pPr>
      <w:r w:rsidRPr="00C07AC4">
        <w:rPr>
          <w:rStyle w:val="HideTWBExt"/>
        </w:rPr>
        <w:t>&lt;Date&gt;</w:t>
      </w:r>
      <w:r w:rsidRPr="00C07AC4">
        <w:rPr>
          <w:rStyle w:val="HideTWBInt"/>
        </w:rPr>
        <w:t>{09/06/2023}</w:t>
      </w:r>
      <w:r w:rsidRPr="00C07AC4">
        <w:t>9.6.2023</w:t>
      </w:r>
      <w:r w:rsidRPr="00C07AC4">
        <w:rPr>
          <w:rStyle w:val="HideTWBExt"/>
        </w:rPr>
        <w:t>&lt;/Date&gt;</w:t>
      </w:r>
    </w:p>
    <w:p w14:paraId="42407C73" w14:textId="77777777" w:rsidR="00721690" w:rsidRPr="00C07AC4" w:rsidRDefault="00721690" w:rsidP="00721690">
      <w:pPr>
        <w:pStyle w:val="CoverDate"/>
        <w:spacing w:before="0" w:after="0"/>
      </w:pPr>
    </w:p>
    <w:p w14:paraId="3EF32FB4" w14:textId="77777777" w:rsidR="00721690" w:rsidRPr="00C07AC4" w:rsidRDefault="00721690" w:rsidP="00721690">
      <w:pPr>
        <w:pStyle w:val="CoverDate"/>
        <w:spacing w:before="0" w:after="0"/>
      </w:pPr>
    </w:p>
    <w:p w14:paraId="1279E3C3" w14:textId="77777777" w:rsidR="00721690" w:rsidRPr="00C07AC4" w:rsidRDefault="00721690" w:rsidP="00721690">
      <w:pPr>
        <w:pStyle w:val="CoverDate"/>
        <w:spacing w:before="0" w:after="0"/>
      </w:pPr>
    </w:p>
    <w:p w14:paraId="69235B5F" w14:textId="77777777" w:rsidR="00721690" w:rsidRPr="00C07AC4" w:rsidRDefault="00721690" w:rsidP="00721690">
      <w:pPr>
        <w:pStyle w:val="CoverDate"/>
        <w:spacing w:before="0" w:after="0"/>
      </w:pPr>
    </w:p>
    <w:p w14:paraId="0C7539CF" w14:textId="77777777" w:rsidR="009E6E1A" w:rsidRPr="00C07AC4" w:rsidRDefault="009E6E1A" w:rsidP="00873F47">
      <w:pPr>
        <w:pStyle w:val="CoverDocType24a"/>
        <w:spacing w:after="240"/>
      </w:pPr>
      <w:r w:rsidRPr="00C07AC4">
        <w:rPr>
          <w:rStyle w:val="HideTWBExt"/>
          <w:b w:val="0"/>
        </w:rPr>
        <w:t>&lt;TitreType&gt;</w:t>
      </w:r>
      <w:r w:rsidRPr="00C07AC4">
        <w:t>NÁVRH ZPRÁVY</w:t>
      </w:r>
      <w:r w:rsidRPr="00C07AC4">
        <w:rPr>
          <w:rStyle w:val="HideTWBExt"/>
          <w:b w:val="0"/>
        </w:rPr>
        <w:t>&lt;/TitreType&gt;</w:t>
      </w:r>
    </w:p>
    <w:p w14:paraId="08377C11" w14:textId="77777777" w:rsidR="009E6E1A" w:rsidRPr="00C07AC4" w:rsidRDefault="009E6E1A" w:rsidP="00721690">
      <w:pPr>
        <w:pStyle w:val="CoverNormal"/>
      </w:pPr>
      <w:r w:rsidRPr="00C07AC4">
        <w:rPr>
          <w:rStyle w:val="HideTWBExt"/>
        </w:rPr>
        <w:t>&lt;Titre&gt;</w:t>
      </w:r>
      <w:r w:rsidRPr="00C07AC4">
        <w:t>obsahující doporučení Komisi o digitalizaci a správním právu</w:t>
      </w:r>
      <w:r w:rsidRPr="00C07AC4">
        <w:rPr>
          <w:rStyle w:val="HideTWBExt"/>
        </w:rPr>
        <w:t>&lt;/Titre&gt;</w:t>
      </w:r>
    </w:p>
    <w:p w14:paraId="539F3EB0" w14:textId="77777777" w:rsidR="009E6E1A" w:rsidRPr="00C07AC4" w:rsidRDefault="009E6E1A" w:rsidP="00721690">
      <w:pPr>
        <w:pStyle w:val="CoverNormal24a"/>
        <w:spacing w:after="240"/>
        <w:ind w:left="1418"/>
      </w:pPr>
      <w:r w:rsidRPr="00C07AC4">
        <w:rPr>
          <w:rStyle w:val="HideTWBExt"/>
        </w:rPr>
        <w:t>&lt;DocRef&gt;</w:t>
      </w:r>
      <w:r w:rsidRPr="00C07AC4">
        <w:t>(2021/2161(INL))</w:t>
      </w:r>
      <w:r w:rsidRPr="00C07AC4">
        <w:rPr>
          <w:rStyle w:val="HideTWBExt"/>
        </w:rPr>
        <w:t>&lt;/DocRef&gt;</w:t>
      </w:r>
    </w:p>
    <w:p w14:paraId="1F34CDB7" w14:textId="77777777" w:rsidR="00721690" w:rsidRPr="00C07AC4" w:rsidRDefault="00721690" w:rsidP="00721690">
      <w:pPr>
        <w:pStyle w:val="CoverNormal24a"/>
        <w:spacing w:after="0"/>
        <w:ind w:left="1418"/>
      </w:pPr>
    </w:p>
    <w:p w14:paraId="47C4AEE9" w14:textId="77777777" w:rsidR="00721690" w:rsidRPr="00C07AC4" w:rsidRDefault="00721690" w:rsidP="00721690">
      <w:pPr>
        <w:pStyle w:val="CoverNormal24a"/>
        <w:spacing w:after="0"/>
        <w:ind w:left="1418"/>
      </w:pPr>
    </w:p>
    <w:p w14:paraId="5F76FAC8" w14:textId="77777777" w:rsidR="009E6E1A" w:rsidRPr="00C07AC4" w:rsidRDefault="009E6E1A" w:rsidP="00873F47">
      <w:pPr>
        <w:pStyle w:val="CoverNormal24a"/>
        <w:spacing w:after="240"/>
      </w:pPr>
      <w:r w:rsidRPr="00C07AC4">
        <w:rPr>
          <w:rStyle w:val="HideTWBExt"/>
        </w:rPr>
        <w:t>&lt;Commission&gt;</w:t>
      </w:r>
      <w:r w:rsidRPr="00C07AC4">
        <w:rPr>
          <w:rStyle w:val="HideTWBInt"/>
        </w:rPr>
        <w:t>{JURI}</w:t>
      </w:r>
      <w:r w:rsidRPr="00C07AC4">
        <w:t>Výbor pro právní záležitosti</w:t>
      </w:r>
      <w:r w:rsidRPr="00C07AC4">
        <w:rPr>
          <w:rStyle w:val="HideTWBExt"/>
        </w:rPr>
        <w:t>&lt;/Commission&gt;</w:t>
      </w:r>
    </w:p>
    <w:p w14:paraId="727FB833" w14:textId="77777777" w:rsidR="00721690" w:rsidRPr="00C07AC4" w:rsidRDefault="00721690" w:rsidP="00721690">
      <w:pPr>
        <w:pStyle w:val="CoverNormal24a"/>
        <w:spacing w:after="0"/>
        <w:ind w:left="1418"/>
      </w:pPr>
    </w:p>
    <w:p w14:paraId="28CA6BCC" w14:textId="77777777" w:rsidR="00721690" w:rsidRPr="00C07AC4" w:rsidRDefault="00721690" w:rsidP="00721690">
      <w:pPr>
        <w:pStyle w:val="CoverNormal24a"/>
        <w:spacing w:after="0"/>
        <w:ind w:left="1418"/>
      </w:pPr>
    </w:p>
    <w:p w14:paraId="789640E8" w14:textId="77777777" w:rsidR="009E6E1A" w:rsidRPr="00C07AC4" w:rsidRDefault="005D4E25" w:rsidP="00873F47">
      <w:pPr>
        <w:pStyle w:val="CoverNormal24a"/>
        <w:spacing w:after="240"/>
        <w:rPr>
          <w:rStyle w:val="HideTWBExt"/>
        </w:rPr>
      </w:pPr>
      <w:r w:rsidRPr="00C07AC4">
        <w:t xml:space="preserve">Zpravodajka: </w:t>
      </w:r>
      <w:r w:rsidRPr="00C07AC4">
        <w:rPr>
          <w:rStyle w:val="HideTWBExt"/>
        </w:rPr>
        <w:t>&lt;Depute&gt;</w:t>
      </w:r>
      <w:r w:rsidRPr="00C07AC4">
        <w:t>Karen Melchior</w:t>
      </w:r>
      <w:r w:rsidRPr="00C07AC4">
        <w:rPr>
          <w:rStyle w:val="HideTWBExt"/>
        </w:rPr>
        <w:t>&lt;/Depute&gt;</w:t>
      </w:r>
    </w:p>
    <w:p w14:paraId="3744EF48" w14:textId="77777777" w:rsidR="00721690" w:rsidRPr="00C07AC4" w:rsidRDefault="00721690" w:rsidP="00721690">
      <w:pPr>
        <w:pStyle w:val="CoverNormal24a"/>
        <w:spacing w:after="0"/>
        <w:ind w:left="1418"/>
      </w:pPr>
    </w:p>
    <w:p w14:paraId="6A9C5F51" w14:textId="77777777" w:rsidR="009E6E1A" w:rsidRPr="00C07AC4" w:rsidRDefault="005D4E25" w:rsidP="00873F47">
      <w:pPr>
        <w:pStyle w:val="CoverNormal12a"/>
      </w:pPr>
      <w:r w:rsidRPr="00C07AC4">
        <w:t>(Podnět – článek 47 jednacího řádu)</w:t>
      </w:r>
    </w:p>
    <w:p w14:paraId="0C018F2E" w14:textId="77777777" w:rsidR="001A502C" w:rsidRPr="00C07AC4" w:rsidRDefault="001A502C" w:rsidP="00873F47">
      <w:pPr>
        <w:pStyle w:val="CoverNormal"/>
        <w:spacing w:after="240"/>
      </w:pPr>
    </w:p>
    <w:p w14:paraId="32DE88A4" w14:textId="77777777" w:rsidR="009E6E1A" w:rsidRPr="00C07AC4" w:rsidRDefault="009E6E1A" w:rsidP="00873F47">
      <w:pPr>
        <w:widowControl/>
        <w:tabs>
          <w:tab w:val="center" w:pos="4677"/>
        </w:tabs>
        <w:spacing w:after="240"/>
      </w:pPr>
      <w:r w:rsidRPr="00C07AC4">
        <w:br w:type="page"/>
      </w:r>
      <w:r w:rsidRPr="00C07AC4">
        <w:lastRenderedPageBreak/>
        <w:t>PR_INL</w:t>
      </w:r>
    </w:p>
    <w:p w14:paraId="1E2CC682" w14:textId="77777777" w:rsidR="009E6E1A" w:rsidRPr="00C07AC4" w:rsidRDefault="005D4E25" w:rsidP="00873F47">
      <w:pPr>
        <w:pStyle w:val="TOCHeading"/>
        <w:spacing w:before="0"/>
      </w:pPr>
      <w:r w:rsidRPr="00C07AC4">
        <w:t>OBSAH</w:t>
      </w:r>
    </w:p>
    <w:p w14:paraId="36C83548" w14:textId="77777777" w:rsidR="009E6E1A" w:rsidRPr="00C07AC4" w:rsidRDefault="005D4E25" w:rsidP="00873F47">
      <w:pPr>
        <w:pStyle w:val="TOCPage"/>
      </w:pPr>
      <w:r w:rsidRPr="00C07AC4">
        <w:t>Strana</w:t>
      </w:r>
    </w:p>
    <w:p w14:paraId="2F10D7AA" w14:textId="33EC60C7" w:rsidR="003935E2" w:rsidRDefault="009E6E1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C07AC4">
        <w:fldChar w:fldCharType="begin"/>
      </w:r>
      <w:r w:rsidRPr="00C07AC4">
        <w:instrText xml:space="preserve"> TOC \t "PageHeading</w:instrText>
      </w:r>
      <w:r w:rsidR="00F25FD5" w:rsidRPr="00C07AC4">
        <w:instrText>;</w:instrText>
      </w:r>
      <w:r w:rsidRPr="00C07AC4">
        <w:instrText xml:space="preserve">1" </w:instrText>
      </w:r>
      <w:r w:rsidRPr="00C07AC4">
        <w:fldChar w:fldCharType="separate"/>
      </w:r>
      <w:r w:rsidR="003935E2">
        <w:rPr>
          <w:noProof/>
        </w:rPr>
        <w:t>NÁVRH USNESENÍ EVROPSKÉHO PARLAMENTU</w:t>
      </w:r>
      <w:r w:rsidR="003935E2">
        <w:rPr>
          <w:noProof/>
        </w:rPr>
        <w:tab/>
      </w:r>
      <w:r w:rsidR="003935E2">
        <w:rPr>
          <w:noProof/>
        </w:rPr>
        <w:fldChar w:fldCharType="begin"/>
      </w:r>
      <w:r w:rsidR="003935E2">
        <w:rPr>
          <w:noProof/>
        </w:rPr>
        <w:instrText xml:space="preserve"> PAGEREF _Toc138345687 \h </w:instrText>
      </w:r>
      <w:r w:rsidR="003935E2">
        <w:rPr>
          <w:noProof/>
        </w:rPr>
      </w:r>
      <w:r w:rsidR="003935E2">
        <w:rPr>
          <w:noProof/>
        </w:rPr>
        <w:fldChar w:fldCharType="separate"/>
      </w:r>
      <w:r w:rsidR="003935E2">
        <w:rPr>
          <w:noProof/>
        </w:rPr>
        <w:t>3</w:t>
      </w:r>
      <w:r w:rsidR="003935E2">
        <w:rPr>
          <w:noProof/>
        </w:rPr>
        <w:fldChar w:fldCharType="end"/>
      </w:r>
    </w:p>
    <w:p w14:paraId="342E6AB4" w14:textId="37B9D8B4" w:rsidR="003935E2" w:rsidRDefault="003935E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PŘÍLOHA K NÁVRHU USNESENÍ: DOPORUČENÍ TÝKAJÍCÍ SE OBSAHU POŽADOVANÉHO NÁVRHU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_Toc138345688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14:paraId="10A52DA0" w14:textId="6DBAB724" w:rsidR="001A502C" w:rsidRPr="00C07AC4" w:rsidRDefault="009E6E1A" w:rsidP="00873F47">
      <w:r w:rsidRPr="00C07AC4">
        <w:fldChar w:fldCharType="end"/>
      </w:r>
    </w:p>
    <w:p w14:paraId="2BD41AAF" w14:textId="77777777" w:rsidR="009E6E1A" w:rsidRPr="00C07AC4" w:rsidRDefault="009E6E1A" w:rsidP="00873F47">
      <w:pPr>
        <w:pStyle w:val="PageHeading"/>
        <w:spacing w:after="240"/>
      </w:pPr>
      <w:r w:rsidRPr="00C07AC4">
        <w:br w:type="page"/>
      </w:r>
      <w:bookmarkStart w:id="1" w:name="_Toc138345687"/>
      <w:r w:rsidRPr="00C07AC4">
        <w:lastRenderedPageBreak/>
        <w:t>NÁVRH USNESENÍ EVROPSKÉHO PARLAMENTU</w:t>
      </w:r>
      <w:bookmarkEnd w:id="1"/>
    </w:p>
    <w:p w14:paraId="031070F6" w14:textId="77777777" w:rsidR="009E6E1A" w:rsidRPr="00C07AC4" w:rsidRDefault="005D4E25" w:rsidP="00565254">
      <w:pPr>
        <w:pStyle w:val="NormalBold"/>
      </w:pPr>
      <w:r w:rsidRPr="00C07AC4">
        <w:t>obsahující doporučení Komisi o digitalizaci a správním právu</w:t>
      </w:r>
    </w:p>
    <w:p w14:paraId="28CA487D" w14:textId="77777777" w:rsidR="009E6E1A" w:rsidRPr="00C07AC4" w:rsidRDefault="005D4E25" w:rsidP="00873F47">
      <w:pPr>
        <w:pStyle w:val="NormalBold"/>
        <w:spacing w:after="240"/>
      </w:pPr>
      <w:r w:rsidRPr="00C07AC4">
        <w:t>(2021/2161(INL))</w:t>
      </w:r>
    </w:p>
    <w:p w14:paraId="734BA2F3" w14:textId="77777777" w:rsidR="009E6E1A" w:rsidRPr="00C07AC4" w:rsidRDefault="005D4E25" w:rsidP="00873F47">
      <w:pPr>
        <w:pStyle w:val="EPComma"/>
        <w:spacing w:before="0"/>
      </w:pPr>
      <w:r w:rsidRPr="00C07AC4">
        <w:rPr>
          <w:i/>
          <w:iCs/>
        </w:rPr>
        <w:t>Evropský parlament,</w:t>
      </w:r>
    </w:p>
    <w:p w14:paraId="37B73652" w14:textId="77777777" w:rsidR="00873F47" w:rsidRPr="00C07AC4" w:rsidRDefault="009E6E1A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t>–</w:t>
      </w:r>
      <w:r w:rsidRPr="00C07AC4">
        <w:tab/>
      </w:r>
      <w:r w:rsidRPr="00C07AC4">
        <w:rPr>
          <w:color w:val="000000"/>
        </w:rPr>
        <w:t>s ohledem na článek 225 Smlouvy o fungování Evropské unie,</w:t>
      </w:r>
    </w:p>
    <w:p w14:paraId="0AABACF4" w14:textId="77777777" w:rsidR="00873F47" w:rsidRPr="00C07AC4" w:rsidRDefault="00873F47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–</w:t>
      </w:r>
      <w:r w:rsidRPr="00C07AC4">
        <w:rPr>
          <w:color w:val="000000"/>
        </w:rPr>
        <w:tab/>
        <w:t>s ohledem na článek 298 Smlouvy o fungování Evropské unie,</w:t>
      </w:r>
    </w:p>
    <w:p w14:paraId="7716B2DA" w14:textId="77777777" w:rsidR="00873F47" w:rsidRPr="00C07AC4" w:rsidRDefault="00873F47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–</w:t>
      </w:r>
      <w:r w:rsidRPr="00C07AC4">
        <w:rPr>
          <w:color w:val="000000"/>
        </w:rPr>
        <w:tab/>
        <w:t>s ohledem na článek 41 Listiny základních práv Evropské unie, který stanoví, že právo na řádnou správu je základním právem,</w:t>
      </w:r>
    </w:p>
    <w:p w14:paraId="3CD84776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společné prohlášení Evropského parlamentu, Rady a Komise o evropském prohlášení o digitálních právech a zásadách pro digitální dekádu ze dne 15. prosince 2022,</w:t>
      </w:r>
    </w:p>
    <w:p w14:paraId="503A53DB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nařízení Evropského parlamentu a Rady (EU) 2018/1725 ze dne 23. října 2018 o ochraně fyzických osob v souvislosti se zpracováním osobních údajů orgány, institucemi a jinými subjekty Unie a o volném pohybu těchto údajů a o zrušení nařízení (ES) č. 45/2001 a rozhodnutí č. 1247/2002/ES</w:t>
      </w:r>
      <w:r w:rsidR="00873F47" w:rsidRPr="00C07AC4">
        <w:rPr>
          <w:color w:val="000000"/>
          <w:vertAlign w:val="superscript"/>
        </w:rPr>
        <w:footnoteReference w:id="1"/>
      </w:r>
      <w:r w:rsidRPr="00C07AC4">
        <w:rPr>
          <w:color w:val="000000"/>
        </w:rPr>
        <w:t>,</w:t>
      </w:r>
    </w:p>
    <w:p w14:paraId="68AFD82A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 ohledem na nařízení Evropského parlamentu a Rady (ES) č. 1049/2001 ze dne 30. května 2001 o přístupu veřejnosti k dokumentům Evropského parlamentu, Rady a Komise</w:t>
      </w:r>
      <w:r w:rsidR="00873F47" w:rsidRPr="00C07AC4">
        <w:rPr>
          <w:color w:val="000000"/>
          <w:vertAlign w:val="superscript"/>
        </w:rPr>
        <w:footnoteReference w:id="2"/>
      </w:r>
      <w:r w:rsidRPr="00C07AC4">
        <w:rPr>
          <w:color w:val="000000"/>
        </w:rPr>
        <w:t>,</w:t>
      </w:r>
    </w:p>
    <w:p w14:paraId="3D04BAC5" w14:textId="6ABBE7D5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 ohledem na návrh nařízení Evropského parlamentu a Rady o bezpečnosti informací v orgánech, institucích a jiných subjektech Unie (2022/0084(COD)),</w:t>
      </w:r>
    </w:p>
    <w:p w14:paraId="797DE68A" w14:textId="45B9C712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t>s ohledem na návrh nařízení Evropského parlamentu a Rady, kterým se stanoví opatření k zajištění vysoké společné úrovně kybernetické bezpečnosti v orgánech, institucích a jiných subjektech Unie (</w:t>
      </w:r>
      <w:r w:rsidRPr="00C07AC4">
        <w:rPr>
          <w:color w:val="333333"/>
        </w:rPr>
        <w:t>2022/0085(COD)</w:t>
      </w:r>
      <w:r w:rsidRPr="00C07AC4">
        <w:t>),</w:t>
      </w:r>
    </w:p>
    <w:p w14:paraId="6E022734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rozsáhlou judikaturu Soudního dvora Evropské unie, která uznává soubor obecných zásad správního práva, jež vycházejí z ústavních tradic členských států,</w:t>
      </w:r>
    </w:p>
    <w:p w14:paraId="63A6E575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sdělení Komise ze dne 26. ledna 2022 o Evropském prohlášení o digitálních právech a zásadách pro digitální dekádu (COM((2022) 27 final) a na doprovodný pracovní dokument útvarů Komise obsahující zprávu o konzultaci zúčastněných stran a činnostech v oblasti zapojení (SWD(2022) 14 final),</w:t>
      </w:r>
    </w:p>
    <w:p w14:paraId="14BDA52E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dokument „Digitální strategie Evropské komise: Digitální Komise nové generace“ ze dne 30. června 2022 (C(2022)4388),</w:t>
      </w:r>
    </w:p>
    <w:p w14:paraId="4A7689DC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 ohledem na své usnesení ze dne 6. září 2001 o zvláštní zprávě evropského veřejného ochránce práv pro Evropský parlament, která byla vypracována na základě šetření z vlastního podnětu zaměřeného na existenci kodexu řádné správní praxe v různých orgánech a institucích Společenství a jeho veřejnou dostupnost</w:t>
      </w:r>
      <w:r w:rsidR="00873F47" w:rsidRPr="00C07AC4">
        <w:rPr>
          <w:color w:val="000000"/>
          <w:vertAlign w:val="superscript"/>
        </w:rPr>
        <w:footnoteReference w:id="3"/>
      </w:r>
      <w:r w:rsidRPr="00C07AC4">
        <w:rPr>
          <w:color w:val="000000"/>
        </w:rPr>
        <w:t>,</w:t>
      </w:r>
    </w:p>
    <w:p w14:paraId="4093A6F2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 ohledem na rozhodnutí Komise 2000/633/ES, ESUO, Euratom ze dne 17. října 2000, kterým se mění její jednací řád připojením kodexu řádného úředního chování zaměstnanců Evropské komise v jejich vztazích s veřejností</w:t>
      </w:r>
      <w:r w:rsidR="00873F47" w:rsidRPr="00C07AC4">
        <w:rPr>
          <w:color w:val="000000"/>
          <w:vertAlign w:val="superscript"/>
        </w:rPr>
        <w:footnoteReference w:id="4"/>
      </w:r>
      <w:r w:rsidRPr="00C07AC4">
        <w:rPr>
          <w:color w:val="000000"/>
        </w:rPr>
        <w:t>,</w:t>
      </w:r>
    </w:p>
    <w:p w14:paraId="7B786C93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rozhodnutí generálního tajemníka Rady, vysokého představitele pro společnou zahraniční a bezpečnostní politiku ze dne 25. června 2001 o kodexu řádného úředního chování Generálního sekretariátu Rady Evropské unie a jeho zaměstnanců v jejich profesionálních vztazích s veřejností</w:t>
      </w:r>
      <w:r w:rsidR="00873F47" w:rsidRPr="00C07AC4">
        <w:rPr>
          <w:color w:val="000000"/>
          <w:vertAlign w:val="superscript"/>
        </w:rPr>
        <w:footnoteReference w:id="5"/>
      </w:r>
      <w:r w:rsidRPr="00C07AC4">
        <w:rPr>
          <w:color w:val="000000"/>
        </w:rPr>
        <w:t>,</w:t>
      </w:r>
    </w:p>
    <w:p w14:paraId="55EA3B5D" w14:textId="77777777" w:rsidR="00873F47" w:rsidRPr="00C07AC4" w:rsidRDefault="00F25FD5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 ohledem na doporučení Výboru ministrů Rady Evropy CM/Rec(2007)7 ze dne 20. června 2007 o řádné správě určené členským státům,</w:t>
      </w:r>
    </w:p>
    <w:p w14:paraId="15F43149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 ohledem na „Zásady veřejné služby pro úředníky EU“ zveřejněné dne 19. června 2012 evropským ochráncem veřejných práv,</w:t>
      </w:r>
    </w:p>
    <w:p w14:paraId="54137078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po sobě jdoucí informativní přehledy o digitální veřejné správě týkající se členských států, které Komise zveřejňuje online,</w:t>
      </w:r>
    </w:p>
    <w:p w14:paraId="08CE9938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to, že v členských státech existují jak obecné akty o správním postupu, kterými jsou stanoveny základní zásady správního práva, tak právní předpisy specifické pro určitou oblast nebo odvětví,</w:t>
      </w:r>
    </w:p>
    <w:p w14:paraId="78D8A2DA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 ohledem na průzkum zadaný k vypracování švédskou vládou Státnímu úřadu pro veřejnou správu, jenž se věnoval zásadám řádné správy v členských státech Evropské unie,</w:t>
      </w:r>
    </w:p>
    <w:p w14:paraId="29EC772A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07AC4">
        <w:rPr>
          <w:rFonts w:ascii="Noto Sans Symbols" w:hAnsi="Noto Sans Symbols"/>
        </w:rPr>
        <w:t>−</w:t>
      </w:r>
      <w:r w:rsidRPr="00C07AC4">
        <w:rPr>
          <w:rFonts w:ascii="Noto Sans Symbols" w:hAnsi="Noto Sans Symbols"/>
        </w:rPr>
        <w:tab/>
      </w:r>
      <w:r w:rsidRPr="00C07AC4">
        <w:t>s ohledem na studii, kterou pro dánskou vládu vypracovala Dánská agentura pro digitalizaci (digitaliseringsstyrelsen) a která se týká zásad správného využívání základních údajů při zavádění digitalizovaných služeb veřejné správy,</w:t>
      </w:r>
    </w:p>
    <w:p w14:paraId="6FA4445F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07AC4">
        <w:rPr>
          <w:rFonts w:ascii="Noto Sans Symbols" w:hAnsi="Noto Sans Symbols"/>
        </w:rPr>
        <w:t>−</w:t>
      </w:r>
      <w:r w:rsidRPr="00C07AC4">
        <w:rPr>
          <w:rFonts w:ascii="Noto Sans Symbols" w:hAnsi="Noto Sans Symbols"/>
        </w:rPr>
        <w:tab/>
      </w:r>
      <w:r w:rsidRPr="00C07AC4">
        <w:t>s ohledem na zprávu Evropského právního institutu o modelových pravidlech pro posuzování dopadu systémů algoritmického rozhodování používaných ve veřejné správě z roku 2022</w:t>
      </w:r>
      <w:r w:rsidR="004027C0" w:rsidRPr="00C07AC4">
        <w:rPr>
          <w:rStyle w:val="FootnoteReference"/>
        </w:rPr>
        <w:footnoteReference w:id="6"/>
      </w:r>
      <w:r w:rsidRPr="00C07AC4">
        <w:t>,</w:t>
      </w:r>
    </w:p>
    <w:p w14:paraId="0BDFE09C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 ohledem na krátké zprávy předložené na konferenci o správním právu EU, kterou uspořádala tematická sekce Výboru EP pro právní záležitosti a univerzita v Leónu (v Leónu ve dnech 27.–28. dubna 2011)</w:t>
      </w:r>
      <w:r w:rsidR="00873F47" w:rsidRPr="00C07AC4">
        <w:rPr>
          <w:color w:val="000000"/>
          <w:vertAlign w:val="superscript"/>
        </w:rPr>
        <w:footnoteReference w:id="7"/>
      </w:r>
      <w:r w:rsidRPr="00C07AC4">
        <w:rPr>
          <w:color w:val="000000"/>
        </w:rPr>
        <w:t>,</w:t>
      </w:r>
    </w:p>
    <w:p w14:paraId="26B869F6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 ohledem na doporučení zahrnutá do pracovního dokumentu o současném stavu správního práva EU a jeho vyhlídkách do budoucna, který dne 22. listopadu 2011 předložila pracovní skupina pro správní právo EU Výboru pro právní záležitosti</w:t>
      </w:r>
      <w:r w:rsidR="00873F47" w:rsidRPr="00C07AC4">
        <w:rPr>
          <w:color w:val="000000"/>
          <w:vertAlign w:val="superscript"/>
        </w:rPr>
        <w:footnoteReference w:id="8"/>
      </w:r>
      <w:r w:rsidRPr="00C07AC4">
        <w:rPr>
          <w:color w:val="000000"/>
        </w:rPr>
        <w:t>,</w:t>
      </w:r>
    </w:p>
    <w:p w14:paraId="0BC5B911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posouzení evropské přidané hodnoty správního práva procesního Evropské unie, které dne 6. listopadu 2012 oddělení pro posuzování celoevropského přínosu předložilo Výboru pro právní záležitosti</w:t>
      </w:r>
      <w:r w:rsidR="00873F47" w:rsidRPr="00C07AC4">
        <w:rPr>
          <w:color w:val="000000"/>
          <w:vertAlign w:val="superscript"/>
        </w:rPr>
        <w:footnoteReference w:id="9"/>
      </w:r>
      <w:r w:rsidRPr="00C07AC4">
        <w:rPr>
          <w:color w:val="000000"/>
        </w:rPr>
        <w:t>,</w:t>
      </w:r>
    </w:p>
    <w:p w14:paraId="3B598B95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veřejnou konzultaci o obecných pravidlech pro otevřenou, efektivní a nezávislou evropskou správu a výslednou souhrnnou zprávu z července 2018, kterou oddělení pro posuzování celoevropského přínosu generálního ředitelství pro parlamentní výzkumné služby předložilo Výboru pro právní záležitosti dne 10. července 2018</w:t>
      </w:r>
      <w:r w:rsidR="00873F47" w:rsidRPr="00C07AC4">
        <w:rPr>
          <w:color w:val="000000"/>
          <w:vertAlign w:val="superscript"/>
        </w:rPr>
        <w:footnoteReference w:id="10"/>
      </w:r>
      <w:r w:rsidRPr="00C07AC4">
        <w:rPr>
          <w:color w:val="000000"/>
        </w:rPr>
        <w:t>,</w:t>
      </w:r>
    </w:p>
    <w:p w14:paraId="754C94C3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posouzení dopadů možných opatření na úrovni EU pro otevřenou, efektivní a nezávislou správu EU, které v červenci 2018 dokončilo Oddělení pro předběžné posuzování dopadů generálního ředitelství pro parlamentní výzkumné služby a které bylo předloženo Výboru pro právní záležitosti dne 10. července 2018</w:t>
      </w:r>
      <w:r w:rsidRPr="00C07AC4">
        <w:rPr>
          <w:rStyle w:val="FootnoteReference"/>
          <w:color w:val="000000"/>
        </w:rPr>
        <w:footnoteReference w:id="11"/>
      </w:r>
      <w:r w:rsidRPr="00C07AC4">
        <w:rPr>
          <w:color w:val="000000"/>
        </w:rPr>
        <w:t>,</w:t>
      </w:r>
    </w:p>
    <w:p w14:paraId="15F4018A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posouzení evropské přidané hodnoty v oblasti digitalizace a správního práva z roku 2022, které [dne 30. května 2023] oddělení pro posuzování celoevropského přínosu předložilo Výboru pro právní záležitosti</w:t>
      </w:r>
      <w:r w:rsidR="00873F47" w:rsidRPr="00C07AC4">
        <w:rPr>
          <w:color w:val="000000"/>
          <w:vertAlign w:val="superscript"/>
        </w:rPr>
        <w:footnoteReference w:id="12"/>
      </w:r>
      <w:r w:rsidRPr="00C07AC4">
        <w:rPr>
          <w:color w:val="000000"/>
        </w:rPr>
        <w:t xml:space="preserve">, </w:t>
      </w:r>
    </w:p>
    <w:p w14:paraId="4CEBD8FC" w14:textId="77777777" w:rsidR="00873F47" w:rsidRPr="00C07AC4" w:rsidRDefault="00873F47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–</w:t>
      </w:r>
      <w:r w:rsidRPr="00C07AC4">
        <w:rPr>
          <w:color w:val="000000"/>
        </w:rPr>
        <w:tab/>
        <w:t>s ohledem na své usnesení ze dne 15. ledna 2013 obsahující doporučení Komisi o správním právu procesním Evropské unie</w:t>
      </w:r>
      <w:r w:rsidRPr="00C07AC4">
        <w:rPr>
          <w:color w:val="000000"/>
          <w:vertAlign w:val="superscript"/>
        </w:rPr>
        <w:footnoteReference w:id="13"/>
      </w:r>
      <w:r w:rsidRPr="00C07AC4">
        <w:rPr>
          <w:color w:val="000000"/>
        </w:rPr>
        <w:t>,</w:t>
      </w:r>
    </w:p>
    <w:p w14:paraId="0EF00AD3" w14:textId="77777777" w:rsidR="00873F47" w:rsidRPr="00C07AC4" w:rsidRDefault="00873F47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–</w:t>
      </w:r>
      <w:r w:rsidRPr="00C07AC4">
        <w:rPr>
          <w:color w:val="000000"/>
        </w:rPr>
        <w:tab/>
        <w:t>s ohledem na své usnesení ze dne 9. června 2016 o otevřené, efektivní a nezávislé správě Evropské unie a na návrh nařízení Evropského parlamentu a Rady o otevřené, efektivní a nezávislé správě Evropské unie</w:t>
      </w:r>
      <w:r w:rsidRPr="00C07AC4">
        <w:rPr>
          <w:color w:val="000000"/>
          <w:vertAlign w:val="superscript"/>
        </w:rPr>
        <w:footnoteReference w:id="14"/>
      </w:r>
      <w:r w:rsidRPr="00C07AC4">
        <w:rPr>
          <w:color w:val="000000"/>
        </w:rPr>
        <w:t>,</w:t>
      </w:r>
    </w:p>
    <w:p w14:paraId="29DBFAE0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své usnesení ze dne 26. října 2017 o kontrole uplatňování práva EU (2015) (2017/2011(INI)),</w:t>
      </w:r>
    </w:p>
    <w:p w14:paraId="77341C05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t>s ohledem na své usnesení ze dne 7. července 2022 o zlepšování právní úpravy: společně v zájmu lepší tvorby právních předpisů (2021/2166(INI))</w:t>
      </w:r>
    </w:p>
    <w:p w14:paraId="2523D1F2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t>s ohledem na své usnesení ze dne 20. května 2021 o přípravě digitální budoucnosti Evropy: odstranění překážek fungování jednotného digitálního trhu a lepší využívání umělé inteligence pro evropské spotřebitele (2020/2216(INI)),</w:t>
      </w:r>
    </w:p>
    <w:p w14:paraId="6A39FA91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 xml:space="preserve">s ohledem na opatření Komise v návaznosti na usnesení Evropského parlamentu obsahující doporučení Komisi o správním právu procesním Evropské unie, která Komise přijala dne 24. dubna 2013, </w:t>
      </w:r>
    </w:p>
    <w:p w14:paraId="4D4E7BB8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opatření Komise v návaznosti na usnesení Evropského parlamentu o otevřené, efektivní a nezávislé správě Evropské unie, která Komise přijala dne 4. října 2016,</w:t>
      </w:r>
    </w:p>
    <w:p w14:paraId="56ED2306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t>s ohledem na opatření Komise v návaznosti na usnesení Evropského parlamentu o zlepšování právní úpravy: společně v zájmu lepší tvorby právních předpisů, která Komise přijala dne 22. října 2022,</w:t>
      </w:r>
    </w:p>
    <w:p w14:paraId="62658D92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 ohledem na články 47 a 54 jednacího řádu,</w:t>
      </w:r>
    </w:p>
    <w:p w14:paraId="6CF5058F" w14:textId="77777777" w:rsidR="00873F47" w:rsidRPr="00C07AC4" w:rsidRDefault="00F25FD5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rFonts w:ascii="Noto Sans Symbols" w:hAnsi="Noto Sans Symbols"/>
          <w:color w:val="000000"/>
        </w:rPr>
        <w:t>−</w:t>
      </w:r>
      <w:r w:rsidRPr="00C07AC4">
        <w:rPr>
          <w:rFonts w:ascii="Noto Sans Symbols" w:hAnsi="Noto Sans Symbols"/>
          <w:color w:val="000000"/>
        </w:rPr>
        <w:tab/>
      </w:r>
      <w:r w:rsidRPr="00C07AC4">
        <w:rPr>
          <w:color w:val="000000"/>
        </w:rPr>
        <w:t>s ohledem na zprávu Výboru pro právní záležitosti (A9-xxxx/xxxx),</w:t>
      </w:r>
    </w:p>
    <w:p w14:paraId="0EE331E4" w14:textId="77777777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A.</w:t>
      </w:r>
      <w:r w:rsidRPr="00C07AC4">
        <w:rPr>
          <w:color w:val="000000"/>
        </w:rPr>
        <w:tab/>
        <w:t>vzhledem k tomu, že vstup Lisabonské smlouvy v platnost zajistil Unii vhodný právní základ k přijetí evropského správního práva procesního;</w:t>
      </w:r>
    </w:p>
    <w:p w14:paraId="3CFDC3E1" w14:textId="77777777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B.</w:t>
      </w:r>
      <w:r w:rsidRPr="00C07AC4">
        <w:rPr>
          <w:color w:val="000000"/>
        </w:rPr>
        <w:tab/>
        <w:t>vzhledem k tomu, že základní právo na řádnou správu zakotvené v článku 41 Listiny základních práv Evropské unie je jakožto primární právo již právně závazné;</w:t>
      </w:r>
    </w:p>
    <w:p w14:paraId="6E507696" w14:textId="1F65697F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rFonts w:ascii="Arial" w:hAnsi="Arial" w:cs="Arial"/>
          <w:sz w:val="18"/>
          <w:szCs w:val="18"/>
          <w:shd w:val="clear" w:color="auto" w:fill="FFFFFF"/>
        </w:rPr>
      </w:pPr>
      <w:r w:rsidRPr="00C07AC4">
        <w:t>C.</w:t>
      </w:r>
      <w:r w:rsidRPr="00C07AC4">
        <w:tab/>
        <w:t xml:space="preserve">vzhledem k tomu, že </w:t>
      </w:r>
      <w:r w:rsidRPr="00C07AC4">
        <w:rPr>
          <w:shd w:val="clear" w:color="auto" w:fill="FFFFFF"/>
        </w:rPr>
        <w:t>v Unii je v souladu s právním státem nezbytné zajistit, aby byly vždy náležitě definovány, rozvíjeny a dodržovány procesní práva a povinnosti; vzhledem k tomu, že občané mají právo očekávat od orgánů, institucí a jiných subjektů Unie vysokou úroveň transparentnosti, efektivity, odpovědnosti a rychlého vyřízení a mají rovněž právo na informace o možnostech, které mají k dispozici, aby v dané věci podnikli další kroky;</w:t>
      </w:r>
      <w:r w:rsidRPr="00C07AC4">
        <w:rPr>
          <w:rFonts w:ascii="Arial" w:hAnsi="Arial"/>
          <w:sz w:val="18"/>
          <w:shd w:val="clear" w:color="auto" w:fill="FFFFFF"/>
        </w:rPr>
        <w:t xml:space="preserve"> </w:t>
      </w:r>
    </w:p>
    <w:p w14:paraId="1FE24F41" w14:textId="77777777" w:rsidR="00873F47" w:rsidRPr="00C07AC4" w:rsidRDefault="00873F47" w:rsidP="00873F47">
      <w:pPr>
        <w:spacing w:after="240"/>
        <w:ind w:left="567" w:hanging="567"/>
        <w:rPr>
          <w:color w:val="000000"/>
        </w:rPr>
      </w:pPr>
      <w:r w:rsidRPr="00C07AC4">
        <w:t>D.</w:t>
      </w:r>
      <w:r w:rsidRPr="00C07AC4">
        <w:tab/>
        <w:t>vzhledem k tomu, že účinná správa Unie je nezbytná ve veřejném zájmu a nadbytek pravidel a postupů, stejně jako jejich nedostatek, může vést nesprávnému úřednímu postupu, který může být i výsledkem existence protichůdných, nejednotných nebo nejasných pravidel a postupů;</w:t>
      </w:r>
      <w:r w:rsidRPr="00C07AC4">
        <w:rPr>
          <w:color w:val="000000"/>
        </w:rPr>
        <w:t xml:space="preserve"> vzhledem k tomu, že náležitě strukturované a jednotné správní postupy podporují jak účinnou správu, tak řádné vymáhání základního práva na řádnou správu, a jejich přidanou hodnotou je prosazování transparentnosti a odpovědnosti, čímž posilují legitimitu Unie a důvěru občanů ve správu Unie;</w:t>
      </w:r>
    </w:p>
    <w:p w14:paraId="480746B5" w14:textId="77777777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t>E</w:t>
      </w:r>
      <w:r w:rsidRPr="00C07AC4">
        <w:rPr>
          <w:color w:val="000000"/>
        </w:rPr>
        <w:t>.</w:t>
      </w:r>
      <w:r w:rsidRPr="00C07AC4">
        <w:rPr>
          <w:color w:val="000000"/>
        </w:rPr>
        <w:tab/>
        <w:t>vzhledem k tomu, že nedostatek důvěry ze strany občanů je již několik let naléhavým problémem Unie, který může ovlivnit její legitimitu; vzhledem k tomu, že Unie musí svým občanům poskytnout rychlé, jasné a viditelné odpovědi, aby tak reagovala na jejich obavy;</w:t>
      </w:r>
    </w:p>
    <w:p w14:paraId="5A305C47" w14:textId="77777777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F.</w:t>
      </w:r>
      <w:r w:rsidRPr="00C07AC4">
        <w:rPr>
          <w:color w:val="000000"/>
        </w:rPr>
        <w:tab/>
        <w:t xml:space="preserve">vzhledem k tomu, že stávající pravidla a zásady EU v oblasti řádné správy pocházejí z nejrůznějších zdrojů: primárního práva, judikatury Soudního dvora Evropské unie, sekundární legislativy, právně nezávazných předpisů a jednostranných závazků přijatých orgány EU,  </w:t>
      </w:r>
    </w:p>
    <w:p w14:paraId="0C50F76C" w14:textId="77777777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G.</w:t>
      </w:r>
      <w:r w:rsidRPr="00C07AC4">
        <w:rPr>
          <w:color w:val="000000"/>
        </w:rPr>
        <w:tab/>
        <w:t>vzhledem k tomu, že stávající interní kodexy chování různých orgánů mají omezený účinek, vzájemně se liší a nejsou právně závazné,</w:t>
      </w:r>
    </w:p>
    <w:p w14:paraId="1930A5BB" w14:textId="77777777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H.</w:t>
      </w:r>
      <w:r w:rsidRPr="00C07AC4">
        <w:rPr>
          <w:color w:val="000000"/>
        </w:rPr>
        <w:tab/>
        <w:t xml:space="preserve">vzhledem k tomu, že při zohlednění doporučení Skupiny států proti korupci (GRECO) Rady Evropy by byl jasný a závazný soubor pravidel pro správu Unie pozitivním signálem v boji proti korupci ve veřejné správě; </w:t>
      </w:r>
    </w:p>
    <w:p w14:paraId="7A52B2F3" w14:textId="6964A941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I.</w:t>
      </w:r>
      <w:r w:rsidRPr="00C07AC4">
        <w:rPr>
          <w:color w:val="000000"/>
        </w:rPr>
        <w:tab/>
        <w:t xml:space="preserve">vzhledem k tomu, že od roku 2001 Parlament ve svých usneseních a jejich přílohách důsledně požaduje, aby Komise v této oblasti přijala legislativní opatření; vzhledem k tomu, že v roce 2013 Parlament vyzval, aby bylo zavedeno správní právo procesní Evropské unie a že v roce 2016 vyzval zejména k tomu, aby byl vypracován návrh nařízení Evropského parlamentu a Rady o otevřené, efektivní a nezávislé správě Evropské unie; </w:t>
      </w:r>
      <w:r w:rsidRPr="00C07AC4">
        <w:t>vzhledem k tomu, že výzvy Parlamentu v podstatě opakovaně směřují k tomu, aby bylo přijato nařízení o správním postupu Evropské unie, kterým by byla stanovena obecná procesní pravidla, jimiž se řídí správní činnost správy Unie, tj. </w:t>
      </w:r>
      <w:r w:rsidRPr="00C07AC4">
        <w:rPr>
          <w:shd w:val="clear" w:color="auto" w:fill="FFFFFF"/>
        </w:rPr>
        <w:t>orgánů, institucí a jiných subjektů Unie (evropského správního práva procesního)</w:t>
      </w:r>
      <w:r w:rsidRPr="00C07AC4">
        <w:t>;</w:t>
      </w:r>
    </w:p>
    <w:p w14:paraId="51A80113" w14:textId="542EBD9D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J.</w:t>
      </w:r>
      <w:r w:rsidRPr="00C07AC4">
        <w:rPr>
          <w:color w:val="000000"/>
        </w:rPr>
        <w:tab/>
        <w:t>vzhledem k tomu, že tato výzva vychází z podrobného posouzení dopadů, v němž jsou mimo jiné kvantifikovány náklady na správní postupy; vzhledem k tomu, že v rámci posouzení dopadů z roku 2018 bylo zjištěno, že roztříštěnost správních postupů mezi orgány a institucemi EU má negativní dopad na otevřenost, efektivitu a nezávislost EU, a dospělo se k závěru, že negativní dopady se pravděpodobně zhorší s přechodem na digitalizovanou správu; vzhledem k tomu, že společně s předložením návrhu by Komise měla předložit také posouzení dopadů;</w:t>
      </w:r>
    </w:p>
    <w:p w14:paraId="353E05DA" w14:textId="3A53794C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K.</w:t>
      </w:r>
      <w:r w:rsidRPr="00C07AC4">
        <w:rPr>
          <w:color w:val="000000"/>
        </w:rPr>
        <w:tab/>
        <w:t>vzhledem k tomu, že Parlament se zapojil do veřejné konzultace ohledně nutnosti zavést evropské správní právo procesní, přičemž 76 % respondentů podpořilo přijetí dalších opatření na úrovni Unie s cílem zlepšit a zjednodušit správní postupy Unie a mezi hlavními důvody pro zásah EU uvedlo zvýšení efektivity a transparentnosti a za nejproblematičtější otázky označilo nejednotnost postupů a náklady na administrativní zátěž; vzhledem k tomu, že Komise by měla v roce 2023 zahájit náležité veřejné konzultace se všemi příslušnými aktéry, a zejména by měla využít mimořádných odborných znalostí a zkušeností evropské veřejné ochránkyně práv, neboť právě k evropské veřejné ochránkyni práv směřují stížnosti veřejnosti na případy zneužití pravomocí orgány a institucemi Unie;</w:t>
      </w:r>
    </w:p>
    <w:p w14:paraId="27734EC5" w14:textId="3F1E3459" w:rsidR="00873F47" w:rsidRPr="00C07AC4" w:rsidRDefault="00873F47" w:rsidP="00873F47">
      <w:pPr>
        <w:spacing w:after="240"/>
        <w:ind w:left="567" w:hanging="567"/>
      </w:pPr>
      <w:r w:rsidRPr="00C07AC4">
        <w:t>L.</w:t>
      </w:r>
      <w:r w:rsidRPr="00C07AC4">
        <w:tab/>
        <w:t>vzhledem k tomu, že Parlament při přípravě svého usnesení z roku 2016 o otevřené, efektivní a nezávislé správě Evropské unie vedl konzultace s akademickou obcí, odborníky a právnickou komunitou;</w:t>
      </w:r>
      <w:r w:rsidRPr="00C07AC4">
        <w:rPr>
          <w:color w:val="000000"/>
        </w:rPr>
        <w:t xml:space="preserve"> </w:t>
      </w:r>
      <w:r w:rsidRPr="00C07AC4">
        <w:t xml:space="preserve">vzhledem k tomu, že Komise ve svých opatřeních přijatých dne 24. dubna 2013 v návaznosti na usnesení Evropského parlamentu ze dne 15. ledna 2013 uvedla, že zahájí podrobné hodnocení stávajícího souboru správního práva EU a možných nedostatků ve všech orgánech, že posoudí přístupy k těmto otázkám v členských státech a bude konzultovat akademickou obec, odborníky a právnickou komunitu s cílem provést hloubkovou analýzu všech aspektů této problematiky; vzhledem k tomu, že po deseti letech Komise dosud neinformovala Parlament o výsledcích ohlášeného hodnocení a hloubkové analýzy; </w:t>
      </w:r>
    </w:p>
    <w:p w14:paraId="0DA1957D" w14:textId="04CAFD8C" w:rsidR="00873F47" w:rsidRPr="00C07AC4" w:rsidRDefault="00873F47" w:rsidP="00873F47">
      <w:pPr>
        <w:spacing w:after="240"/>
        <w:ind w:left="567" w:hanging="567"/>
      </w:pPr>
      <w:r w:rsidRPr="00C07AC4">
        <w:t xml:space="preserve">M. </w:t>
      </w:r>
      <w:r w:rsidRPr="00C07AC4">
        <w:tab/>
        <w:t xml:space="preserve">vzhledem k tomu, že v týchž navazujících opatřeních z roku 2013 Komise rovněž uvedla, že jakákoli budoucí iniciativa bude muset zohlednit stávající rámec správních pravidel a složitý vztah mezi horizontálními a odvětvovými pravidly, četné příčiny možného nesprávného úředního postupu a mnoho možných způsobů, jak takovou situaci řešit, a limity použití článku 298 Smlouvy o fungování Evropské unie (SFEU); vzhledem k tomu, že Komise doposud žádné takové posouzení nepředložila; </w:t>
      </w:r>
    </w:p>
    <w:p w14:paraId="0AF09F8D" w14:textId="58EEF470" w:rsidR="00873F47" w:rsidRPr="00C07AC4" w:rsidRDefault="00873F47" w:rsidP="00873F47">
      <w:pPr>
        <w:spacing w:after="240"/>
        <w:ind w:left="567" w:hanging="567"/>
      </w:pPr>
      <w:r w:rsidRPr="00C07AC4">
        <w:t>N.</w:t>
      </w:r>
      <w:r w:rsidRPr="00C07AC4">
        <w:tab/>
        <w:t>vzhledem k tomu, že v roce 2022, a to poprvé na základě článku 298 SFEU, Komise předložila dva návrhy týkající se jednak bezpečnosti informací a jednak kybernetické bezpečnosti v rámci správy Unie, tj. v jejích orgánech, institucích a jiných subjektech, s cílem řešit absenci společného přístupu v těchto oblastech a skutečnost, že každý z nich má v těchto oblastech buď vlastní pravidla založená na jednacím řádu nebo zřizovacích aktech, nebo nemá pravidla žádná;</w:t>
      </w:r>
    </w:p>
    <w:p w14:paraId="4C258E1B" w14:textId="2902490E" w:rsidR="00873F47" w:rsidRPr="00C07AC4" w:rsidRDefault="00873F47" w:rsidP="00873F47">
      <w:pPr>
        <w:spacing w:after="240"/>
        <w:ind w:left="567" w:right="380" w:hanging="567"/>
      </w:pPr>
      <w:r w:rsidRPr="00C07AC4">
        <w:t>O.</w:t>
      </w:r>
      <w:r w:rsidRPr="00C07AC4">
        <w:tab/>
        <w:t xml:space="preserve">vzhledem k tomu, že existence horizontálních a odvětvových pravidel nemůže představovat omluvu pro to, aby nebylo zavedeno evropské správní právo procesní, nebo překážku pro zavedení takového práva, které by představovalo základní a obecný referenční rámec pro správní právo procesní, jež by mělo být uplatňováno všemi správními orgány Unie bez ohledu na odvětví jejich činnosti; vzhledem k tomu, že takové obecné normativní podmínky existují v mnoha členských státech Unie bez ohledu na jejich strukturu, oblast nebo odvětví a souběžně s odvětvovými pravidly;  </w:t>
      </w:r>
    </w:p>
    <w:p w14:paraId="57C99040" w14:textId="0A8AB417" w:rsidR="00873F47" w:rsidRPr="00C07AC4" w:rsidRDefault="00873F47" w:rsidP="00873F47">
      <w:pPr>
        <w:spacing w:after="240"/>
        <w:ind w:left="567" w:right="380" w:hanging="567"/>
      </w:pPr>
      <w:r w:rsidRPr="00C07AC4">
        <w:t>P.</w:t>
      </w:r>
      <w:r w:rsidRPr="00C07AC4">
        <w:tab/>
        <w:t xml:space="preserve">vzhledem k tomu, že roztříštěnost příslušných právních rámců mezi jednotlivými správními orgány Unie vede ke značnému zdvojování úsilí, pokud jde o vytvoření a zachování vnitřních pravidel, jakož i k neinteroperabilním správním postupům; vzhledem k tomu, že pro občany Unie zvyšuje rozmanitost těchto pravidel riziko nedorozumění, nesprávného výkladu a nedodržení pravidel; vzhledem k tomu, že zavedení základního a obecného referenčního rámce evropského správního práva procesního pro správu Unie by vytvořilo správní prostředí s jednotnými zásadami, standardizovanými pravidly a zavedenými osvědčenými postupy, což nevylučuje existenci odvětvových pravidel, jak je známo i na vnitrostátní úrovni; vzhledem k tomu, že zavedení evropského správního práva procesního je navíc v souladu s požadavkem jednat s náležitým ohledem na autonomii nebo pravomoci jednotlivých orgánů a institucí Unie, které zůstanou plně zachovány; </w:t>
      </w:r>
    </w:p>
    <w:p w14:paraId="6AAFDD69" w14:textId="7FB96218" w:rsidR="00873F47" w:rsidRPr="00C07AC4" w:rsidRDefault="00873F47" w:rsidP="00873F47">
      <w:pPr>
        <w:spacing w:after="240"/>
        <w:ind w:left="567" w:right="380" w:hanging="567"/>
        <w:rPr>
          <w:color w:val="000000"/>
        </w:rPr>
      </w:pPr>
      <w:r w:rsidRPr="00C07AC4">
        <w:rPr>
          <w:color w:val="000000"/>
        </w:rPr>
        <w:t>Q.</w:t>
      </w:r>
      <w:r w:rsidRPr="00C07AC4">
        <w:rPr>
          <w:color w:val="000000"/>
        </w:rPr>
        <w:tab/>
        <w:t xml:space="preserve">vzhledem k tomu, že s technologickým pokrokem a úsilím o digitalizaci, které musí vynakládat členské státy, a to i v oblasti veřejné správy a služeb, vyvíjí podobné úsilí o digitalizaci i správa Unie; vzhledem k tomu, že správa Unie ve stále menší míře funguje jako samostatný subjekt, jelikož se propojuje s vnitrostátními orgány veřejné správy, aby sloužila občanům; </w:t>
      </w:r>
    </w:p>
    <w:p w14:paraId="77CDF024" w14:textId="77777777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R.</w:t>
      </w:r>
      <w:r w:rsidRPr="00C07AC4">
        <w:rPr>
          <w:color w:val="000000"/>
        </w:rPr>
        <w:tab/>
        <w:t xml:space="preserve">vzhledem k tomu, že ve studii o posouzení evropské přidané hodnoty z roku 2022 je stejně jako ve studii o posouzení dopadů z roku 2018 zdůrazněno, že s digitalizací se zvyšuje potřeba centralizace a harmonizace a že probíhající digitalizace přináší nové problémy a výzvy; </w:t>
      </w:r>
    </w:p>
    <w:p w14:paraId="32827D9B" w14:textId="2CE2C022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S.</w:t>
      </w:r>
      <w:r w:rsidRPr="00C07AC4">
        <w:rPr>
          <w:color w:val="000000"/>
        </w:rPr>
        <w:tab/>
        <w:t>vzhledem k tomu, že judikatura Soudního dvora vytvořila ustálené procesní zásady, které se vztahují na postupy členských států týkající se záležitostí Unie a jež by se měly tím spíše vztahovat na přímou správu na úrovni Unie; vzhledem k tomu, že lze očekávat, že judikatura Soudního dvora se bude brzy dále vyvíjet, a bude se tak věnovat i jevům souvisejícím s rozvojem digitalizace správních postupů, jako je například automatizované rozhodování;</w:t>
      </w:r>
    </w:p>
    <w:p w14:paraId="531965C5" w14:textId="77777777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T.</w:t>
      </w:r>
      <w:r w:rsidRPr="00C07AC4">
        <w:rPr>
          <w:color w:val="000000"/>
        </w:rPr>
        <w:tab/>
        <w:t>vzhledem k tomu, že v Evropském prohlášení o digitálních právech a zásadách pro digitální dekádu jsou vyhlášeny digitální zásady, které mají sloužit všem Evropanům;</w:t>
      </w:r>
    </w:p>
    <w:p w14:paraId="106214D4" w14:textId="495E34DC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U.</w:t>
      </w:r>
      <w:r w:rsidRPr="00C07AC4">
        <w:rPr>
          <w:color w:val="000000"/>
        </w:rPr>
        <w:tab/>
        <w:t>vzhledem k tomu, že ve svém sdělení Digitální kompas 2030 Komise pro Unii stanoví vizi digitálně transformované Evropy do roku 2030 v souladu s evropskými hodnotami; vzhledem k tomu, že cílem programu „Digitální dekáda“ je upevnění vedoucího postavení v digitální oblasti a posílení postavení občanů a podniků, aby se digitální transformace stala hnací silou udržitelného hospodářského růstu a sociálního blahobytu v Evropě, čehož by se mělo dosáhnout mimo jiné rozvojem digitálních dovedností a kompetencí pracovníků, který umožní jejich plné zapojení do digitální ekonomiky, a digitalizací veřejných služeb a jejich zefektivněním a snadnou využitelností ku prospěchu každého v naší společnosti;</w:t>
      </w:r>
    </w:p>
    <w:p w14:paraId="1DC5CFD3" w14:textId="11F1B69D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V.</w:t>
      </w:r>
      <w:r w:rsidRPr="00C07AC4">
        <w:rPr>
          <w:color w:val="000000"/>
        </w:rPr>
        <w:tab/>
        <w:t xml:space="preserve">vzhledem k tomu, že v digitální strategii Komise z roku 2022 „Digitální Komise nové generace“ jsou nastíněny cíle, které mají umožnit, aby administrativa Komise podporovala plnění strategických priorit EU a šla příkladem, a strategie prosazuje mimo jiné tyto prvky: posílení postavení svých zaměstnanců, umožnění tvorby politik připravených na digitalizaci prostřednictvím pokynů a podpory v rámci celého politického cyklu Unie a využití výhod dat a inovativních technologií k přepracování svých správních postupů; strategie zároveň naznačuje, jak se bude digitalizace správních postupů a interakce správy Unie s občany vyvíjet v následujících letech; vzhledem k tomu, že tento vývoj by měl být doprovázen souborem pravidel upravujících správní postupy a měl by být harmonizován v rámci celé správy Unie; </w:t>
      </w:r>
    </w:p>
    <w:p w14:paraId="48C29E14" w14:textId="70157A85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333333"/>
        </w:rPr>
      </w:pPr>
      <w:r w:rsidRPr="00C07AC4">
        <w:rPr>
          <w:color w:val="000000"/>
        </w:rPr>
        <w:t>W</w:t>
      </w:r>
      <w:r w:rsidRPr="00C07AC4">
        <w:rPr>
          <w:b/>
          <w:color w:val="000000"/>
        </w:rPr>
        <w:t>.</w:t>
      </w:r>
      <w:r w:rsidRPr="00C07AC4">
        <w:rPr>
          <w:b/>
          <w:color w:val="000000"/>
        </w:rPr>
        <w:tab/>
      </w:r>
      <w:r w:rsidRPr="00C07AC4">
        <w:rPr>
          <w:color w:val="000000"/>
        </w:rPr>
        <w:t xml:space="preserve">vzhledem k tomu, že rozvoj nových technologií, jako jsou umělá inteligence a automatizované rozhodovací systémy, může hrát důležitou roli při modernizaci a zlepšování fungování veřejné správy za předpokladu, že použité technologie mají vysokou míru spolehlivosti a důvěryhodnosti; vzhledem k tomu, že možnost veřejné správy, včetně správy Unie, využívat tyto nové technologie by však měla být omezena zásadou zákonnosti a nutností zajistit dodržování práv občanů; </w:t>
      </w:r>
      <w:r w:rsidRPr="00C07AC4">
        <w:t>vzhledem k tomu, že používání nových technologií, jako jsou umělá inteligence a automatizované rozhodovací systémy, může představovat specifické problémy pro zásadu řádné správy a právo na soudní přezkum, a proto vyžaduje, aby byla provedena zvláštní analýza s ohledem na prvky, jako je transparentnost, odpovědnost, dodržování předpisů a nediskriminace, která se bude zabývat rizikem algoritmické předpojatosti;</w:t>
      </w:r>
    </w:p>
    <w:p w14:paraId="6D374998" w14:textId="00DF6664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333333"/>
        </w:rPr>
        <w:t xml:space="preserve">X. </w:t>
      </w:r>
      <w:r w:rsidRPr="00C07AC4">
        <w:rPr>
          <w:color w:val="333333"/>
        </w:rPr>
        <w:tab/>
      </w:r>
      <w:r w:rsidRPr="00C07AC4">
        <w:t>vzhledem k tomu, že je nutné uznat rizika používání umělé inteligence a strojového učení, zejména v souvislosti se správou Unie, kde mohou existovat výrazné rozdíly v pravomocích mezi občany a správou;</w:t>
      </w:r>
      <w:r w:rsidRPr="00C07AC4">
        <w:rPr>
          <w:color w:val="000000"/>
        </w:rPr>
        <w:t xml:space="preserve"> vzhledem k tomu, že používání strojového učení správou Unie by se proto mělo omezit na shromažďování, uspořádání, strukturování, převod, kombinaci a úpravu údajů, jako je optické rozpoznávání znaků, rozpoznávání předmětů nebo převod řeči na text;</w:t>
      </w:r>
    </w:p>
    <w:p w14:paraId="7D0F2E5F" w14:textId="030A2DFA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07AC4">
        <w:rPr>
          <w:color w:val="333333"/>
        </w:rPr>
        <w:t>Y.</w:t>
      </w:r>
      <w:r w:rsidRPr="00C07AC4">
        <w:rPr>
          <w:color w:val="333333"/>
        </w:rPr>
        <w:tab/>
      </w:r>
      <w:r w:rsidRPr="00C07AC4">
        <w:t>vzhledem k tomu, že v roce 2022 předložil Evropský právní institut zprávu s modelovými pravidly pro posuzování dopadu systémů algoritmického rozhodování používaných ve veřejné správě, v níž jsou navržena modelová pravidla pro případy, kdy tyto systémy algoritmického rozhodování činí rozhodnutí nebo podporují lidské rozhodování – tedy rozhodnutí orgánu veřejné moci (i na úrovni Unie) o přijetí nebo nepřijetí opatření –, které může mít významný dopad na veřejnost</w:t>
      </w:r>
      <w:r w:rsidRPr="00C07AC4">
        <w:rPr>
          <w:rStyle w:val="FootnoteReference"/>
        </w:rPr>
        <w:footnoteReference w:id="15"/>
      </w:r>
      <w:r w:rsidRPr="00C07AC4">
        <w:t>;</w:t>
      </w:r>
    </w:p>
    <w:p w14:paraId="4A72F0EA" w14:textId="178514E9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07AC4">
        <w:t>Z.</w:t>
      </w:r>
      <w:r w:rsidRPr="00C07AC4">
        <w:tab/>
        <w:t>vzhledem k tomu, že software vyvinutý pro účely veřejné správy se v minulosti často vyznačoval tím, že se jednalo software s uzavřeným kódem, což znamená, že ačkoli za něj občané platí, nemohou kontrolovat nebo znovu použít kód; vzhledem k tomu, že je třeba uznat, že správa Unie pro software vyvíjí, zveřejňuje a používá otevřený zdrojový kód, což přispívá k plnění zásady „veřejné peníze – veřejný kód“; vzhledem k tomu, že tato zásada podporuje opětovné použití a vylepšování stávajícího kódu, aby se snížily náklady na vývoj softwaru, a tím i náklady na digitalizaci; vzhledem k tomu, že by se z tohoto důvodu mělo neustále podporovat, aby správa Unie používala software s otevřeným zdrojovým kódem</w:t>
      </w:r>
      <w:r w:rsidRPr="00C07AC4">
        <w:rPr>
          <w:rStyle w:val="FootnoteReference"/>
        </w:rPr>
        <w:footnoteReference w:id="16"/>
      </w:r>
      <w:r w:rsidRPr="00C07AC4">
        <w:t>;</w:t>
      </w:r>
    </w:p>
    <w:p w14:paraId="36912B55" w14:textId="4BBDBD2C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07AC4">
        <w:t xml:space="preserve">AA. </w:t>
      </w:r>
      <w:r w:rsidRPr="00C07AC4">
        <w:tab/>
        <w:t xml:space="preserve">vzhledem k tomu, že přístup občanů Unie ke službám digitální správy je ovlivněn faktory, jako je věk, důvěra nebo ochota přijímat technologická řešení; vzhledem k tomu, že správa Unie by tedy měla tuto skutečnost zohlednit při vývoji digitálních řešení pro služby, které poskytuje, aby neztratila důvěru občanů a umožnila jim přizpůsobit se existenci digitální služby; </w:t>
      </w:r>
    </w:p>
    <w:p w14:paraId="7A382C0D" w14:textId="31F57B35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AB.</w:t>
      </w:r>
      <w:r w:rsidRPr="00C07AC4">
        <w:rPr>
          <w:color w:val="000000"/>
        </w:rPr>
        <w:tab/>
        <w:t>vzhledem k tomu, že pro digitální veřejné služby a správu již byly vymezeny tyto zásady: i) digitální veřejné služby mají být zaměřené na člověka a dostupné na všech úrovních, ii) každý občan má mít možnost podílet se na vytváření a zdokonalování digitálních veřejných služeb, které se uzpůsobují jeho potřebám a preferencím, iii) má platit zásada „pouze jednou“, každá osoba má tedy při digitální komunikaci s orgány veřejné správy v celé Unii poskytovat své údaje nebo informace pouze jednou, iv) digitální služby nabízené veřejným sektorem, jako jsou řešení v oblasti digitální identity s možností přenositelnosti údajů v celé Unii, mají být interoperabilní, v) digitální technologie a řešení mají umožňovat rozsáhlé zapojení občanů a spolupráci s nimi a má být stimulován rozvoj participativních iniciativ na všech úrovních, vi) digitální technologie a řešení mají přispívat k lepší úrovni veřejné bezpečnosti a ochrany;</w:t>
      </w:r>
    </w:p>
    <w:p w14:paraId="57FED633" w14:textId="0716F691" w:rsidR="00873F47" w:rsidRPr="00C07AC4" w:rsidRDefault="00F25FD5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1.</w:t>
      </w:r>
      <w:r w:rsidRPr="00C07AC4">
        <w:rPr>
          <w:color w:val="000000"/>
        </w:rPr>
        <w:tab/>
        <w:t>domnívá se, že po 70 letech neustálého vývoje veřejné správy Unie a třináct let po vstupu Lisabonské smlouvy v platnost, v níž je stanoven právní základ článku 298 SFEU, neexistuje důvod pro to, aby zásady dobré správy nebyly zakotveny v závazných právních předpisech;</w:t>
      </w:r>
    </w:p>
    <w:p w14:paraId="666C3685" w14:textId="372E8720" w:rsidR="00873F47" w:rsidRPr="00C07AC4" w:rsidRDefault="00F25FD5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2.</w:t>
      </w:r>
      <w:r w:rsidRPr="00C07AC4">
        <w:rPr>
          <w:color w:val="000000"/>
        </w:rPr>
        <w:tab/>
        <w:t xml:space="preserve">připomíná, že ve svém usnesení ze dne 15. ledna 2013 a ve svém usnesení ze dne 9. června 2016 Parlament v souladu s článkem 225 SFEU vyzval, aby bylo na základě článku 298 SFEU přijato nařízení o otevřené, efektivní a nezávislé správě Evropské unie; </w:t>
      </w:r>
      <w:r w:rsidRPr="00C07AC4">
        <w:t>připomíná, že ve svém usnesení ze dne 9. června 2016 Parlament především vyzval Komisi, aby předložila legislativní návrh, který bude zahrnut do jejího pracovního programu na rok 2017;</w:t>
      </w:r>
      <w:r w:rsidRPr="00C07AC4">
        <w:rPr>
          <w:color w:val="1E1E1F"/>
        </w:rPr>
        <w:t xml:space="preserve"> </w:t>
      </w:r>
      <w:r w:rsidRPr="00C07AC4">
        <w:t>vyjadřuje politování nad tím, že na požadavky Parlamentu doposud nenavázal návrh Komise;</w:t>
      </w:r>
      <w:r w:rsidRPr="00C07AC4">
        <w:rPr>
          <w:color w:val="000000"/>
        </w:rPr>
        <w:t xml:space="preserve"> </w:t>
      </w:r>
    </w:p>
    <w:p w14:paraId="60747DE8" w14:textId="77777777" w:rsidR="00873F47" w:rsidRPr="00C07AC4" w:rsidRDefault="00F25FD5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3.</w:t>
      </w:r>
      <w:r w:rsidRPr="00C07AC4">
        <w:rPr>
          <w:color w:val="000000"/>
        </w:rPr>
        <w:tab/>
        <w:t>podotýká, že Komise nepředložila žádné opodstatněné nebo přesvědčivé argumenty pro svou nečinnost, a lituje, že doposud nepředložila žádnou hloubkovou analýzu nebo studie týkající se tohoto tématu;</w:t>
      </w:r>
    </w:p>
    <w:p w14:paraId="700F1534" w14:textId="318477D9" w:rsidR="00873F47" w:rsidRPr="00C07AC4" w:rsidRDefault="00F25FD5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07AC4">
        <w:t>4.</w:t>
      </w:r>
      <w:r w:rsidRPr="00C07AC4">
        <w:tab/>
        <w:t>požaduje, aby Komise na základě článku 298 SFEU neprodleně předložila legislativní návrh nařízení o otevřené, efektivní a nezávislé správě Evropské unie a začlenila ho do svého pracovního programu na rok 2024, aby na něm spolunormotvůrci mohli začít pracovat hned na začátku nového legislativního období;</w:t>
      </w:r>
      <w:r w:rsidRPr="00C07AC4">
        <w:rPr>
          <w:color w:val="000000"/>
        </w:rPr>
        <w:t xml:space="preserve"> </w:t>
      </w:r>
      <w:r w:rsidRPr="00C07AC4">
        <w:t>žádá, aby se návrh řídil doporučeními uvedenými v příloze tohoto usnesení, a vyzývá Komisi, aby návrh nařízení, který je přílohou jeho usnesení ze dne 9. června 2016, považovala za základ pro přípravu požadovaného návrhu a aby zohlednila pokrok v oblasti digitalizace a jeho dopad na správu a správní postupy Unie;</w:t>
      </w:r>
    </w:p>
    <w:p w14:paraId="0DAD69A0" w14:textId="77777777" w:rsidR="00873F47" w:rsidRPr="00C07AC4" w:rsidRDefault="00F25FD5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5.</w:t>
      </w:r>
      <w:r w:rsidRPr="00C07AC4">
        <w:rPr>
          <w:color w:val="000000"/>
        </w:rPr>
        <w:tab/>
        <w:t>domnívá se, že požadovaný návrh nemá žádné finanční dopady;</w:t>
      </w:r>
    </w:p>
    <w:p w14:paraId="50B9CACF" w14:textId="77777777" w:rsidR="00873F47" w:rsidRPr="00C07AC4" w:rsidRDefault="00F25FD5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07AC4">
        <w:rPr>
          <w:color w:val="000000"/>
        </w:rPr>
        <w:t>6.</w:t>
      </w:r>
      <w:r w:rsidRPr="00C07AC4">
        <w:rPr>
          <w:color w:val="000000"/>
        </w:rPr>
        <w:tab/>
        <w:t>pověřuje svou předsedkyni, aby předala toto usnesení a doporučení uvedená v příloze Komisi a Radě.</w:t>
      </w:r>
    </w:p>
    <w:p w14:paraId="02A63D12" w14:textId="77777777" w:rsidR="009F6042" w:rsidRPr="00C07AC4" w:rsidRDefault="009F6042" w:rsidP="00873F47">
      <w:pPr>
        <w:pStyle w:val="NormalHanging12a"/>
      </w:pPr>
    </w:p>
    <w:p w14:paraId="3E819529" w14:textId="77777777" w:rsidR="006E50B6" w:rsidRPr="00C07AC4" w:rsidRDefault="006E50B6" w:rsidP="00873F47">
      <w:pPr>
        <w:spacing w:after="240"/>
        <w:sectPr w:rsidR="006E50B6" w:rsidRPr="00C07AC4" w:rsidSect="00C07AC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C441387" w14:textId="77777777" w:rsidR="00007EDE" w:rsidRPr="00C07AC4" w:rsidRDefault="005D4E25" w:rsidP="00873F47">
      <w:pPr>
        <w:pStyle w:val="PageHeading"/>
        <w:spacing w:after="240"/>
      </w:pPr>
      <w:bookmarkStart w:id="2" w:name="_Toc138345688"/>
      <w:r w:rsidRPr="00C07AC4">
        <w:t>PŘÍLOHA K NÁVRHU USNESENÍ:</w:t>
      </w:r>
      <w:r w:rsidRPr="00C07AC4">
        <w:br/>
        <w:t>DOPORUČENÍ TÝKAJÍCÍ SE OBSAHU POŽADOVANÉHO NÁVRHU</w:t>
      </w:r>
      <w:bookmarkEnd w:id="2"/>
    </w:p>
    <w:p w14:paraId="2AADCD0E" w14:textId="77777777" w:rsidR="00873F47" w:rsidRPr="00C07AC4" w:rsidRDefault="00873F47" w:rsidP="00873F47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 w:rsidRPr="00C07AC4">
        <w:rPr>
          <w:b/>
          <w:color w:val="000000"/>
        </w:rPr>
        <w:t>Doporučení 1 (k základu návrhu nařízení o otevřené, efektivní a nezávislé správě Evropské unie, který má předložit Komise):</w:t>
      </w:r>
    </w:p>
    <w:p w14:paraId="68A04F9A" w14:textId="77777777" w:rsidR="00873F47" w:rsidRPr="00C07AC4" w:rsidRDefault="00873F47" w:rsidP="00873F47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07AC4">
        <w:rPr>
          <w:color w:val="000000"/>
        </w:rPr>
        <w:t xml:space="preserve">Evropský parlament se domnívá, že návrh Komise by měl mít podobu nařízení, kterým se stanoví obecný akt týkající se správního postupu, jak je uvedeno v příloze usnesení Parlamentu ze dne 9. června 2016 o otevřené, efektivní a nezávislé správě Evropské unie. </w:t>
      </w:r>
    </w:p>
    <w:p w14:paraId="691AA5A7" w14:textId="77777777" w:rsidR="00873F47" w:rsidRPr="00C07AC4" w:rsidRDefault="00873F47" w:rsidP="00873F47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 w:rsidRPr="00C07AC4">
        <w:rPr>
          <w:b/>
          <w:color w:val="000000"/>
        </w:rPr>
        <w:t>Doporučení 2 (k zásadám, kterými se má řídit digitalizace správních postupů Unie)</w:t>
      </w:r>
    </w:p>
    <w:p w14:paraId="3E51E849" w14:textId="77777777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07AC4">
        <w:rPr>
          <w:color w:val="000000"/>
        </w:rPr>
        <w:t>Evropský parlament se domnívá, že Komise by měla při předkládání návrhu požadovaného v tomto usnesení zohlednit pokrok v digitalizaci a jeho dopad na správní postupy v rámci správy Unie.  Měly by být zohledněny zejména tyto skutečnosti:</w:t>
      </w:r>
    </w:p>
    <w:p w14:paraId="67491295" w14:textId="77777777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</w:pPr>
      <w:r w:rsidRPr="00C07AC4">
        <w:t>1.</w:t>
      </w:r>
      <w:r w:rsidRPr="00C07AC4">
        <w:tab/>
        <w:t>S ohledem na obecné aspekty:</w:t>
      </w:r>
    </w:p>
    <w:p w14:paraId="795AC4B4" w14:textId="0F5B3385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07AC4">
        <w:rPr>
          <w:color w:val="000000"/>
        </w:rPr>
        <w:t xml:space="preserve">i) </w:t>
      </w:r>
      <w:r w:rsidRPr="00C07AC4">
        <w:rPr>
          <w:color w:val="000000"/>
        </w:rPr>
        <w:tab/>
        <w:t xml:space="preserve">zásada „pouze jednou“, tedy že každá osoba má při digitální komunikaci se správou Unie poskytovat své údaje nebo informace pouze jednou, přičemž v tomto ohledu lze využít také zřízení evropské peněženky digitální identity; </w:t>
      </w:r>
    </w:p>
    <w:p w14:paraId="2A3920C8" w14:textId="238F5DEE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07AC4">
        <w:t>ii)</w:t>
      </w:r>
      <w:r w:rsidRPr="00C07AC4">
        <w:rPr>
          <w:color w:val="000000"/>
        </w:rPr>
        <w:t xml:space="preserve"> </w:t>
      </w:r>
      <w:r w:rsidRPr="00C07AC4">
        <w:rPr>
          <w:color w:val="000000"/>
        </w:rPr>
        <w:tab/>
        <w:t>interoperabilita digitálních služeb nabízených správou Unie;</w:t>
      </w:r>
    </w:p>
    <w:p w14:paraId="6CAB6801" w14:textId="77777777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07AC4">
        <w:t>iii)</w:t>
      </w:r>
      <w:r w:rsidRPr="00C07AC4">
        <w:rPr>
          <w:color w:val="000000"/>
        </w:rPr>
        <w:t xml:space="preserve"> </w:t>
      </w:r>
      <w:r w:rsidRPr="00C07AC4">
        <w:rPr>
          <w:color w:val="000000"/>
        </w:rPr>
        <w:tab/>
        <w:t xml:space="preserve">přispění digitálních technologií a řešení k vyšší úrovní veřejné bezpečnosti a ochrany; </w:t>
      </w:r>
    </w:p>
    <w:p w14:paraId="06C1D5EB" w14:textId="28A3B900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07AC4">
        <w:t xml:space="preserve">iv) </w:t>
      </w:r>
      <w:r w:rsidRPr="00C07AC4">
        <w:tab/>
        <w:t>stanovení postupů a vyjasnění používání digitálních technologií při vnější komunikaci správy Unie s cílem přijmout opatření umožňující řešit stávající nedostatky, zvýšit právní jistotu, zajistit, aby se častěji řešily případy správního bezpráví, a prolomit cyklus nedůvěry;</w:t>
      </w:r>
    </w:p>
    <w:p w14:paraId="55384D0B" w14:textId="2BFCF7FD" w:rsidR="00873F47" w:rsidRPr="00C07AC4" w:rsidRDefault="00873F47" w:rsidP="00873F47">
      <w:pPr>
        <w:spacing w:after="240"/>
      </w:pPr>
      <w:r w:rsidRPr="00C07AC4">
        <w:t>2.</w:t>
      </w:r>
      <w:r w:rsidRPr="00C07AC4">
        <w:tab/>
        <w:t>S ohledem na dostupné, inkluzivní digitální veřejné služby:</w:t>
      </w:r>
    </w:p>
    <w:p w14:paraId="6BF0936F" w14:textId="77777777" w:rsidR="00873F47" w:rsidRPr="00C07AC4" w:rsidRDefault="00873F47" w:rsidP="00873F47">
      <w:pPr>
        <w:spacing w:after="240"/>
      </w:pPr>
      <w:r w:rsidRPr="00C07AC4">
        <w:t xml:space="preserve">i) </w:t>
      </w:r>
      <w:r w:rsidRPr="00C07AC4">
        <w:tab/>
        <w:t xml:space="preserve">digitální veřejné služby by měly být zaměřené na člověka a dostupné na všech úrovních; </w:t>
      </w:r>
    </w:p>
    <w:p w14:paraId="0754ED82" w14:textId="77777777" w:rsidR="00873F47" w:rsidRPr="00C07AC4" w:rsidRDefault="00873F47" w:rsidP="00873F47">
      <w:pPr>
        <w:spacing w:after="240"/>
      </w:pPr>
      <w:r w:rsidRPr="00C07AC4">
        <w:t xml:space="preserve">ii) </w:t>
      </w:r>
      <w:r w:rsidRPr="00C07AC4">
        <w:tab/>
        <w:t xml:space="preserve">každý občan by měl mít možnost podílet se na vytváření a zdokonalování digitálních veřejných služeb, které se uzpůsobují jeho potřebám a preferencím; </w:t>
      </w:r>
    </w:p>
    <w:p w14:paraId="60284228" w14:textId="77777777" w:rsidR="00873F47" w:rsidRPr="00C07AC4" w:rsidRDefault="00873F47" w:rsidP="00873F47">
      <w:pPr>
        <w:spacing w:after="240"/>
      </w:pPr>
      <w:r w:rsidRPr="00C07AC4">
        <w:t xml:space="preserve">iii) </w:t>
      </w:r>
      <w:r w:rsidRPr="00C07AC4">
        <w:tab/>
        <w:t>vždy by měly být nabízeny analogové alternativy k digitálním službám a měl by být k dispozici kontaktní pracovník, který pomůže řešit případné problémy, s nimiž se mohou občané Unie při využívání digitálních služeb potýkat;</w:t>
      </w:r>
    </w:p>
    <w:p w14:paraId="037EDFA3" w14:textId="77777777" w:rsidR="00873F47" w:rsidRPr="00C07AC4" w:rsidRDefault="00873F47" w:rsidP="00873F47">
      <w:pPr>
        <w:spacing w:after="240"/>
      </w:pPr>
      <w:r w:rsidRPr="00C07AC4">
        <w:t xml:space="preserve">iv) </w:t>
      </w:r>
      <w:r w:rsidRPr="00C07AC4">
        <w:tab/>
        <w:t>digitální veřejné služby by měly být přístupné pro osoby se zdravotním postižením;</w:t>
      </w:r>
    </w:p>
    <w:p w14:paraId="3556214B" w14:textId="77777777" w:rsidR="00873F47" w:rsidRPr="00C07AC4" w:rsidRDefault="00873F47" w:rsidP="00873F47">
      <w:pPr>
        <w:spacing w:after="240"/>
      </w:pPr>
      <w:r w:rsidRPr="00C07AC4">
        <w:t xml:space="preserve">v) </w:t>
      </w:r>
      <w:r w:rsidRPr="00C07AC4">
        <w:tab/>
        <w:t xml:space="preserve">digitální veřejné služby by měly být přístupné také prostřednictvím široké škály zařízení; </w:t>
      </w:r>
    </w:p>
    <w:p w14:paraId="4448131C" w14:textId="22C26739" w:rsidR="00873F47" w:rsidRPr="00C07AC4" w:rsidRDefault="00873F47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07AC4">
        <w:t>3.</w:t>
      </w:r>
      <w:r w:rsidRPr="00C07AC4">
        <w:tab/>
        <w:t>S ohledem na bezpečnost, odpovědnost a ochranu údajů:</w:t>
      </w:r>
    </w:p>
    <w:p w14:paraId="1C120359" w14:textId="16FEC608" w:rsidR="00873F47" w:rsidRPr="00C07AC4" w:rsidRDefault="00873F47" w:rsidP="00873F47">
      <w:pPr>
        <w:spacing w:after="240"/>
      </w:pPr>
      <w:r w:rsidRPr="00C07AC4">
        <w:t xml:space="preserve">i) </w:t>
      </w:r>
      <w:r w:rsidRPr="00C07AC4">
        <w:tab/>
        <w:t xml:space="preserve">zásada „veřejné peníze – veřejný kód“, tedy že zdrojový kód softwaru vyvinutého s použitím veřejných prostředků by měla mít veřejnost k dispozici pro účely studia a opětovného použití; </w:t>
      </w:r>
    </w:p>
    <w:p w14:paraId="7A172F91" w14:textId="6A4CFBBB" w:rsidR="00873F47" w:rsidRPr="00C07AC4" w:rsidRDefault="00873F47" w:rsidP="00873F47">
      <w:pPr>
        <w:spacing w:after="240"/>
      </w:pPr>
      <w:r w:rsidRPr="00C07AC4">
        <w:t xml:space="preserve">ii) </w:t>
      </w:r>
      <w:r w:rsidRPr="00C07AC4">
        <w:tab/>
        <w:t>soukromí a bezpečnost uživatelů digitálních veřejných služeb by měly být chráněny;</w:t>
      </w:r>
    </w:p>
    <w:p w14:paraId="6688BD64" w14:textId="46FFEFF5" w:rsidR="00873F47" w:rsidRPr="00C07AC4" w:rsidRDefault="00873F47" w:rsidP="00873F47">
      <w:pPr>
        <w:spacing w:after="240"/>
      </w:pPr>
      <w:r w:rsidRPr="00C07AC4">
        <w:t xml:space="preserve">iii) </w:t>
      </w:r>
      <w:r w:rsidRPr="00C07AC4">
        <w:tab/>
        <w:t xml:space="preserve">právo chybovat a právo na opravu; </w:t>
      </w:r>
    </w:p>
    <w:p w14:paraId="26D69EF0" w14:textId="77777777" w:rsidR="00873F47" w:rsidRPr="00C07AC4" w:rsidRDefault="00873F47" w:rsidP="00873F47">
      <w:pPr>
        <w:spacing w:after="240"/>
      </w:pPr>
      <w:r w:rsidRPr="00C07AC4">
        <w:t>iv)</w:t>
      </w:r>
      <w:r w:rsidRPr="00C07AC4">
        <w:tab/>
        <w:t>právo na vysvětlení, kterým se rozumí právo získat vysvětlení ohledně výstupu algoritmu a rozhodnutí přijatého na základě algoritmickém posouzení;</w:t>
      </w:r>
    </w:p>
    <w:p w14:paraId="129C2F76" w14:textId="63A555AE" w:rsidR="00873F47" w:rsidRPr="00C07AC4" w:rsidRDefault="00873F47" w:rsidP="00873F47">
      <w:pPr>
        <w:spacing w:after="240"/>
      </w:pPr>
      <w:r w:rsidRPr="00C07AC4">
        <w:t xml:space="preserve">v) </w:t>
      </w:r>
      <w:r w:rsidRPr="00C07AC4">
        <w:tab/>
        <w:t>zásada transparentnosti týkající se kritérií, na jejichž základě jsou přijímána automatizovaná rozhodnutí, pokud mají tato rozhodnutí dopad na občany.</w:t>
      </w:r>
    </w:p>
    <w:p w14:paraId="0CD58648" w14:textId="77777777" w:rsidR="00873F47" w:rsidRPr="00C07AC4" w:rsidRDefault="00873F47" w:rsidP="00873F47">
      <w:pPr>
        <w:spacing w:after="240"/>
        <w:rPr>
          <w:b/>
        </w:rPr>
      </w:pPr>
      <w:r w:rsidRPr="00C07AC4">
        <w:rPr>
          <w:b/>
        </w:rPr>
        <w:t>Doporučení 3 (k zásadám pro vývoj a zavádění digitálních řešení)</w:t>
      </w:r>
    </w:p>
    <w:p w14:paraId="768D2569" w14:textId="77777777" w:rsidR="00873F47" w:rsidRPr="00C07AC4" w:rsidRDefault="00873F47" w:rsidP="00873F47">
      <w:pPr>
        <w:spacing w:after="240"/>
      </w:pPr>
      <w:r w:rsidRPr="00C07AC4">
        <w:t xml:space="preserve">Měla by být uznána potřeba vyvíjet nová digitální řešení s cílem uspokojit potřeby správy Unie v procesu digitalizace. Aby bylo zajištěno, že tato řešení budou co nejlépe sloužit občanům i zaměstnancům Unie, měly by být uváženy tyto zásady: </w:t>
      </w:r>
    </w:p>
    <w:p w14:paraId="1FE12242" w14:textId="58D4DF95" w:rsidR="00873F47" w:rsidRPr="00C07AC4" w:rsidRDefault="00873F47" w:rsidP="00873F47">
      <w:pPr>
        <w:shd w:val="clear" w:color="auto" w:fill="FFFFFF"/>
        <w:spacing w:after="240"/>
        <w:rPr>
          <w:color w:val="4D5156"/>
        </w:rPr>
      </w:pPr>
      <w:r w:rsidRPr="00C07AC4">
        <w:t xml:space="preserve">i) </w:t>
      </w:r>
      <w:r w:rsidRPr="00C07AC4">
        <w:tab/>
        <w:t>zaměstnanci Unie by měli v procesu vývoje zaujímat ústřední postavení, neboť nejlépe znají správní postupy a okrajové případy, tedy problémy nebo situace, které se vyskytují pouze na krajních koncích rozsahu možných hodnot nebo v extrémních situacích;</w:t>
      </w:r>
    </w:p>
    <w:p w14:paraId="1AEC1439" w14:textId="77777777" w:rsidR="00873F47" w:rsidRPr="00C07AC4" w:rsidRDefault="00873F47" w:rsidP="00873F47">
      <w:pPr>
        <w:spacing w:after="240"/>
      </w:pPr>
      <w:r w:rsidRPr="00C07AC4">
        <w:t xml:space="preserve">ii) </w:t>
      </w:r>
      <w:r w:rsidRPr="00C07AC4">
        <w:tab/>
        <w:t xml:space="preserve">je třeba zvážit vývoj interních digitálních řešení, která jsou nezbytná pro zavedení příslušné veřejné služby; </w:t>
      </w:r>
    </w:p>
    <w:p w14:paraId="6DD084CE" w14:textId="77777777" w:rsidR="00873F47" w:rsidRPr="00C07AC4" w:rsidRDefault="00873F47" w:rsidP="00873F47">
      <w:pPr>
        <w:spacing w:after="240"/>
      </w:pPr>
      <w:r w:rsidRPr="00C07AC4">
        <w:t xml:space="preserve">iii) </w:t>
      </w:r>
      <w:r w:rsidRPr="00C07AC4">
        <w:tab/>
        <w:t>při externím zajišťování digitálních řešení by výzvy k podávání návrhů neměly být vypisovány na monolitické megaprojekty, o něž se může ucházet jen několik velkých společností a u nichž existuje vyšší riziko zpoždění a překročení rozpočtu, zadávací řízení na digitalizaci projektů a procesů by spíše měla být rozdělena na výzvy k podávání návrhů pro menší projekty, aby byly zakázky v oblasti digitalizace dostupnější pro malé a střední podniky;</w:t>
      </w:r>
    </w:p>
    <w:p w14:paraId="7383B238" w14:textId="77777777" w:rsidR="00873F47" w:rsidRPr="00C07AC4" w:rsidRDefault="00873F47" w:rsidP="00873F47">
      <w:pPr>
        <w:spacing w:after="240"/>
      </w:pPr>
      <w:r w:rsidRPr="00C07AC4">
        <w:t xml:space="preserve">iv) </w:t>
      </w:r>
      <w:r w:rsidRPr="00C07AC4">
        <w:tab/>
        <w:t>digitalizace by neměla být vnímána pouze jako proces snižování nákladů: je důležité mít na paměti, že účinná digitalizace vyžaduje také investice do technologií i zaměstnanců;</w:t>
      </w:r>
    </w:p>
    <w:p w14:paraId="1E58F107" w14:textId="4E0E524E" w:rsidR="00873F47" w:rsidRPr="00C07AC4" w:rsidRDefault="00873F47" w:rsidP="00873F47">
      <w:pPr>
        <w:spacing w:after="240"/>
      </w:pPr>
      <w:r w:rsidRPr="00C07AC4">
        <w:t xml:space="preserve">v) </w:t>
      </w:r>
      <w:r w:rsidRPr="00C07AC4">
        <w:tab/>
        <w:t xml:space="preserve">digitalizace by měla být prováděna tak, aby zaměstnanci získali více času na úkoly související s jejich odborností tím, že zautomatizuje opakující se úkoly a pomůže jim zajistit, aby správa Unie splňovala zásady a cíle uvedené v doporučení 2; </w:t>
      </w:r>
    </w:p>
    <w:p w14:paraId="5523558F" w14:textId="77777777" w:rsidR="00007EDE" w:rsidRPr="00C07AC4" w:rsidRDefault="00873F47" w:rsidP="00873F47">
      <w:pPr>
        <w:spacing w:after="240"/>
      </w:pPr>
      <w:r w:rsidRPr="00C07AC4">
        <w:t xml:space="preserve">vi) </w:t>
      </w:r>
      <w:r w:rsidRPr="00C07AC4">
        <w:tab/>
        <w:t>digitalizace by neměla vést k tomu, že odborné úkoly budou přenášeny na zaměstnance s neodbornými kompetencemi, kteří nejsou náležitě zaškoleni a nemají zdroje potřebné k plnění těchto úkolů.</w:t>
      </w:r>
    </w:p>
    <w:sectPr w:rsidR="00007EDE" w:rsidRPr="00C07AC4" w:rsidSect="002B2D1A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4AFE6" w14:textId="77777777" w:rsidR="005D4E25" w:rsidRPr="00C07AC4" w:rsidRDefault="005D4E25">
      <w:r w:rsidRPr="00C07AC4">
        <w:separator/>
      </w:r>
    </w:p>
  </w:endnote>
  <w:endnote w:type="continuationSeparator" w:id="0">
    <w:p w14:paraId="055CA2F4" w14:textId="77777777" w:rsidR="005D4E25" w:rsidRPr="00C07AC4" w:rsidRDefault="005D4E25">
      <w:r w:rsidRPr="00C07A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F2E95" w14:textId="1E540292" w:rsidR="00C07AC4" w:rsidRPr="00C07AC4" w:rsidRDefault="00C07AC4" w:rsidP="00C07AC4">
    <w:pPr>
      <w:pStyle w:val="EPFooter"/>
    </w:pPr>
    <w:r w:rsidRPr="00C07AC4">
      <w:t>PE</w:t>
    </w:r>
    <w:r w:rsidRPr="00C07AC4">
      <w:rPr>
        <w:rStyle w:val="HideTWBExt"/>
      </w:rPr>
      <w:t>&lt;NoPE&gt;</w:t>
    </w:r>
    <w:r w:rsidRPr="00C07AC4">
      <w:t>746.653</w:t>
    </w:r>
    <w:r w:rsidRPr="00C07AC4">
      <w:rPr>
        <w:rStyle w:val="HideTWBExt"/>
      </w:rPr>
      <w:t>&lt;/NoPE&gt;&lt;Version&gt;</w:t>
    </w:r>
    <w:r w:rsidRPr="00C07AC4">
      <w:t>v01-00</w:t>
    </w:r>
    <w:r w:rsidRPr="00C07AC4">
      <w:rPr>
        <w:rStyle w:val="HideTWBExt"/>
      </w:rPr>
      <w:t>&lt;/Version&gt;</w:t>
    </w:r>
    <w:r w:rsidRPr="00C07AC4">
      <w:tab/>
    </w:r>
    <w:r w:rsidRPr="00C07AC4">
      <w:fldChar w:fldCharType="begin"/>
    </w:r>
    <w:r w:rsidRPr="00C07AC4">
      <w:instrText xml:space="preserve"> PAGE  \* MERGEFORMAT </w:instrText>
    </w:r>
    <w:r w:rsidRPr="00C07AC4">
      <w:fldChar w:fldCharType="separate"/>
    </w:r>
    <w:r w:rsidR="003935E2">
      <w:rPr>
        <w:noProof/>
      </w:rPr>
      <w:t>2</w:t>
    </w:r>
    <w:r w:rsidRPr="00C07AC4">
      <w:fldChar w:fldCharType="end"/>
    </w:r>
    <w:r w:rsidRPr="00C07AC4">
      <w:t>/</w:t>
    </w:r>
    <w:r w:rsidR="003935E2">
      <w:fldChar w:fldCharType="begin"/>
    </w:r>
    <w:r w:rsidR="003935E2">
      <w:instrText xml:space="preserve"> NUMPAGES  \* MERGEFORMAT </w:instrText>
    </w:r>
    <w:r w:rsidR="003935E2">
      <w:fldChar w:fldCharType="separate"/>
    </w:r>
    <w:r w:rsidR="003935E2">
      <w:rPr>
        <w:noProof/>
      </w:rPr>
      <w:t>13</w:t>
    </w:r>
    <w:r w:rsidR="003935E2">
      <w:rPr>
        <w:noProof/>
      </w:rPr>
      <w:fldChar w:fldCharType="end"/>
    </w:r>
    <w:r w:rsidRPr="00C07AC4">
      <w:tab/>
    </w:r>
    <w:r w:rsidRPr="00C07AC4">
      <w:rPr>
        <w:rStyle w:val="HideTWBExt"/>
      </w:rPr>
      <w:t>&lt;PathFdR&gt;</w:t>
    </w:r>
    <w:r w:rsidRPr="00C07AC4">
      <w:t>PR\1276129CS.docx</w:t>
    </w:r>
    <w:r w:rsidRPr="00C07AC4">
      <w:rPr>
        <w:rStyle w:val="HideTWBExt"/>
      </w:rPr>
      <w:t>&lt;/PathFdR&gt;</w:t>
    </w:r>
  </w:p>
  <w:p w14:paraId="1DA5FD9B" w14:textId="6C020C70" w:rsidR="007255C3" w:rsidRPr="00C07AC4" w:rsidRDefault="00C07AC4" w:rsidP="00C07AC4">
    <w:pPr>
      <w:pStyle w:val="EPFooter2"/>
    </w:pPr>
    <w:r w:rsidRPr="00C07AC4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4741B" w14:textId="2ABC75EB" w:rsidR="00C07AC4" w:rsidRPr="00C07AC4" w:rsidRDefault="00C07AC4" w:rsidP="00C07AC4">
    <w:pPr>
      <w:pStyle w:val="EPFooter"/>
    </w:pPr>
    <w:r w:rsidRPr="00C07AC4">
      <w:rPr>
        <w:rStyle w:val="HideTWBExt"/>
      </w:rPr>
      <w:t>&lt;PathFdR&gt;</w:t>
    </w:r>
    <w:r w:rsidRPr="00C07AC4">
      <w:t>PR\1276129CS.docx</w:t>
    </w:r>
    <w:r w:rsidRPr="00C07AC4">
      <w:rPr>
        <w:rStyle w:val="HideTWBExt"/>
      </w:rPr>
      <w:t>&lt;/PathFdR&gt;</w:t>
    </w:r>
    <w:r w:rsidRPr="00C07AC4">
      <w:tab/>
    </w:r>
    <w:r w:rsidRPr="00C07AC4">
      <w:fldChar w:fldCharType="begin"/>
    </w:r>
    <w:r w:rsidRPr="00C07AC4">
      <w:instrText xml:space="preserve"> PAGE  \* MERGEFORMAT </w:instrText>
    </w:r>
    <w:r w:rsidRPr="00C07AC4">
      <w:fldChar w:fldCharType="separate"/>
    </w:r>
    <w:r w:rsidR="003935E2">
      <w:rPr>
        <w:noProof/>
      </w:rPr>
      <w:t>13</w:t>
    </w:r>
    <w:r w:rsidRPr="00C07AC4">
      <w:fldChar w:fldCharType="end"/>
    </w:r>
    <w:r w:rsidRPr="00C07AC4">
      <w:t>/</w:t>
    </w:r>
    <w:r w:rsidR="003935E2">
      <w:fldChar w:fldCharType="begin"/>
    </w:r>
    <w:r w:rsidR="003935E2">
      <w:instrText xml:space="preserve"> NUMPAGES  \* MERGEFORMAT </w:instrText>
    </w:r>
    <w:r w:rsidR="003935E2">
      <w:fldChar w:fldCharType="separate"/>
    </w:r>
    <w:r w:rsidR="003935E2">
      <w:rPr>
        <w:noProof/>
      </w:rPr>
      <w:t>13</w:t>
    </w:r>
    <w:r w:rsidR="003935E2">
      <w:rPr>
        <w:noProof/>
      </w:rPr>
      <w:fldChar w:fldCharType="end"/>
    </w:r>
    <w:r w:rsidRPr="00C07AC4">
      <w:tab/>
      <w:t>PE</w:t>
    </w:r>
    <w:r w:rsidRPr="00C07AC4">
      <w:rPr>
        <w:rStyle w:val="HideTWBExt"/>
      </w:rPr>
      <w:t>&lt;NoPE&gt;</w:t>
    </w:r>
    <w:r w:rsidRPr="00C07AC4">
      <w:t>746.653</w:t>
    </w:r>
    <w:r w:rsidRPr="00C07AC4">
      <w:rPr>
        <w:rStyle w:val="HideTWBExt"/>
      </w:rPr>
      <w:t>&lt;/NoPE&gt;&lt;Version&gt;</w:t>
    </w:r>
    <w:r w:rsidRPr="00C07AC4">
      <w:t>v01-00</w:t>
    </w:r>
    <w:r w:rsidRPr="00C07AC4">
      <w:rPr>
        <w:rStyle w:val="HideTWBExt"/>
      </w:rPr>
      <w:t>&lt;/Version&gt;</w:t>
    </w:r>
  </w:p>
  <w:p w14:paraId="170F9A52" w14:textId="2AABCCBD" w:rsidR="007255C3" w:rsidRPr="00C07AC4" w:rsidRDefault="00C07AC4" w:rsidP="00C07AC4">
    <w:pPr>
      <w:pStyle w:val="EPFooter2"/>
    </w:pPr>
    <w:r w:rsidRPr="00C07AC4">
      <w:tab/>
    </w:r>
    <w:r w:rsidRPr="00C07AC4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9DA2B" w14:textId="77777777" w:rsidR="00C07AC4" w:rsidRPr="00C07AC4" w:rsidRDefault="00C07AC4" w:rsidP="00C07AC4">
    <w:pPr>
      <w:pStyle w:val="EPFooter"/>
    </w:pPr>
    <w:r w:rsidRPr="00C07AC4">
      <w:rPr>
        <w:rStyle w:val="HideTWBExt"/>
      </w:rPr>
      <w:t>&lt;PathFdR&gt;</w:t>
    </w:r>
    <w:r w:rsidRPr="00C07AC4">
      <w:t>PR\1276129CS.docx</w:t>
    </w:r>
    <w:r w:rsidRPr="00C07AC4">
      <w:rPr>
        <w:rStyle w:val="HideTWBExt"/>
      </w:rPr>
      <w:t>&lt;/PathFdR&gt;</w:t>
    </w:r>
    <w:r w:rsidRPr="00C07AC4">
      <w:tab/>
    </w:r>
    <w:r w:rsidRPr="00C07AC4">
      <w:tab/>
      <w:t>PE</w:t>
    </w:r>
    <w:r w:rsidRPr="00C07AC4">
      <w:rPr>
        <w:rStyle w:val="HideTWBExt"/>
      </w:rPr>
      <w:t>&lt;NoPE&gt;</w:t>
    </w:r>
    <w:r w:rsidRPr="00C07AC4">
      <w:t>746.653</w:t>
    </w:r>
    <w:r w:rsidRPr="00C07AC4">
      <w:rPr>
        <w:rStyle w:val="HideTWBExt"/>
      </w:rPr>
      <w:t>&lt;/NoPE&gt;&lt;Version&gt;</w:t>
    </w:r>
    <w:r w:rsidRPr="00C07AC4">
      <w:t>v01-00</w:t>
    </w:r>
    <w:r w:rsidRPr="00C07AC4">
      <w:rPr>
        <w:rStyle w:val="HideTWBExt"/>
      </w:rPr>
      <w:t>&lt;/Version&gt;</w:t>
    </w:r>
  </w:p>
  <w:p w14:paraId="65FE12E5" w14:textId="665BD1BE" w:rsidR="007255C3" w:rsidRPr="00C07AC4" w:rsidRDefault="00C07AC4" w:rsidP="00C07AC4">
    <w:pPr>
      <w:pStyle w:val="EPFooter2"/>
    </w:pPr>
    <w:r w:rsidRPr="00C07AC4">
      <w:t>CS</w:t>
    </w:r>
    <w:r w:rsidRPr="00C07AC4">
      <w:tab/>
    </w:r>
    <w:r w:rsidRPr="00C07AC4">
      <w:rPr>
        <w:b w:val="0"/>
        <w:i/>
        <w:color w:val="C0C0C0"/>
        <w:sz w:val="22"/>
      </w:rPr>
      <w:t>Jednotná v rozmanitosti</w:t>
    </w:r>
    <w:r w:rsidRPr="00C07AC4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4DD9F" w14:textId="77777777" w:rsidR="005D4E25" w:rsidRPr="00C07AC4" w:rsidRDefault="005D4E25">
      <w:r w:rsidRPr="00C07AC4">
        <w:separator/>
      </w:r>
    </w:p>
  </w:footnote>
  <w:footnote w:type="continuationSeparator" w:id="0">
    <w:p w14:paraId="7AAF8855" w14:textId="77777777" w:rsidR="005D4E25" w:rsidRPr="00C07AC4" w:rsidRDefault="005D4E25">
      <w:r w:rsidRPr="00C07AC4">
        <w:continuationSeparator/>
      </w:r>
    </w:p>
  </w:footnote>
  <w:footnote w:id="1">
    <w:p w14:paraId="093E56EC" w14:textId="77777777" w:rsidR="00873F47" w:rsidRPr="00C07AC4" w:rsidRDefault="00873F47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07AC4">
        <w:rPr>
          <w:vertAlign w:val="superscript"/>
        </w:rPr>
        <w:footnoteRef/>
      </w:r>
      <w:r w:rsidRPr="00C07AC4">
        <w:tab/>
      </w:r>
      <w:r w:rsidRPr="00C07AC4">
        <w:rPr>
          <w:sz w:val="20"/>
        </w:rPr>
        <w:t>Úř. věst. L 295, 21.11.2018, s. 39.</w:t>
      </w:r>
    </w:p>
  </w:footnote>
  <w:footnote w:id="2">
    <w:p w14:paraId="37994266" w14:textId="77777777" w:rsidR="00873F47" w:rsidRPr="00C07AC4" w:rsidRDefault="00873F47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07AC4">
        <w:rPr>
          <w:sz w:val="20"/>
          <w:vertAlign w:val="superscript"/>
        </w:rPr>
        <w:footnoteRef/>
      </w:r>
      <w:r w:rsidRPr="00C07AC4">
        <w:rPr>
          <w:sz w:val="20"/>
        </w:rPr>
        <w:tab/>
        <w:t>Úř. věst. L 145, 31.5.2001, s. 43.</w:t>
      </w:r>
    </w:p>
  </w:footnote>
  <w:footnote w:id="3">
    <w:p w14:paraId="0D951268" w14:textId="77777777" w:rsidR="00873F47" w:rsidRPr="00C07AC4" w:rsidRDefault="00873F47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07AC4">
        <w:rPr>
          <w:sz w:val="20"/>
          <w:vertAlign w:val="superscript"/>
        </w:rPr>
        <w:footnoteRef/>
      </w:r>
      <w:r w:rsidRPr="00C07AC4">
        <w:tab/>
      </w:r>
      <w:r w:rsidRPr="00C07AC4">
        <w:rPr>
          <w:sz w:val="20"/>
        </w:rPr>
        <w:t>Úř. věst. C 72 E, 21.3.2002, s. 331.</w:t>
      </w:r>
    </w:p>
  </w:footnote>
  <w:footnote w:id="4">
    <w:p w14:paraId="2AEFE0F8" w14:textId="77777777" w:rsidR="00873F47" w:rsidRPr="00C07AC4" w:rsidRDefault="00873F47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07AC4">
        <w:rPr>
          <w:sz w:val="20"/>
          <w:vertAlign w:val="superscript"/>
        </w:rPr>
        <w:footnoteRef/>
      </w:r>
      <w:r w:rsidRPr="00C07AC4">
        <w:rPr>
          <w:sz w:val="20"/>
        </w:rPr>
        <w:tab/>
        <w:t>Úř. věst. L 267, 20.10.2000, s. 63.</w:t>
      </w:r>
    </w:p>
  </w:footnote>
  <w:footnote w:id="5">
    <w:p w14:paraId="4F9664FB" w14:textId="77777777" w:rsidR="00873F47" w:rsidRPr="00C07AC4" w:rsidRDefault="00873F47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07AC4">
        <w:rPr>
          <w:sz w:val="20"/>
          <w:vertAlign w:val="superscript"/>
        </w:rPr>
        <w:footnoteRef/>
      </w:r>
      <w:r w:rsidRPr="00C07AC4">
        <w:rPr>
          <w:sz w:val="20"/>
        </w:rPr>
        <w:tab/>
        <w:t>Úř. věst. C 189, 5.7.2001, s. 1.</w:t>
      </w:r>
    </w:p>
  </w:footnote>
  <w:footnote w:id="6">
    <w:p w14:paraId="57ACD7AF" w14:textId="63444422" w:rsidR="004027C0" w:rsidRPr="00C07AC4" w:rsidRDefault="004027C0" w:rsidP="00C07AC4">
      <w:pPr>
        <w:pStyle w:val="FootnoteText"/>
        <w:ind w:left="284" w:hanging="284"/>
        <w:jc w:val="both"/>
      </w:pPr>
      <w:r w:rsidRPr="00C07AC4">
        <w:rPr>
          <w:rStyle w:val="FootnoteReference"/>
        </w:rPr>
        <w:footnoteRef/>
      </w:r>
      <w:r w:rsidR="00C07AC4" w:rsidRPr="00C07AC4">
        <w:t xml:space="preserve"> </w:t>
      </w:r>
      <w:hyperlink r:id="rId1" w:history="1">
        <w:r w:rsidRPr="00C07AC4">
          <w:rPr>
            <w:rStyle w:val="Hyperlink"/>
          </w:rPr>
          <w:t>https://www.europeanlawinstitute.eu/fileadmin/user_upload/p_eli/Publications/ELI_Model_Rules_on_Impact_Assessment_of_ADMSs_Used_by_Public_Administration.pdf</w:t>
        </w:r>
      </w:hyperlink>
      <w:r w:rsidRPr="00C07AC4">
        <w:rPr>
          <w:rStyle w:val="Hyperlink"/>
        </w:rPr>
        <w:t>.</w:t>
      </w:r>
    </w:p>
  </w:footnote>
  <w:footnote w:id="7">
    <w:p w14:paraId="1CDB40FF" w14:textId="4CF6C297" w:rsidR="00873F47" w:rsidRPr="00C07AC4" w:rsidRDefault="00873F47" w:rsidP="00C07AC4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284" w:hanging="284"/>
        <w:rPr>
          <w:color w:val="000000"/>
          <w:sz w:val="20"/>
        </w:rPr>
      </w:pPr>
      <w:r w:rsidRPr="00C07AC4">
        <w:rPr>
          <w:sz w:val="20"/>
          <w:vertAlign w:val="superscript"/>
        </w:rPr>
        <w:footnoteRef/>
      </w:r>
      <w:r w:rsidRPr="00C07AC4">
        <w:rPr>
          <w:color w:val="000000"/>
          <w:sz w:val="22"/>
        </w:rPr>
        <w:tab/>
        <w:t xml:space="preserve"> </w:t>
      </w:r>
      <w:hyperlink r:id="rId2" w:history="1">
        <w:r w:rsidR="00C07AC4" w:rsidRPr="00C07AC4">
          <w:rPr>
            <w:rStyle w:val="Hyperlink"/>
            <w:sz w:val="20"/>
          </w:rPr>
          <w:t>http://www.europarl.europa.eu/committees/en/juri/studiesdownload.html?languageDocument=EN&amp;file=59983</w:t>
        </w:r>
      </w:hyperlink>
      <w:r w:rsidRPr="00C07AC4">
        <w:rPr>
          <w:color w:val="000000"/>
          <w:sz w:val="20"/>
        </w:rPr>
        <w:t>.</w:t>
      </w:r>
    </w:p>
  </w:footnote>
  <w:footnote w:id="8">
    <w:p w14:paraId="22594A1C" w14:textId="3193E676" w:rsidR="00873F47" w:rsidRPr="00C07AC4" w:rsidRDefault="00873F47" w:rsidP="00C07AC4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6" w:hanging="426"/>
        <w:rPr>
          <w:color w:val="000000"/>
          <w:sz w:val="20"/>
        </w:rPr>
      </w:pPr>
      <w:r w:rsidRPr="00C07AC4">
        <w:rPr>
          <w:sz w:val="20"/>
          <w:vertAlign w:val="superscript"/>
        </w:rPr>
        <w:footnoteRef/>
      </w:r>
      <w:r w:rsidR="00C07AC4" w:rsidRPr="00C07AC4">
        <w:t xml:space="preserve"> </w:t>
      </w:r>
      <w:hyperlink r:id="rId3" w:history="1">
        <w:r w:rsidRPr="00C07AC4">
          <w:rPr>
            <w:rStyle w:val="Hyperlink"/>
            <w:sz w:val="20"/>
          </w:rPr>
          <w:t>http://www.europarl.europa.eu/meetdocs/2009_2014/documents/juri/dv/juri_wdadministrativelaw_/juri_wdadministrativelaw_en.pdf</w:t>
        </w:r>
      </w:hyperlink>
      <w:r w:rsidRPr="00C07AC4">
        <w:rPr>
          <w:color w:val="000000"/>
          <w:sz w:val="20"/>
        </w:rPr>
        <w:t>.</w:t>
      </w:r>
    </w:p>
  </w:footnote>
  <w:footnote w:id="9">
    <w:p w14:paraId="567CD4FC" w14:textId="11FCFAE9" w:rsidR="00873F47" w:rsidRPr="00C07AC4" w:rsidRDefault="00873F47" w:rsidP="00C07AC4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6" w:hanging="357"/>
        <w:rPr>
          <w:color w:val="000000"/>
          <w:sz w:val="20"/>
        </w:rPr>
      </w:pPr>
      <w:r w:rsidRPr="00C07AC4">
        <w:rPr>
          <w:sz w:val="20"/>
          <w:vertAlign w:val="superscript"/>
        </w:rPr>
        <w:footnoteRef/>
      </w:r>
      <w:r w:rsidRPr="00C07AC4">
        <w:rPr>
          <w:color w:val="000000"/>
          <w:sz w:val="20"/>
        </w:rPr>
        <w:tab/>
        <w:t xml:space="preserve"> </w:t>
      </w:r>
      <w:hyperlink r:id="rId4" w:history="1">
        <w:r w:rsidRPr="00C07AC4">
          <w:rPr>
            <w:rStyle w:val="Hyperlink"/>
            <w:sz w:val="20"/>
          </w:rPr>
          <w:t>http://www.europarl.europa.eu/meetdocs/2009_2014/documents/juri/dv/eav_lawofadminprocedure_/EAV_LawofAdminprocedure_EN.pdf</w:t>
        </w:r>
      </w:hyperlink>
      <w:r w:rsidRPr="00C07AC4">
        <w:rPr>
          <w:color w:val="000000"/>
          <w:sz w:val="20"/>
        </w:rPr>
        <w:t>.</w:t>
      </w:r>
    </w:p>
  </w:footnote>
  <w:footnote w:id="10">
    <w:p w14:paraId="0E03A5F6" w14:textId="31327F68" w:rsidR="00873F47" w:rsidRPr="00C07AC4" w:rsidRDefault="00873F47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C07AC4">
        <w:rPr>
          <w:sz w:val="20"/>
          <w:vertAlign w:val="superscript"/>
        </w:rPr>
        <w:footnoteRef/>
      </w:r>
      <w:r w:rsidRPr="00C07AC4">
        <w:rPr>
          <w:color w:val="000000"/>
          <w:sz w:val="20"/>
        </w:rPr>
        <w:tab/>
      </w:r>
      <w:hyperlink r:id="rId5" w:history="1">
        <w:r w:rsidRPr="00C07AC4">
          <w:rPr>
            <w:rStyle w:val="Hyperlink"/>
            <w:sz w:val="20"/>
          </w:rPr>
          <w:t>https://www.europarl.europa.eu/RegData/etudes/STUD/2018/621841/EPRS_STU(2018)621841_EN.pdf</w:t>
        </w:r>
      </w:hyperlink>
      <w:r w:rsidRPr="00C07AC4">
        <w:rPr>
          <w:color w:val="000000"/>
          <w:sz w:val="20"/>
        </w:rPr>
        <w:t xml:space="preserve"> </w:t>
      </w:r>
    </w:p>
  </w:footnote>
  <w:footnote w:id="11">
    <w:p w14:paraId="3D027CC0" w14:textId="794E8C8C" w:rsidR="00F25FD5" w:rsidRPr="00C07AC4" w:rsidRDefault="00F25FD5">
      <w:pPr>
        <w:pStyle w:val="FootnoteText"/>
      </w:pPr>
      <w:r w:rsidRPr="00C07AC4">
        <w:rPr>
          <w:rStyle w:val="FootnoteReference"/>
        </w:rPr>
        <w:footnoteRef/>
      </w:r>
      <w:r w:rsidRPr="00C07AC4">
        <w:tab/>
      </w:r>
      <w:hyperlink r:id="rId6" w:history="1">
        <w:r w:rsidRPr="00C07AC4">
          <w:rPr>
            <w:rStyle w:val="Hyperlink"/>
          </w:rPr>
          <w:t>https://www.europarl.europa.eu/RegData/etudes/STUD/2018/621841/EPRS_STU(2018)621841_EN.pdf</w:t>
        </w:r>
      </w:hyperlink>
      <w:r w:rsidRPr="00C07AC4">
        <w:t xml:space="preserve"> </w:t>
      </w:r>
    </w:p>
  </w:footnote>
  <w:footnote w:id="12">
    <w:p w14:paraId="237895F0" w14:textId="5572D9E8" w:rsidR="00873F47" w:rsidRPr="00C07AC4" w:rsidRDefault="00873F47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C07AC4">
        <w:rPr>
          <w:sz w:val="20"/>
          <w:vertAlign w:val="superscript"/>
        </w:rPr>
        <w:footnoteRef/>
      </w:r>
      <w:r w:rsidRPr="00C07AC4">
        <w:rPr>
          <w:color w:val="000000"/>
          <w:sz w:val="20"/>
        </w:rPr>
        <w:tab/>
      </w:r>
      <w:hyperlink r:id="rId7">
        <w:r w:rsidRPr="00C07AC4">
          <w:rPr>
            <w:color w:val="0000FF"/>
            <w:sz w:val="20"/>
            <w:u w:val="single"/>
          </w:rPr>
          <w:t>https://www.europarl.europa.eu/thinktank/en/document/EPRS_STU(2022)730350</w:t>
        </w:r>
      </w:hyperlink>
      <w:r w:rsidRPr="00C07AC4">
        <w:rPr>
          <w:color w:val="000000"/>
          <w:sz w:val="20"/>
        </w:rPr>
        <w:t xml:space="preserve"> </w:t>
      </w:r>
    </w:p>
  </w:footnote>
  <w:footnote w:id="13">
    <w:p w14:paraId="641CD6E7" w14:textId="3DAF1A69" w:rsidR="00873F47" w:rsidRPr="00C07AC4" w:rsidRDefault="00873F47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07AC4">
        <w:rPr>
          <w:sz w:val="20"/>
          <w:vertAlign w:val="superscript"/>
        </w:rPr>
        <w:footnoteRef/>
      </w:r>
      <w:r w:rsidRPr="00C07AC4">
        <w:tab/>
      </w:r>
      <w:r w:rsidR="00C07AC4" w:rsidRPr="00C07AC4">
        <w:t xml:space="preserve"> </w:t>
      </w:r>
      <w:r w:rsidRPr="00C07AC4">
        <w:rPr>
          <w:sz w:val="20"/>
        </w:rPr>
        <w:t>Úř. věst. C 440, 30.12.2015, s. 17.</w:t>
      </w:r>
    </w:p>
  </w:footnote>
  <w:footnote w:id="14">
    <w:p w14:paraId="416D3708" w14:textId="321E8DA5" w:rsidR="00873F47" w:rsidRPr="00C07AC4" w:rsidRDefault="00873F47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C07AC4">
        <w:rPr>
          <w:sz w:val="20"/>
          <w:vertAlign w:val="superscript"/>
        </w:rPr>
        <w:footnoteRef/>
      </w:r>
      <w:r w:rsidRPr="00C07AC4">
        <w:rPr>
          <w:color w:val="000000"/>
          <w:sz w:val="20"/>
        </w:rPr>
        <w:tab/>
      </w:r>
      <w:hyperlink r:id="rId8">
        <w:r w:rsidRPr="00C07AC4">
          <w:rPr>
            <w:color w:val="0000FF"/>
            <w:sz w:val="20"/>
            <w:u w:val="single"/>
          </w:rPr>
          <w:t>https://www.europarl.europa.eu/cmsdata/150700/consultation-eu-law-summary-report.pdf</w:t>
        </w:r>
      </w:hyperlink>
    </w:p>
  </w:footnote>
  <w:footnote w:id="15">
    <w:p w14:paraId="15E502F4" w14:textId="592CD027" w:rsidR="00873F47" w:rsidRPr="00C07AC4" w:rsidRDefault="00873F47" w:rsidP="00873F47">
      <w:pPr>
        <w:pStyle w:val="FootnoteText"/>
      </w:pPr>
      <w:r w:rsidRPr="00C07AC4">
        <w:rPr>
          <w:rStyle w:val="FootnoteReference"/>
        </w:rPr>
        <w:footnoteRef/>
      </w:r>
      <w:r w:rsidRPr="00C07AC4">
        <w:t xml:space="preserve"> </w:t>
      </w:r>
      <w:hyperlink r:id="rId9" w:history="1">
        <w:r w:rsidRPr="00C07AC4">
          <w:rPr>
            <w:rStyle w:val="Hyperlink"/>
          </w:rPr>
          <w:t>https://www.europeanlawinstitute.eu/fileadmin/user_upload/p_eli/Publications/ELI_Model_Rules_on_Impact_Assessment_of_ADMSs_Used_by_Public_Administration.pdf</w:t>
        </w:r>
      </w:hyperlink>
      <w:r w:rsidRPr="00C07AC4">
        <w:t xml:space="preserve"> </w:t>
      </w:r>
    </w:p>
  </w:footnote>
  <w:footnote w:id="16">
    <w:p w14:paraId="0DAF0457" w14:textId="273A4083" w:rsidR="00873F47" w:rsidRPr="00C07AC4" w:rsidRDefault="00873F47" w:rsidP="00873F47">
      <w:pPr>
        <w:pStyle w:val="FootnoteText"/>
      </w:pPr>
      <w:r w:rsidRPr="00C07AC4">
        <w:rPr>
          <w:rStyle w:val="FootnoteReference"/>
        </w:rPr>
        <w:footnoteRef/>
      </w:r>
      <w:r w:rsidRPr="00C07AC4">
        <w:t xml:space="preserve"> </w:t>
      </w:r>
      <w:hyperlink r:id="rId10" w:anchor="opensourcesoftwarestrategy" w:history="1">
        <w:r w:rsidRPr="00C07AC4">
          <w:rPr>
            <w:rStyle w:val="Hyperlink"/>
          </w:rPr>
          <w:t>https://commission.europa.eu/about-european-commission/departments-and-executive-agencies/informatics/open-source-software-strategy_en#opensourcesoftwarestrategy</w:t>
        </w:r>
      </w:hyperlink>
      <w:r w:rsidRPr="00C07AC4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50719" w14:textId="77777777" w:rsidR="00EA11F2" w:rsidRDefault="00EA11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2A406" w14:textId="77777777" w:rsidR="00EA11F2" w:rsidRDefault="00EA11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490C8" w14:textId="77777777" w:rsidR="00EA11F2" w:rsidRDefault="00EA1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043A4D"/>
    <w:multiLevelType w:val="multilevel"/>
    <w:tmpl w:val="D3A62DA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6BC15D9"/>
    <w:multiLevelType w:val="multilevel"/>
    <w:tmpl w:val="90360D5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EF1417A"/>
    <w:multiLevelType w:val="multilevel"/>
    <w:tmpl w:val="63E016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MNU" w:val=" 3"/>
    <w:docVar w:name="COMKEY" w:val="JURI"/>
    <w:docVar w:name="CopyToNetwork" w:val="-1"/>
    <w:docVar w:name="LastEditedSection" w:val=" 1"/>
    <w:docVar w:name="strSubDir" w:val="1276"/>
    <w:docVar w:name="TXTLANGUE" w:val="CS"/>
    <w:docVar w:name="TXTLANGUEMIN" w:val="cs"/>
    <w:docVar w:name="TXTNRINL" w:val="2021/2161"/>
    <w:docVar w:name="TXTNRPE" w:val="746.653"/>
    <w:docVar w:name="TXTPEorAP" w:val="PE"/>
    <w:docVar w:name="TXTROUTE" w:val="PR\1276129CS.docx"/>
    <w:docVar w:name="TXTTITLE" w:val=" Digitalisation and Administrative Law"/>
    <w:docVar w:name="TXTVERSION" w:val="01-00"/>
  </w:docVars>
  <w:rsids>
    <w:rsidRoot w:val="005D4E25"/>
    <w:rsid w:val="000054D6"/>
    <w:rsid w:val="00007EDE"/>
    <w:rsid w:val="000163ED"/>
    <w:rsid w:val="00094CB3"/>
    <w:rsid w:val="000B0AEA"/>
    <w:rsid w:val="000D2714"/>
    <w:rsid w:val="000E7053"/>
    <w:rsid w:val="00126C3F"/>
    <w:rsid w:val="001514D5"/>
    <w:rsid w:val="00180885"/>
    <w:rsid w:val="00195D9E"/>
    <w:rsid w:val="001A502C"/>
    <w:rsid w:val="001A7362"/>
    <w:rsid w:val="001B089B"/>
    <w:rsid w:val="001E6D01"/>
    <w:rsid w:val="00223428"/>
    <w:rsid w:val="00246FFC"/>
    <w:rsid w:val="002B2D1A"/>
    <w:rsid w:val="002E11C3"/>
    <w:rsid w:val="003012E3"/>
    <w:rsid w:val="003065EF"/>
    <w:rsid w:val="0032795A"/>
    <w:rsid w:val="003348FE"/>
    <w:rsid w:val="00387D72"/>
    <w:rsid w:val="00392BD4"/>
    <w:rsid w:val="003935E2"/>
    <w:rsid w:val="0039462E"/>
    <w:rsid w:val="003F3152"/>
    <w:rsid w:val="003F3E62"/>
    <w:rsid w:val="004027C0"/>
    <w:rsid w:val="00403FE0"/>
    <w:rsid w:val="00405688"/>
    <w:rsid w:val="00420F4D"/>
    <w:rsid w:val="00422FF9"/>
    <w:rsid w:val="00467F52"/>
    <w:rsid w:val="0048134A"/>
    <w:rsid w:val="00486F5A"/>
    <w:rsid w:val="004877AE"/>
    <w:rsid w:val="004C2744"/>
    <w:rsid w:val="004E7BFD"/>
    <w:rsid w:val="005102A9"/>
    <w:rsid w:val="00511904"/>
    <w:rsid w:val="00565254"/>
    <w:rsid w:val="00581D3F"/>
    <w:rsid w:val="00584FD7"/>
    <w:rsid w:val="005A5B05"/>
    <w:rsid w:val="005B4360"/>
    <w:rsid w:val="005C24FC"/>
    <w:rsid w:val="005D4E25"/>
    <w:rsid w:val="005F3B68"/>
    <w:rsid w:val="006054FC"/>
    <w:rsid w:val="00613DCC"/>
    <w:rsid w:val="006432B2"/>
    <w:rsid w:val="00666059"/>
    <w:rsid w:val="00681C9C"/>
    <w:rsid w:val="006968DA"/>
    <w:rsid w:val="006D5569"/>
    <w:rsid w:val="006E1DCB"/>
    <w:rsid w:val="006E50B6"/>
    <w:rsid w:val="00721690"/>
    <w:rsid w:val="007255C3"/>
    <w:rsid w:val="00736DD2"/>
    <w:rsid w:val="007473CF"/>
    <w:rsid w:val="00764352"/>
    <w:rsid w:val="00773D6B"/>
    <w:rsid w:val="007E1C43"/>
    <w:rsid w:val="00814003"/>
    <w:rsid w:val="00864CA1"/>
    <w:rsid w:val="00873F47"/>
    <w:rsid w:val="008E72B0"/>
    <w:rsid w:val="008F2355"/>
    <w:rsid w:val="00921474"/>
    <w:rsid w:val="009271DD"/>
    <w:rsid w:val="009413AC"/>
    <w:rsid w:val="00957CA7"/>
    <w:rsid w:val="009C2AF9"/>
    <w:rsid w:val="009D1EB7"/>
    <w:rsid w:val="009E5AB9"/>
    <w:rsid w:val="009E5AF9"/>
    <w:rsid w:val="009E6E1A"/>
    <w:rsid w:val="009F6042"/>
    <w:rsid w:val="00A1070F"/>
    <w:rsid w:val="00A1681E"/>
    <w:rsid w:val="00A5291F"/>
    <w:rsid w:val="00AA7B89"/>
    <w:rsid w:val="00AB727F"/>
    <w:rsid w:val="00AF0D4F"/>
    <w:rsid w:val="00B22CCD"/>
    <w:rsid w:val="00B27D4A"/>
    <w:rsid w:val="00BB2884"/>
    <w:rsid w:val="00BD2C91"/>
    <w:rsid w:val="00BD7032"/>
    <w:rsid w:val="00BF1602"/>
    <w:rsid w:val="00BF2276"/>
    <w:rsid w:val="00C07AC4"/>
    <w:rsid w:val="00C07DA0"/>
    <w:rsid w:val="00C30980"/>
    <w:rsid w:val="00C44FB7"/>
    <w:rsid w:val="00C802B6"/>
    <w:rsid w:val="00CA5063"/>
    <w:rsid w:val="00CB6B5C"/>
    <w:rsid w:val="00CB7130"/>
    <w:rsid w:val="00CF7E82"/>
    <w:rsid w:val="00D06A20"/>
    <w:rsid w:val="00D07D07"/>
    <w:rsid w:val="00D11934"/>
    <w:rsid w:val="00D1551E"/>
    <w:rsid w:val="00D15D7A"/>
    <w:rsid w:val="00D20C91"/>
    <w:rsid w:val="00D4717C"/>
    <w:rsid w:val="00D62793"/>
    <w:rsid w:val="00D65E7F"/>
    <w:rsid w:val="00DA5BEC"/>
    <w:rsid w:val="00DB5CF1"/>
    <w:rsid w:val="00DB6E1C"/>
    <w:rsid w:val="00DC17C8"/>
    <w:rsid w:val="00DD249E"/>
    <w:rsid w:val="00E0452E"/>
    <w:rsid w:val="00E4043F"/>
    <w:rsid w:val="00E71939"/>
    <w:rsid w:val="00EA0BB4"/>
    <w:rsid w:val="00EA11F2"/>
    <w:rsid w:val="00EB420E"/>
    <w:rsid w:val="00EE7B71"/>
    <w:rsid w:val="00F25FD5"/>
    <w:rsid w:val="00F314A1"/>
    <w:rsid w:val="00F663D3"/>
    <w:rsid w:val="00FD4CD8"/>
    <w:rsid w:val="00FD73D9"/>
    <w:rsid w:val="00FF26C9"/>
    <w:rsid w:val="00FF5759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7A304"/>
  <w15:chartTrackingRefBased/>
  <w15:docId w15:val="{869BCABC-3A31-46D3-A192-04E53703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 w:qFormat="1"/>
    <w:lsdException w:name="footer" w:semiHidden="1"/>
    <w:lsdException w:name="caption" w:semiHidden="1" w:unhideWhenUsed="1" w:qFormat="1"/>
    <w:lsdException w:name="annotation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4F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84FD7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9E5AB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46FF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12a">
    <w:name w:val="CoverNormal12a"/>
    <w:basedOn w:val="Normal"/>
    <w:rsid w:val="006968DA"/>
    <w:pPr>
      <w:spacing w:after="240"/>
      <w:ind w:left="1418"/>
    </w:pPr>
  </w:style>
  <w:style w:type="paragraph" w:customStyle="1" w:styleId="CoverNormal24a">
    <w:name w:val="CoverNormal24a"/>
    <w:basedOn w:val="Normal"/>
    <w:rsid w:val="0039462E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13DCC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195D9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D1EB7"/>
    <w:pPr>
      <w:tabs>
        <w:tab w:val="center" w:pos="4513"/>
        <w:tab w:val="right" w:pos="9026"/>
      </w:tabs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921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514D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2147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2147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46FF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46FFC"/>
    <w:pPr>
      <w:jc w:val="right"/>
    </w:pPr>
  </w:style>
  <w:style w:type="paragraph" w:customStyle="1" w:styleId="EPFooter">
    <w:name w:val="EPFooter"/>
    <w:basedOn w:val="Normal"/>
    <w:rsid w:val="00195D9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D1EB7"/>
    <w:rPr>
      <w:sz w:val="24"/>
    </w:rPr>
  </w:style>
  <w:style w:type="character" w:customStyle="1" w:styleId="Heading9Char">
    <w:name w:val="Heading 9 Char"/>
    <w:basedOn w:val="DefaultParagraphFont"/>
    <w:link w:val="Heading9"/>
    <w:semiHidden/>
    <w:qFormat/>
    <w:rsid w:val="00873F47"/>
    <w:rPr>
      <w:rFonts w:ascii="Arial" w:hAnsi="Arial"/>
      <w:b/>
      <w:i/>
      <w:sz w:val="18"/>
    </w:rPr>
  </w:style>
  <w:style w:type="character" w:styleId="FootnoteReference">
    <w:name w:val="footnote reference"/>
    <w:rsid w:val="00873F47"/>
    <w:rPr>
      <w:b w:val="0"/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sid w:val="00873F47"/>
    <w:rPr>
      <w:lang w:val="cs-CZ" w:eastAsia="fr-FR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873F47"/>
    <w:rPr>
      <w:rFonts w:ascii="Calibri" w:hAnsi="Calibri"/>
    </w:rPr>
  </w:style>
  <w:style w:type="character" w:styleId="CommentReference">
    <w:name w:val="annotation reference"/>
    <w:uiPriority w:val="99"/>
    <w:unhideWhenUsed/>
    <w:qFormat/>
    <w:rsid w:val="00873F47"/>
    <w:rPr>
      <w:rFonts w:ascii="Times New Roman" w:hAnsi="Times New Roman" w:cs="Times New Roman"/>
      <w:sz w:val="16"/>
      <w:szCs w:val="16"/>
    </w:rPr>
  </w:style>
  <w:style w:type="character" w:styleId="Hyperlink">
    <w:name w:val="Hyperlink"/>
    <w:uiPriority w:val="99"/>
    <w:rsid w:val="00873F47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873F47"/>
    <w:pPr>
      <w:keepLines/>
      <w:widowControl/>
      <w:spacing w:line="260" w:lineRule="exact"/>
      <w:ind w:left="425" w:hanging="425"/>
    </w:pPr>
    <w:rPr>
      <w:sz w:val="20"/>
      <w:lang w:eastAsia="fr-FR"/>
    </w:rPr>
  </w:style>
  <w:style w:type="character" w:customStyle="1" w:styleId="FootnoteTextChar1">
    <w:name w:val="Footnote Text Char1"/>
    <w:basedOn w:val="DefaultParagraphFont"/>
    <w:rsid w:val="00873F47"/>
  </w:style>
  <w:style w:type="paragraph" w:styleId="CommentText">
    <w:name w:val="annotation text"/>
    <w:basedOn w:val="Normal"/>
    <w:link w:val="CommentTextChar"/>
    <w:uiPriority w:val="99"/>
    <w:unhideWhenUsed/>
    <w:qFormat/>
    <w:rsid w:val="00873F47"/>
    <w:pPr>
      <w:widowControl/>
      <w:spacing w:after="200" w:line="276" w:lineRule="auto"/>
    </w:pPr>
    <w:rPr>
      <w:rFonts w:ascii="Calibri" w:hAnsi="Calibri"/>
      <w:sz w:val="20"/>
    </w:rPr>
  </w:style>
  <w:style w:type="character" w:customStyle="1" w:styleId="CommentTextChar1">
    <w:name w:val="Comment Text Char1"/>
    <w:basedOn w:val="DefaultParagraphFont"/>
    <w:rsid w:val="00873F47"/>
  </w:style>
  <w:style w:type="paragraph" w:styleId="BalloonText">
    <w:name w:val="Balloon Text"/>
    <w:basedOn w:val="Normal"/>
    <w:link w:val="BalloonTextChar"/>
    <w:semiHidden/>
    <w:unhideWhenUsed/>
    <w:rsid w:val="00873F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3F47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rsid w:val="00F25F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25FD5"/>
    <w:rPr>
      <w:sz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20F4D"/>
    <w:pPr>
      <w:widowControl w:val="0"/>
      <w:spacing w:after="0" w:line="240" w:lineRule="auto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20F4D"/>
    <w:rPr>
      <w:rFonts w:ascii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9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arl.europa.eu/cmsdata/150700/consultation-eu-law-summary-report.pdf" TargetMode="External"/><Relationship Id="rId3" Type="http://schemas.openxmlformats.org/officeDocument/2006/relationships/hyperlink" Target="http://www.europarl.europa.eu/meetdocs/2009_2014/documents/juri/dv/juri_wdadministrativelaw_/juri_wdadministrativelaw_en.pdf" TargetMode="External"/><Relationship Id="rId7" Type="http://schemas.openxmlformats.org/officeDocument/2006/relationships/hyperlink" Target="https://www.europarl.europa.eu/thinktank/en/document/EPRS_STU(2022)730350" TargetMode="External"/><Relationship Id="rId2" Type="http://schemas.openxmlformats.org/officeDocument/2006/relationships/hyperlink" Target="http://www.europarl.europa.eu/committees/en/juri/studiesdownload.html?languageDocument=EN&amp;file=59983" TargetMode="External"/><Relationship Id="rId1" Type="http://schemas.openxmlformats.org/officeDocument/2006/relationships/hyperlink" Target="https://www.europeanlawinstitute.eu/fileadmin/user_upload/p_eli/Publications/ELI_Model_Rules_on_Impact_Assessment_of_ADMSs_Used_by_Public_Administration.pdf" TargetMode="External"/><Relationship Id="rId6" Type="http://schemas.openxmlformats.org/officeDocument/2006/relationships/hyperlink" Target="https://www.europarl.europa.eu/RegData/etudes/STUD/2018/621841/EPRS_STU(2018)621841_EN.pdf" TargetMode="External"/><Relationship Id="rId5" Type="http://schemas.openxmlformats.org/officeDocument/2006/relationships/hyperlink" Target="https://www.europarl.europa.eu/RegData/etudes/STUD/2018/621841/EPRS_STU(2018)621841_EN.pdf" TargetMode="External"/><Relationship Id="rId10" Type="http://schemas.openxmlformats.org/officeDocument/2006/relationships/hyperlink" Target="https://commission.europa.eu/about-european-commission/departments-and-executive-agencies/informatics/open-source-software-strategy_en" TargetMode="External"/><Relationship Id="rId4" Type="http://schemas.openxmlformats.org/officeDocument/2006/relationships/hyperlink" Target="http://www.europarl.europa.eu/meetdocs/2009_2014/documents/juri/dv/eav_lawofadminprocedure_/EAV_LawofAdminprocedure_EN.pdf" TargetMode="External"/><Relationship Id="rId9" Type="http://schemas.openxmlformats.org/officeDocument/2006/relationships/hyperlink" Target="https://www.europeanlawinstitute.eu/fileadmin/user_upload/p_eli/Publications/ELI_Model_Rules_on_Impact_Assessment_of_ADMSs_Used_by_Public_Administr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DE93C-D373-4FC9-B3FC-797CDD339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3987</Words>
  <Characters>24245</Characters>
  <Application>Microsoft Office Word</Application>
  <DocSecurity>0</DocSecurity>
  <Lines>475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PR_INL</vt:lpstr>
    </vt:vector>
  </TitlesOfParts>
  <Company/>
  <LinksUpToDate>false</LinksUpToDate>
  <CharactersWithSpaces>28108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PR_INL</dc:title>
  <dc:subject/>
  <dc:creator>RODRIGUEZ MALNERO Yolanda</dc:creator>
  <cp:keywords/>
  <dc:description/>
  <cp:lastModifiedBy>VIDROVA Kamila</cp:lastModifiedBy>
  <cp:revision>2</cp:revision>
  <cp:lastPrinted>2004-12-08T15:27:00Z</cp:lastPrinted>
  <dcterms:created xsi:type="dcterms:W3CDTF">2023-06-22T15:01:00Z</dcterms:created>
  <dcterms:modified xsi:type="dcterms:W3CDTF">2023-06-22T15:01:00Z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9.15.0 Build [20230501]</vt:lpwstr>
  </property>
  <property fmtid="{D5CDD505-2E9C-101B-9397-08002B2CF9AE}" pid="4" name="LastEdited with">
    <vt:lpwstr>9.15.0 Build [20230501]</vt:lpwstr>
  </property>
  <property fmtid="{D5CDD505-2E9C-101B-9397-08002B2CF9AE}" pid="5" name="&lt;FdR&gt;">
    <vt:lpwstr>1276129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\\eiciBRUpr1\pdocep$\DocEP\DOCS\General\PR\PR_NonLeg\Other\PR_INL.dotx(16/12/2022 07:40:19)</vt:lpwstr>
  </property>
  <property fmtid="{D5CDD505-2E9C-101B-9397-08002B2CF9AE}" pid="8" name="&lt;ModelTra&gt;">
    <vt:lpwstr>\\eiciBRUpr1\pdocep$\DocEP\TRANSFIL\EN\PR_INL.EN(16/10/2019 10:24:00)</vt:lpwstr>
  </property>
  <property fmtid="{D5CDD505-2E9C-101B-9397-08002B2CF9AE}" pid="9" name="&lt;Model&gt;">
    <vt:lpwstr>PR_INL</vt:lpwstr>
  </property>
  <property fmtid="{D5CDD505-2E9C-101B-9397-08002B2CF9AE}" pid="10" name="FooterPath">
    <vt:lpwstr>PR\1276129CS.docx</vt:lpwstr>
  </property>
  <property fmtid="{D5CDD505-2E9C-101B-9397-08002B2CF9AE}" pid="11" name="PE number">
    <vt:lpwstr>746.653</vt:lpwstr>
  </property>
  <property fmtid="{D5CDD505-2E9C-101B-9397-08002B2CF9AE}" pid="12" name="SendToEpades">
    <vt:lpwstr>OK - 2023/06/12 10:25</vt:lpwstr>
  </property>
  <property fmtid="{D5CDD505-2E9C-101B-9397-08002B2CF9AE}" pid="13" name="Bookout">
    <vt:lpwstr>NOK(NotAuthStyle) - 2023/06/22 16:41</vt:lpwstr>
  </property>
</Properties>
</file>