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0637F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B0AEA" w:rsidRPr="0091039D" w:rsidRDefault="00B45FA0" w:rsidP="00C85D0F">
            <w:pPr>
              <w:pStyle w:val="EPName"/>
            </w:pPr>
            <w:r>
              <w:t>Europski parlament</w:t>
            </w:r>
          </w:p>
          <w:p w:rsidR="000B0AEA" w:rsidRPr="00CA0222" w:rsidRDefault="00B45FA0" w:rsidP="00CA0222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0B0AEA" w:rsidRPr="0091039D" w:rsidRDefault="00B45FA0" w:rsidP="00C85D0F">
            <w:pPr>
              <w:pStyle w:val="EPLogo"/>
            </w:pPr>
            <w:r w:rsidRPr="0091039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1474" w:rsidRPr="0091039D" w:rsidRDefault="00921474" w:rsidP="00921474">
      <w:pPr>
        <w:pStyle w:val="LineTop"/>
      </w:pPr>
    </w:p>
    <w:p w:rsidR="00921474" w:rsidRPr="0091039D" w:rsidRDefault="00B45FA0" w:rsidP="00921474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{JURI}</w:t>
      </w:r>
      <w:r>
        <w:t>Odbor za pravna pitanja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21474" w:rsidRPr="0091039D" w:rsidRDefault="00921474" w:rsidP="00921474">
      <w:pPr>
        <w:pStyle w:val="LineBottom"/>
      </w:pPr>
    </w:p>
    <w:p w:rsidR="009E6E1A" w:rsidRPr="0091039D" w:rsidRDefault="00B45FA0">
      <w:pPr>
        <w:pStyle w:val="CoverReference"/>
      </w:pPr>
      <w:r>
        <w:rPr>
          <w:rStyle w:val="HideTWBExt"/>
          <w:b w:val="0"/>
        </w:rPr>
        <w:t>&lt;RefProc&gt;</w:t>
      </w:r>
      <w:r>
        <w:t>2021/2161</w:t>
      </w:r>
      <w:r>
        <w:rPr>
          <w:rStyle w:val="HideTWBExt"/>
          <w:b w:val="0"/>
        </w:rPr>
        <w:t>&lt;/RefProc&gt;&lt;RefTypeProc&gt;</w:t>
      </w:r>
      <w:r>
        <w:t>(INL)</w:t>
      </w:r>
      <w:r>
        <w:rPr>
          <w:rStyle w:val="HideTWBExt"/>
          <w:b w:val="0"/>
        </w:rPr>
        <w:t>&lt;/RefTypeProc&gt;</w:t>
      </w:r>
    </w:p>
    <w:p w:rsidR="009E6E1A" w:rsidRPr="0091039D" w:rsidRDefault="00B45FA0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{09/06/2023}</w:t>
      </w:r>
      <w:r>
        <w:t>9.6.2023</w:t>
      </w:r>
      <w:r>
        <w:rPr>
          <w:rStyle w:val="HideTWBExt"/>
        </w:rPr>
        <w:t>&lt;/Date&gt;</w:t>
      </w:r>
    </w:p>
    <w:p w:rsidR="009E6E1A" w:rsidRPr="0091039D" w:rsidRDefault="00B45FA0">
      <w:pPr>
        <w:pStyle w:val="CoverDocType24a"/>
      </w:pPr>
      <w:r>
        <w:rPr>
          <w:rStyle w:val="HideTWBExt"/>
          <w:b w:val="0"/>
        </w:rPr>
        <w:t>&lt;TitreType&gt;</w:t>
      </w:r>
      <w:r>
        <w:t>NACRT IZVJEŠĆA</w:t>
      </w:r>
      <w:r>
        <w:rPr>
          <w:rStyle w:val="HideTWBExt"/>
          <w:b w:val="0"/>
        </w:rPr>
        <w:t>&lt;/TitreType&gt;</w:t>
      </w:r>
    </w:p>
    <w:p w:rsidR="009E6E1A" w:rsidRPr="0091039D" w:rsidRDefault="00B45FA0">
      <w:pPr>
        <w:pStyle w:val="CoverNormal"/>
      </w:pPr>
      <w:r>
        <w:rPr>
          <w:rStyle w:val="HideTWBExt"/>
        </w:rPr>
        <w:t>&lt;Titre&gt;</w:t>
      </w:r>
      <w:r>
        <w:t>s preporukama Komisiji o digitalizaciji i upravnom pravu</w:t>
      </w:r>
      <w:r>
        <w:rPr>
          <w:rStyle w:val="HideTWBExt"/>
        </w:rPr>
        <w:t>&lt;/Titre&gt;</w:t>
      </w:r>
    </w:p>
    <w:p w:rsidR="009E6E1A" w:rsidRPr="0091039D" w:rsidRDefault="00B45FA0">
      <w:pPr>
        <w:pStyle w:val="CoverNormal24a"/>
      </w:pPr>
      <w:r>
        <w:rPr>
          <w:rStyle w:val="HideTWBExt"/>
        </w:rPr>
        <w:t>&lt;DocRef&gt;</w:t>
      </w:r>
      <w:r>
        <w:t>(2021/2161(INL))</w:t>
      </w:r>
      <w:r>
        <w:rPr>
          <w:rStyle w:val="HideTWBExt"/>
        </w:rPr>
        <w:t>&lt;/DocRef&gt;</w:t>
      </w:r>
    </w:p>
    <w:p w:rsidR="009E6E1A" w:rsidRPr="0091039D" w:rsidRDefault="00B45FA0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{JURI}</w:t>
      </w:r>
      <w:r>
        <w:t>Odbor za pravna pitanja</w:t>
      </w:r>
      <w:r>
        <w:rPr>
          <w:rStyle w:val="HideTWBExt"/>
        </w:rPr>
        <w:t>&lt;/Commission&gt;</w:t>
      </w:r>
    </w:p>
    <w:p w:rsidR="009E6E1A" w:rsidRPr="0091039D" w:rsidRDefault="00B45FA0" w:rsidP="0039462E">
      <w:pPr>
        <w:pStyle w:val="CoverNormal24a"/>
      </w:pPr>
      <w:r>
        <w:t xml:space="preserve">Izvjestiteljica: </w:t>
      </w:r>
      <w:r>
        <w:rPr>
          <w:rStyle w:val="HideTWBExt"/>
        </w:rPr>
        <w:t>&lt;Depute&gt;</w:t>
      </w:r>
      <w:r>
        <w:t>Karen Melchior</w:t>
      </w:r>
      <w:r>
        <w:rPr>
          <w:rStyle w:val="HideTWBExt"/>
        </w:rPr>
        <w:t>&lt;/Depute&gt;</w:t>
      </w:r>
    </w:p>
    <w:p w:rsidR="009E6E1A" w:rsidRPr="0091039D" w:rsidRDefault="00B45FA0" w:rsidP="00BF1602">
      <w:pPr>
        <w:pStyle w:val="CoverNormal12a"/>
      </w:pPr>
      <w:r>
        <w:t>(Inicijativa – članak 47. Poslovnika)</w:t>
      </w:r>
    </w:p>
    <w:p w:rsidR="009E6E1A" w:rsidRPr="0091039D" w:rsidRDefault="00B45FA0" w:rsidP="00246FFC">
      <w:pPr>
        <w:widowControl/>
        <w:tabs>
          <w:tab w:val="center" w:pos="4677"/>
        </w:tabs>
      </w:pPr>
      <w:r>
        <w:br w:type="page"/>
      </w:r>
      <w:r>
        <w:lastRenderedPageBreak/>
        <w:t>PR_INL</w:t>
      </w:r>
    </w:p>
    <w:p w:rsidR="009E6E1A" w:rsidRPr="0091039D" w:rsidRDefault="00B45FA0">
      <w:pPr>
        <w:pStyle w:val="TOCHeading"/>
      </w:pPr>
      <w:r>
        <w:t>SADRŽAJ</w:t>
      </w:r>
    </w:p>
    <w:p w:rsidR="009E6E1A" w:rsidRPr="0091039D" w:rsidRDefault="00B45FA0">
      <w:pPr>
        <w:pStyle w:val="TOCPage"/>
      </w:pPr>
      <w:r>
        <w:t>Stranica</w:t>
      </w:r>
    </w:p>
    <w:p w:rsidR="006139B7" w:rsidRDefault="00B45FA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91039D">
        <w:fldChar w:fldCharType="begin"/>
      </w:r>
      <w:r w:rsidRPr="0091039D">
        <w:instrText xml:space="preserve"> TOC \t "PageHeading</w:instrText>
      </w:r>
      <w:r w:rsidR="00ED096B">
        <w:instrText>;</w:instrText>
      </w:r>
      <w:r w:rsidRPr="0091039D">
        <w:instrText xml:space="preserve">1" </w:instrText>
      </w:r>
      <w:r w:rsidRPr="0091039D">
        <w:fldChar w:fldCharType="separate"/>
      </w:r>
      <w:r w:rsidR="006139B7">
        <w:rPr>
          <w:noProof/>
        </w:rPr>
        <w:t>PRIJEDLOG REZOLUCIJE EUROPSKOG PARLAMENTA</w:t>
      </w:r>
      <w:r w:rsidR="006139B7">
        <w:rPr>
          <w:noProof/>
        </w:rPr>
        <w:tab/>
      </w:r>
      <w:r w:rsidR="006139B7">
        <w:rPr>
          <w:noProof/>
        </w:rPr>
        <w:fldChar w:fldCharType="begin"/>
      </w:r>
      <w:r w:rsidR="006139B7">
        <w:rPr>
          <w:noProof/>
        </w:rPr>
        <w:instrText xml:space="preserve"> PAGEREF _Toc138660973 \h </w:instrText>
      </w:r>
      <w:r w:rsidR="006139B7">
        <w:rPr>
          <w:noProof/>
        </w:rPr>
      </w:r>
      <w:r w:rsidR="006139B7">
        <w:rPr>
          <w:noProof/>
        </w:rPr>
        <w:fldChar w:fldCharType="separate"/>
      </w:r>
      <w:r w:rsidR="006139B7">
        <w:rPr>
          <w:noProof/>
        </w:rPr>
        <w:t>3</w:t>
      </w:r>
      <w:r w:rsidR="006139B7">
        <w:rPr>
          <w:noProof/>
        </w:rPr>
        <w:fldChar w:fldCharType="end"/>
      </w:r>
    </w:p>
    <w:p w:rsidR="006139B7" w:rsidRDefault="006139B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PRILOG PRIJEDLOGU REZOLUCIJE: PREPORUKE O SADRŽAJU TRAŽENOG PRIJEDLOGA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_Toc138660974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502C" w:rsidRPr="0091039D" w:rsidRDefault="00B45FA0" w:rsidP="005B4360">
      <w:r w:rsidRPr="0091039D">
        <w:fldChar w:fldCharType="end"/>
      </w:r>
    </w:p>
    <w:p w:rsidR="009E6E1A" w:rsidRPr="0091039D" w:rsidRDefault="00B45FA0">
      <w:pPr>
        <w:pStyle w:val="PageHeading"/>
      </w:pPr>
      <w:r>
        <w:br w:type="page"/>
      </w:r>
      <w:bookmarkStart w:id="0" w:name="_Toc138660973"/>
      <w:r>
        <w:t>PRIJEDLOG REZOLUCIJE EUROPSKOG PARLAMENTA</w:t>
      </w:r>
      <w:bookmarkEnd w:id="0"/>
    </w:p>
    <w:p w:rsidR="009E6E1A" w:rsidRPr="0091039D" w:rsidRDefault="00B45FA0">
      <w:pPr>
        <w:pStyle w:val="NormalBold"/>
      </w:pPr>
      <w:r>
        <w:t>s preporukama Komisiji o digitalizaciji i upravnom pravu</w:t>
      </w:r>
    </w:p>
    <w:p w:rsidR="009E6E1A" w:rsidRPr="0091039D" w:rsidRDefault="00B45FA0" w:rsidP="00584FD7">
      <w:pPr>
        <w:pStyle w:val="NormalBold"/>
      </w:pPr>
      <w:r>
        <w:t>(2021/2161(INL))</w:t>
      </w:r>
    </w:p>
    <w:p w:rsidR="009E6E1A" w:rsidRPr="0091039D" w:rsidRDefault="00B45FA0">
      <w:pPr>
        <w:pStyle w:val="EPComma"/>
      </w:pPr>
      <w:r>
        <w:rPr>
          <w:i/>
        </w:rPr>
        <w:t>Europski parlament</w:t>
      </w:r>
      <w:r>
        <w:t>,</w:t>
      </w:r>
    </w:p>
    <w:p w:rsidR="009E6E1A" w:rsidRPr="0091039D" w:rsidRDefault="00B45FA0">
      <w:pPr>
        <w:pStyle w:val="NormalHanging12a"/>
      </w:pPr>
      <w:r>
        <w:t>–</w:t>
      </w:r>
      <w:r>
        <w:tab/>
        <w:t>uzimajući u obzir članak 225. Ugovora o funkcioniranju Europske unije,</w:t>
      </w:r>
    </w:p>
    <w:p w:rsidR="00CA0222" w:rsidRPr="0091039D" w:rsidRDefault="00B45FA0" w:rsidP="00CA0222">
      <w:pPr>
        <w:pStyle w:val="NormalHanging12a"/>
      </w:pPr>
      <w:r>
        <w:t>–</w:t>
      </w:r>
      <w:r>
        <w:tab/>
        <w:t>uzimajući u obzir članak 298. Ugovora o funkcioniranju Europske unije,</w:t>
      </w:r>
    </w:p>
    <w:p w:rsidR="00AF5DF1" w:rsidRPr="00223428" w:rsidRDefault="00B45FA0" w:rsidP="00AF5DF1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uzimajući u obzir članak 41. Povelje Europske unije o temeljnim pravima prema kojemu je pravo na dobru upravu temeljno pravo,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zajedničku izjavu Europskog parlamenta, Vijeća i Komisije o Europskoj deklaraciji o digitalnim pravima i načelima za digitalno desetljeće od 15. prosinca 2022.,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Uredbu (EU) 2018/1725 Europskog parlamenta i Vijeća od 23. listopada 2018. o zaštiti pojedinaca u vezi s obradom osobnih podataka u institucijama, tijelima, uredima i agencijama Unije i o slobodnom kretanju takvih podataka te o stavljanju izvan snage Uredbe (EZ) br. 45/2001 i Odluke br. 1247/2002/EZ</w:t>
      </w:r>
      <w:r>
        <w:rPr>
          <w:color w:val="000000"/>
          <w:vertAlign w:val="superscript"/>
        </w:rPr>
        <w:footnoteReference w:id="1"/>
      </w:r>
      <w:r>
        <w:rPr>
          <w:color w:val="000000"/>
        </w:rPr>
        <w:t>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Uredbu (EZ) br. 1049/2001 Europskog parlamenta i Vijeća od 30. svibnja 2001. o javnom pristupu dokumentima Europskog parlamenta, Vijeća i Komisije</w:t>
      </w:r>
      <w:r>
        <w:rPr>
          <w:color w:val="000000"/>
          <w:vertAlign w:val="superscript"/>
        </w:rPr>
        <w:footnoteReference w:id="2"/>
      </w:r>
      <w:r>
        <w:rPr>
          <w:color w:val="000000"/>
        </w:rPr>
        <w:t>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Prijedlog uredbe Europskog parlamenta i Vijeća o informacijskoj sigurnosti u institucijama, tijelima, uredima i agencijama Unije (2022/0084(COD)),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t>uzimajući u obzir Prijedlog uredbe Europskog parlamenta i Vijeća o mjerama za visoku zajedničku razinu kibersigurnosti u institucijama, tijelima, uredima i agencijama Unije (2022/0085(COD)),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opsežnu sudsku praksu Suda Europske unije, koji priznaje skup općih načela upravnog prava koja se temelje na ustavnim tradicijama država članica,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komunikaciju Komisije od 26. siječnja 2022. naslovljenu „Uspostava Europske deklaracije o digitalnim pravima i načelima za digitalno desetljeće” (COM(2022) 27 final) i njezin popratni radni dokument službi Komisije koji sadržava izvješće o savjetovanju s dionicima i aktivnostima uključivanja (SWD(2022) 14 final),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digitalnu strategiju Komisije: Digitalna Komisija sljedeće generacije od 30. lipnja 2022. (C(2022)4388),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svoju Rezoluciju od 6. rujna 2001. o posebnom izvješću Europskog ombudsmana Europskom parlamentu nakon istrage na vlastitu inicijativu o postojanju i javnoj dostupnosti Kodeksa dobrog administrativnog postupanja u različitim institucijama i tijelima Zajednice</w:t>
      </w:r>
      <w:r>
        <w:rPr>
          <w:color w:val="000000"/>
          <w:vertAlign w:val="superscript"/>
        </w:rPr>
        <w:footnoteReference w:id="3"/>
      </w:r>
      <w:r>
        <w:rPr>
          <w:color w:val="000000"/>
        </w:rPr>
        <w:t>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Odluku Komisije 2000/633/EZ, EZUČ, Euratom od 17. listopada 2000. o izmjeni njezina Poslovnika dodavanjem Kodeksa dobrog administrativnog ponašanja za osoblje Europske komisije u njegovim odnosima s javnošću</w:t>
      </w:r>
      <w:r>
        <w:rPr>
          <w:color w:val="000000"/>
          <w:vertAlign w:val="superscript"/>
        </w:rPr>
        <w:footnoteReference w:id="4"/>
      </w:r>
      <w:r>
        <w:rPr>
          <w:color w:val="000000"/>
        </w:rPr>
        <w:t>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Odluku glavnog tajnika Vijeća / Visokog predstavnika za zajedničku vanjsku i sigurnosnu politiku od 25. lipnja 2001. o Kodeksu dobrog upravnog ponašanja Glavnog tajništva Vijeća Europske unije i njegova osoblja u njihovim profesionalnim odnosima s javnošću</w:t>
      </w:r>
      <w:r>
        <w:rPr>
          <w:color w:val="000000"/>
          <w:vertAlign w:val="superscript"/>
        </w:rPr>
        <w:footnoteReference w:id="5"/>
      </w:r>
      <w:r>
        <w:rPr>
          <w:color w:val="000000"/>
        </w:rPr>
        <w:t>,</w:t>
      </w:r>
    </w:p>
    <w:p w:rsidR="00AF5DF1" w:rsidRPr="00223428" w:rsidRDefault="00B45FA0" w:rsidP="00AF5DF1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preporuku Odbora ministara Vijeća Europe državama članicama CM/Rec(2007)7 od 20. lipnja 2007. o dobroj upravi;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„Načela javne službe za upravnu službu EU-a” koja je Europski ombudsman objavio 19. lipnja 2012.,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uzastopne informativne članke o digitalnoj javnoj upravi o državama članicama koje je Komisija objavila na internetu,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činjenicu da u državama članicama postoje i akti o općem upravnom postupku, kojima se utvrđuju temeljna načela upravnog prava, i zakonodavstvo specifično za određeno područje ili sektor,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istraživanje koje je švedska vlada naručila od švedske agencije za javno upravljanje o načelima dobre uprave u državama članicama Europske unije,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rPr>
          <w:rFonts w:ascii="Noto Sans Symbols" w:hAnsi="Noto Sans Symbols"/>
        </w:rPr>
        <w:t>−</w:t>
      </w:r>
      <w:r>
        <w:rPr>
          <w:rFonts w:ascii="Noto Sans Symbols" w:hAnsi="Noto Sans Symbols"/>
        </w:rPr>
        <w:tab/>
      </w:r>
      <w:r>
        <w:t>uzimajući u obzir studiju danske vlade koju je provela danska agencija za digitalizaciju (digitalizeringsstyrelsen) o načelima dobrog korištenja temeljnih podataka u provedbi digitaliziranih usluga javne uprave,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rPr>
          <w:rFonts w:ascii="Noto Sans Symbols" w:hAnsi="Noto Sans Symbols"/>
        </w:rPr>
        <w:t>−</w:t>
      </w:r>
      <w:r>
        <w:rPr>
          <w:rFonts w:ascii="Noto Sans Symbols" w:hAnsi="Noto Sans Symbols"/>
        </w:rPr>
        <w:tab/>
      </w:r>
      <w:r>
        <w:t>uzimajući u obzir izvješće Instituta za europsko pravo iz 2022. o oglednim pravilima o procjeni učinka algoritamskih sustava za donošenje odluka kojima se koristi javna uprava</w:t>
      </w:r>
      <w:r>
        <w:rPr>
          <w:rStyle w:val="FootnoteReference"/>
        </w:rPr>
        <w:footnoteReference w:id="6"/>
      </w:r>
      <w:r>
        <w:t>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informativne obavijesti predstavljene na Konferenciji o upravnom pravu EU-a koju su organizirali resorni odjel Odbora za pravna pitanja Europskog parlamenta i Sveučilište u Leónu (León, 27. i 28. travnja 2011.)</w:t>
      </w:r>
      <w:r>
        <w:rPr>
          <w:color w:val="000000"/>
          <w:vertAlign w:val="superscript"/>
        </w:rPr>
        <w:footnoteReference w:id="7"/>
      </w:r>
      <w:r>
        <w:rPr>
          <w:color w:val="000000"/>
        </w:rPr>
        <w:t>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preporuke iz radnog dokumenta o trenutačnom stanju i izgledima za budućnost upravnog prava EU-a koji je Radna skupina za upravno pravo EU-a predstavila Odboru za pravna pitanja 22. studenoga 2011.</w:t>
      </w:r>
      <w:r>
        <w:rPr>
          <w:color w:val="000000"/>
          <w:vertAlign w:val="superscript"/>
        </w:rPr>
        <w:footnoteReference w:id="8"/>
      </w:r>
      <w:r>
        <w:rPr>
          <w:color w:val="000000"/>
        </w:rPr>
        <w:t>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procjenu europske dodane vrijednosti o zakonu o upravnom postupku Europske unije koju je Odjel za europsku dodanu vrijednost predstavio Odboru za pravna pitanja 6. studenoga 2012.</w:t>
      </w:r>
      <w:r>
        <w:rPr>
          <w:color w:val="000000"/>
          <w:vertAlign w:val="superscript"/>
        </w:rPr>
        <w:footnoteReference w:id="9"/>
      </w:r>
      <w:r>
        <w:rPr>
          <w:color w:val="000000"/>
        </w:rPr>
        <w:t>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javno savjetovanje o općim pravilima za otvorenu, neovisnu i učinkovitu europsku upravu i sažeto izvješće o tom savjetovanju iz srpnja 2018. koje je Odjel za europsku dodanu vrijednost u okviru Službe Europskog parlamenta za istraživanja predstavio Odboru za pravna pitanja 10. srpnja 2018.</w:t>
      </w:r>
      <w:r>
        <w:rPr>
          <w:color w:val="000000"/>
          <w:vertAlign w:val="superscript"/>
        </w:rPr>
        <w:footnoteReference w:id="10"/>
      </w:r>
      <w:r>
        <w:rPr>
          <w:color w:val="000000"/>
        </w:rPr>
        <w:t>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procjenu učinka mogućih mjera na razini EU-a za otvorenu, učinkovitu i neovisnu upravu EU-a koju je u srpnju 2018. zaključio Odjel za ex ante procjenu učinka u okviru Službe Europskog parlamenta za istraživanja i koja je 10. srpnja 2018. predstavljena Odboru za pravna pitanja</w:t>
      </w:r>
      <w:r>
        <w:rPr>
          <w:rStyle w:val="FootnoteReference"/>
          <w:color w:val="000000"/>
        </w:rPr>
        <w:footnoteReference w:id="11"/>
      </w:r>
      <w:r>
        <w:rPr>
          <w:color w:val="000000"/>
        </w:rPr>
        <w:t>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procjenu europske dodane vrijednosti iz 2022. o digitalizaciji i upravnom pravu koju je Odjel za europsku dodanu vrijednost predstavio Odboru za pravna pitanja [30. svibnja 2023.]</w:t>
      </w:r>
      <w:r>
        <w:rPr>
          <w:color w:val="000000"/>
          <w:vertAlign w:val="superscript"/>
        </w:rPr>
        <w:footnoteReference w:id="12"/>
      </w:r>
      <w:r>
        <w:rPr>
          <w:color w:val="000000"/>
        </w:rPr>
        <w:t xml:space="preserve">, </w:t>
      </w:r>
    </w:p>
    <w:p w:rsidR="00AF5DF1" w:rsidRPr="00223428" w:rsidRDefault="00B45FA0" w:rsidP="00AF5DF1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uzimajući u obzir svoju Rezoluciju od 15. siječnja 2013. s preporukama Komisiji o zakonu o upravnom postupku Europske unije</w:t>
      </w:r>
      <w:r>
        <w:rPr>
          <w:color w:val="000000"/>
          <w:vertAlign w:val="superscript"/>
        </w:rPr>
        <w:footnoteReference w:id="13"/>
      </w:r>
      <w:r>
        <w:rPr>
          <w:color w:val="000000"/>
        </w:rPr>
        <w:t>,</w:t>
      </w:r>
    </w:p>
    <w:p w:rsidR="00AF5DF1" w:rsidRPr="00223428" w:rsidRDefault="00B45FA0" w:rsidP="00AF5DF1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uzimajući u obzir svoju Rezoluciju od 9. lipnja 2016. o otvorenoj, učinkovitoj i neovisnoj upravi Europske unije i Prijedlog uredbe Europskog parlamenta i Vijeća o otvorenoj, učinkovitoj i neovisnoj upravi Europske unije</w:t>
      </w:r>
      <w:r>
        <w:rPr>
          <w:color w:val="000000"/>
          <w:vertAlign w:val="superscript"/>
        </w:rPr>
        <w:footnoteReference w:id="14"/>
      </w:r>
      <w:r>
        <w:rPr>
          <w:color w:val="000000"/>
        </w:rPr>
        <w:t>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svoju Rezoluciju od 26. listopada 2017. o praćenju primjene zakonodavstva Unije 2015. (2017/2011(INI)),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t>uzimajući u obzir svoju rezoluciju od 7. srpnja 2022. naslovljenu „Bolja regulativa: zajedničkim snagama za bolje zakonodavstvo” (2021/2166(INI)),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t>uzimajući u obzir svoju Rezoluciju od 20. svibnja 2021. o oblikovanju digitalne budućnosti Europe: uklanjanje prepreka funkcioniranju jedinstvenog digitalnog tržišta i poboljšanje upotrebe umjetne inteligencije za europske potrošače (2020/2216(INI)),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b/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 xml:space="preserve">uzimajući u obzir dokument Komisije o daljnjem postupanju u vezi s Rezolucijom Europskog parlamenta s preporukama Komisiji o zakonu o upravnom postupku Europske unije, koji je Komisija donijela 24. travnja 2013., 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b/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uzimajući u obzir dokument Komisije o daljnjem postupanju u vezi s Rezolucijom Europskog parlamenta o otvorenoj, učinkovitoj i neovisnoj upravi Europske unije, koji je Komisija donijela 4. listopada 2016.,</w:t>
      </w:r>
    </w:p>
    <w:p w:rsidR="00AF5DF1" w:rsidRPr="00223428" w:rsidRDefault="00B45FA0" w:rsidP="00AF5DF1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b/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t>uzimajući u obzir dokument Komisije o daljnjem postupanju u vezi s Rezolucijom Europskog parlamenta o boljoj regulativi: zajedničkim snagama za bolje zakonodavstvo, koji je Komisija donijela 22. listopada 2022.,</w:t>
      </w:r>
    </w:p>
    <w:p w:rsidR="00CA5063" w:rsidRPr="0091039D" w:rsidRDefault="00B45FA0" w:rsidP="00CA5063">
      <w:pPr>
        <w:pStyle w:val="NormalHanging12a"/>
      </w:pPr>
      <w:r>
        <w:t>–</w:t>
      </w:r>
      <w:r>
        <w:tab/>
        <w:t>uzimajući u obzir članke 47. i 54. Poslovnika;</w:t>
      </w:r>
    </w:p>
    <w:p w:rsidR="00CA5063" w:rsidRPr="0091039D" w:rsidRDefault="00B45FA0" w:rsidP="00CA5063">
      <w:pPr>
        <w:pStyle w:val="NormalHanging12a"/>
      </w:pPr>
      <w:r>
        <w:t>–</w:t>
      </w:r>
      <w:r>
        <w:tab/>
        <w:t>uzimajući u obzir izvješće Odbora za pravna pitanja (A9</w:t>
      </w:r>
      <w:r>
        <w:noBreakHyphen/>
        <w:t>xxxx/xxxx),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ab/>
        <w:t>budući da je stupanjem na snagu Ugovora iz Lisabona Unija dobila odgovarajuću pravnu osnovu za donošenje europskog zakona o upravnom postupku;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>budući da je temeljno pravo na dobru upravu sadržano u članku 41. Povelje Europske unije o temeljnim pravima postalo pravno obvezujuće kao primarno pravo;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rFonts w:ascii="Arial" w:hAnsi="Arial" w:cs="Arial"/>
          <w:sz w:val="18"/>
          <w:szCs w:val="18"/>
          <w:shd w:val="clear" w:color="auto" w:fill="FFFFFF"/>
        </w:rPr>
      </w:pPr>
      <w:r>
        <w:t>C.</w:t>
      </w:r>
      <w:r>
        <w:tab/>
        <w:t>budući da je u Uniji koja se temelji na vladavini prava potrebno osigurati da postupovna prava i obveze uvijek budu na primjeren način utvrđena i razrađena te da ih se poštuje;</w:t>
      </w:r>
      <w:r>
        <w:rPr>
          <w:shd w:val="clear" w:color="auto" w:fill="FFFFFF"/>
        </w:rPr>
        <w:t xml:space="preserve"> budući da građani imaju pravo očekivati visoku razinu transparentnosti, učinkovitosti, sposobnosti reagiranja i brzog izvršenja od institucija, tijela, ureda i agencija Unije i da imaju pravo na informacije o mogućnostima koje im stoje na raspolaganju za poduzimanje daljnjih mjera u vezi s dotičnim pitanjem;</w:t>
      </w:r>
      <w:r>
        <w:rPr>
          <w:rFonts w:ascii="Arial" w:hAnsi="Arial"/>
          <w:sz w:val="18"/>
          <w:shd w:val="clear" w:color="auto" w:fill="FFFFFF"/>
        </w:rPr>
        <w:t xml:space="preserve"> </w:t>
      </w:r>
    </w:p>
    <w:p w:rsidR="00085CD8" w:rsidRPr="00223428" w:rsidRDefault="00B45FA0" w:rsidP="00085CD8">
      <w:pPr>
        <w:spacing w:after="240"/>
        <w:ind w:left="567" w:hanging="567"/>
        <w:rPr>
          <w:color w:val="000000"/>
        </w:rPr>
      </w:pPr>
      <w:r>
        <w:t>D.</w:t>
      </w:r>
      <w:r>
        <w:tab/>
        <w:t>budući da je učinkovita uprava Unije ključna za javni interes te da i prekomjerna količina pravila i postupaka jednako kao i njihov nedostatak može biti uzrokom lošeg upravljanja, što također može biti posljedica oprečnih, nedosljednih ili nejasnih pravila i postupaka;</w:t>
      </w:r>
      <w:r>
        <w:rPr>
          <w:color w:val="000000"/>
        </w:rPr>
        <w:t xml:space="preserve"> budući da pravilno strukturirani i dosljedni administrativni postupci podupiru učinkovitu administraciju i pravilnu provedbu temeljnog prava na dobru upravu te imaju dodanu vrijednost promicanja transparentnosti i odgovornosti, čime se jača legitimnost Unije i povećava povjerenje građana u upravu Unije;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t>E</w:t>
      </w:r>
      <w:r>
        <w:rPr>
          <w:color w:val="000000"/>
        </w:rPr>
        <w:t>.</w:t>
      </w:r>
      <w:r>
        <w:rPr>
          <w:color w:val="000000"/>
        </w:rPr>
        <w:tab/>
        <w:t>budući da je nedostatak povjerenja građana posljednjih nekoliko godina gorući problem s kojim se Unija suočava, što može utjecati na njezin legitimitet; budući da Unija svojim građanima treba pružiti brze, jasne i vidljive odgovore kako bi reagirala na njihove bojazni;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F.</w:t>
      </w:r>
      <w:r>
        <w:rPr>
          <w:color w:val="000000"/>
        </w:rPr>
        <w:tab/>
        <w:t xml:space="preserve">budući da postojeća pravila i načela Unije o dobroj upravi nisu objedinjena na jednom mjestu nego su raštrkana i može ih se naći u više različitih izvora: u primarnom pravu, sudskoj praksi Suda Europske unije, sekundarnom zakonodavstvu, neobvezujućem pravu i jednostranim obvezama institucija Unije;  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G.</w:t>
      </w:r>
      <w:r>
        <w:rPr>
          <w:color w:val="000000"/>
        </w:rPr>
        <w:tab/>
        <w:t>budući da postojeći interni kodeksi koje su usvojile različite institucije imaju ograničeno područje primjene, međusobno se razlikuju i nisu pravno obvezujući;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H.</w:t>
      </w:r>
      <w:r>
        <w:rPr>
          <w:color w:val="000000"/>
        </w:rPr>
        <w:tab/>
        <w:t xml:space="preserve">budući da bi, uzimajući u obzir preporuke Skupine država protiv korupcije (GRECO) koja djeluje u okviru Vijeća Europe, jasan i obvezujući skup pravila za upravu Unije bio pozitivan signal u borbi protiv korupcije u javnim upravama; 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I.</w:t>
      </w:r>
      <w:r>
        <w:rPr>
          <w:color w:val="000000"/>
        </w:rPr>
        <w:tab/>
        <w:t xml:space="preserve">budući da Parlament od 2001. u svojim rezolucijama i njihovim prilozima stalno zahtijeva zakonodavne mjere Komisije u tom području; budući da je Parlament 2013. pozvao na donošenje Zakona o upravnom postupku Europske unije te je 2016. posebno pozvao na donošenje prijedloga uredbe Europskog parlamenta i Vijeća o otvorenoj, učinkovitoj i neovisnoj upravi Europske unije; </w:t>
      </w:r>
      <w:r>
        <w:t>budući da je, zapravo, cilj ustrajnih poziva Parlamenta donošenje uredbe o upravnom postupku Europske unije kojom bi se utvrdila opća postupovna pravila kojima se uređuju upravne aktivnosti uprave Unije, tj. institucija, tijela, ureda i agencija Unije (Europski zakon o upravnom postupku);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J.</w:t>
      </w:r>
      <w:r>
        <w:rPr>
          <w:color w:val="000000"/>
        </w:rPr>
        <w:tab/>
        <w:t>budući da se taj poziv temelji na detaljnim procjenama učinka kojima se, među ostalim, kvantificiraju troškovi administrativnih postupaka; budući da je procjenom učinka iz 2018. utvrđeno da rascjepkanost administrativnih postupaka u institucijama i tijelima EU-a negativno utječe na otvorenost, učinkovitost i neovisnost EU-a te je zaključeno da će se negativni učinci vjerojatno pogoršati s prelaskom na digitaliziranu upravu; budući da bi Komisija pri predstavljanju prijedloga također trebala predstaviti procjenu učinka;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K.</w:t>
      </w:r>
      <w:r>
        <w:rPr>
          <w:color w:val="000000"/>
        </w:rPr>
        <w:tab/>
        <w:t>budući da je Parlament sudjelovao u javnom savjetovanju o potrebi za uspostavom europskog zakona o upravnom postupku, pri čemu je 76 % ispitanika podržalo poduzimanje dodatnih mjera na razini Unije kako bi se poboljšali i pojednostavnili upravni postupci Unije, da je primio na znanje da su poboljšanje učinkovitosti i transparentnosti među glavnim razlozima za intervenciju EU-a te da je kao najproblematičnija pitanja utvrdio operativnu nedosljednost i troškove administrativnog opterećenja; budući da bi Komisija 2023. trebala dodatno pokrenuti odgovarajuće javno savjetovanje sa svim relevantnim akterima i da bi ponajprije trebala iskoristiti posebno znanje i stručnost Europskog ombudsmana s obzirom na to da javnost upravo Europskom ombudsmanu podnosi pritužbe o zlouporabama unutar tijela i institucija Unije;</w:t>
      </w:r>
    </w:p>
    <w:p w:rsidR="00085CD8" w:rsidRPr="00223428" w:rsidRDefault="00B45FA0" w:rsidP="00085CD8">
      <w:pPr>
        <w:spacing w:after="240"/>
        <w:ind w:left="567" w:hanging="567"/>
      </w:pPr>
      <w:r>
        <w:t>L.</w:t>
      </w:r>
      <w:r>
        <w:tab/>
        <w:t>budući da je Parlament pripremajući svoju rezoluciju iz 2016. o otvorenoj, učinkovitoj i neovisnoj upravi Europske unije proveo savjetovanja s akademskom zajednicom, stručnjacima i pravnom zajednicom;</w:t>
      </w:r>
      <w:r>
        <w:rPr>
          <w:color w:val="000000"/>
        </w:rPr>
        <w:t xml:space="preserve"> </w:t>
      </w:r>
      <w:r>
        <w:t xml:space="preserve">budući da je Komisija u svojem dokumentu o daljnjem postupanju u vezi s Rezolucijom Parlamenta od 15. siječnja 2013., koji je donijela 24. travnja 2013. ustvrdila da će pokrenuti detaljan pregled sveg postojećeg upravnog prava EU-a i mogućih nedostataka u svim institucijama, da će procijeniti pristupe koji se primjenjuju na ta pitanja u državama članicama te da će se savjetovati s akademskom zajednicom, stručnjacima i pravnom zajednicom kako bi provela temeljitu analizu svih aspekata tog pitanja; budući da Komisija deset godina nakon svega još nije obavijestila Parlament o rezultatima najavljenog pregleda i temeljite analize; </w:t>
      </w:r>
    </w:p>
    <w:p w:rsidR="00085CD8" w:rsidRPr="00223428" w:rsidRDefault="00B45FA0" w:rsidP="00085CD8">
      <w:pPr>
        <w:spacing w:after="240"/>
        <w:ind w:left="567" w:hanging="567"/>
      </w:pPr>
      <w:r>
        <w:t xml:space="preserve">M. </w:t>
      </w:r>
      <w:r>
        <w:tab/>
        <w:t xml:space="preserve">budući da je Komisija u istom tom dokumentu iz 2013. također istaknula da će se u okviru svake buduće inicijative morati uzeti u obzir postojeći okvir administrativnih pravila i složen odnos između horizontalnih i sektorskih pravila; višestruki uzroci mogućih nepravilnosti u postupanju i mnogi mogući načini na koje se to može riješiti; i ograničenja primjene članka 298. UFEU-a; budući da Komisija do danas nije predstavila takvu procjenu; </w:t>
      </w:r>
    </w:p>
    <w:p w:rsidR="00085CD8" w:rsidRPr="00223428" w:rsidRDefault="00B45FA0" w:rsidP="00085CD8">
      <w:pPr>
        <w:spacing w:after="240"/>
        <w:ind w:left="567" w:hanging="567"/>
      </w:pPr>
      <w:r>
        <w:t>N.</w:t>
      </w:r>
      <w:r>
        <w:tab/>
        <w:t>budući da je Komisija 2022. prvi put na temelju članka 298. UFEU-a predstavila dva prijedloga koja se odnose na informacijsku sigurnost u upravi Unije, odnosno njezinim institucijama, tijelima, uredima i agencijama, s jedne strane, i kibersigurnost, s druge strane, kako bi se riješio problem nedostatka zajedničkog pristupa u tim područjima i činjenice da svako od njih ima vlastita pravila u tim područjima utemeljena na poslovniku ili osnivačkim aktima ili da uopće nema pravila;</w:t>
      </w:r>
    </w:p>
    <w:p w:rsidR="00085CD8" w:rsidRPr="00223428" w:rsidRDefault="00B45FA0" w:rsidP="00085CD8">
      <w:pPr>
        <w:spacing w:after="240"/>
        <w:ind w:left="567" w:right="380" w:hanging="567"/>
      </w:pPr>
      <w:r>
        <w:t>O.</w:t>
      </w:r>
      <w:r>
        <w:tab/>
        <w:t xml:space="preserve">budući da postojanje horizontalnih i sektorskih pravila ne može biti izgovor za neutvrđivanje europskog zakona o upravnom postupku niti prepreka za donošenje takvog zakona koji bi predstavljao osnovni i opći referentni okvir prava o upravnom postupku koji bi svaka uprava Unije trebala primjenjivati bez obzira na svoj sektor poslovanja; budući da takve opće normativne odredbe postoje u mnogim državama članicama Unije bez obzira na njihovu strukturu, domenu ili sektor te usporedno sa sektorskim pravilima;  </w:t>
      </w:r>
    </w:p>
    <w:p w:rsidR="00085CD8" w:rsidRPr="00223428" w:rsidRDefault="00B45FA0" w:rsidP="00085CD8">
      <w:pPr>
        <w:spacing w:after="240"/>
        <w:ind w:left="567" w:right="380" w:hanging="567"/>
      </w:pPr>
      <w:r>
        <w:t>P.</w:t>
      </w:r>
      <w:r>
        <w:tab/>
        <w:t xml:space="preserve">budući da je rascjepkanost relevantnih pravnih okvira među upravama Unije uzrokuje znatno udvostručavanje napora u pogledu izrade i održavanja unutarnjih pravila i nedostatak interoperabilnosti upravnih praksi; budući da za raznolikost tih pravila za građane Unije povećava rizik od nerazumijevanja, pogrešnog tumačenja i neusklađenosti; budući da bi se uspostavom osnovnog i općeg referentnog okvira europskog prava o upravnom postupku za upravu Unije stvorilo administrativno okruženje s jedinstvenim načelima, standardiziranim pravilima i provedenim najboljim praksama, budući da to ne isključuje postojanje sektorskih pravila koja su poznata i na nacionalnoj razini; budući da je, osim toga, utvrđivanje europskog prava o upravnom postupku u skladu s obvezom postupanja s dužnim poštovanjem za autonomiju ili nadležnosti svake institucije i tijela Unije, koji će ostati u potpunosti na snazi; </w:t>
      </w:r>
    </w:p>
    <w:p w:rsidR="00085CD8" w:rsidRPr="00223428" w:rsidRDefault="00B45FA0" w:rsidP="00085CD8">
      <w:pPr>
        <w:spacing w:after="240"/>
        <w:ind w:left="567" w:right="380" w:hanging="567"/>
        <w:rPr>
          <w:color w:val="000000"/>
        </w:rPr>
      </w:pPr>
      <w:r>
        <w:rPr>
          <w:color w:val="000000"/>
        </w:rPr>
        <w:t>Q.</w:t>
      </w:r>
      <w:r>
        <w:rPr>
          <w:color w:val="000000"/>
        </w:rPr>
        <w:tab/>
        <w:t xml:space="preserve">budući da je uprava Unije poduzela slične napore u pogledu digitalizacije s obzirom na napredak u području tehnologije i digitalizacije koji su potrebni državama članicama, među ostalim u pogledu njihove javne uprave i usluga; budući da uprava Unije sve više ne djeluje kao zaseban subjekt, već se povezuje s nacionalnim javnim upravama kako bi služila građanima; 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R.</w:t>
      </w:r>
      <w:r>
        <w:rPr>
          <w:color w:val="000000"/>
        </w:rPr>
        <w:tab/>
        <w:t xml:space="preserve">budući da je u studiji o procjeni europske dodane vrijednosti iz 2022., kao i u studiji o procjeni učinka iz 2018., istaknuta činjenica da je s digitalizacijom veća potreba za centralizacijom i usklađivanjem te da aktualna digitalizacija otvara nova pitanja i izazove; 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S.</w:t>
      </w:r>
      <w:r>
        <w:rPr>
          <w:color w:val="000000"/>
        </w:rPr>
        <w:tab/>
        <w:t>budući da su iz sudske prakse Suda Europske unije proizašla dobro utvrđena postupovna načela koja se primjenjuju na postupke država članica u pitanjima Unije i koja bi se tim više trebala primjenjivati na izravnu upravu Unije; budući da se može očekivati da će se sudska praksa Suda Europske unije uskoro dodatno proširiti kako bi obuhvatila pojave povezane s razvojem digitalizacije u administrativnim postupcima, kao što je automatizirano donošenje odluka;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T.</w:t>
      </w:r>
      <w:r>
        <w:rPr>
          <w:color w:val="000000"/>
        </w:rPr>
        <w:tab/>
        <w:t>budući da su u Europskoj deklaraciji o digitalnim pravima i načelima za digitalno desetljeće utvrđena digitalna načela koja trebaju služiti svim Europljanima;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U.</w:t>
      </w:r>
      <w:r>
        <w:rPr>
          <w:color w:val="000000"/>
        </w:rPr>
        <w:tab/>
        <w:t>budući da je Komisija u Digitalnom kompasu 2030. za Uniju utvrdila viziju digitalno transformirane Europe do 2030. u skladu s europskim vrijednostima; budući da je cilj programa „Put u digitalno desetljeće” daljnje jačanje uloge digitalnog predvodnika i osnaživanje građana i poduzeća, zahvaljujući čemu digitalna transformacija postaje pokretač održivog gospodarskog rasta i socijalne dobrobiti u Europi, što bi se trebalo postići, među ostalim, razvijanjem digitalnih vještina i kompetencija radne snage kako bi ona mogla u potpunosti sudjelovati u digitalnom gospodarstvu i digitalizacijom javnih usluga te njihovim učinkovitijim i jednostavnijim korištenjem u korist svih u našem društvu;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V.</w:t>
      </w:r>
      <w:r>
        <w:rPr>
          <w:color w:val="000000"/>
        </w:rPr>
        <w:tab/>
        <w:t xml:space="preserve">budući da su u okviru digitalne strategije Komisije iz 2022.: „Digitalna komisija sljedeće generacije” utvrđeni ciljevi u skladu s kojima se upravi Komisije treba omogućiti da pruža potporu za ostvarivanje strateških prioriteta EU-a i da bude primjer drugima i da se s pomoću te strategije unapređuju, među ostalim, sljedeći elementi: osnaživanje njezina osoblja, omogućivanje donošenja politika adekvatnih za digitalno doba s pomoću smjernica i potpore u cijelom ciklusu politike Unije te iskorištavanje prednosti podataka i inovativnih tehnologija za preoblikovanje njezinih administrativnih postupaka; dok strategija pokazuje namjeru razvoja digitalizacije upravnih postupaka i interakcije uprave Unije s građanima u nadolazećim godinama; budući da bi taj razvoj trebao biti popraćen skupom pravila kojima se uređuju upravni postupci i da bi trebao biti usklađen u cijeloj upravi Unije; 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333333"/>
        </w:rPr>
      </w:pPr>
      <w:r>
        <w:rPr>
          <w:color w:val="000000"/>
        </w:rPr>
        <w:t>W</w:t>
      </w:r>
      <w:r>
        <w:rPr>
          <w:b/>
          <w:color w:val="000000"/>
        </w:rPr>
        <w:t>.</w:t>
      </w:r>
      <w:r>
        <w:rPr>
          <w:b/>
          <w:color w:val="000000"/>
        </w:rPr>
        <w:tab/>
      </w:r>
      <w:r>
        <w:rPr>
          <w:color w:val="000000"/>
        </w:rPr>
        <w:t xml:space="preserve">budući da razvoj novih tehnologija, kao što su umjetna inteligencija i sustavi automatiziranog donošenja odluka, može imati važnu ulogu u modernizaciji i poboljšanju funkcioniranja javne uprave pod uvjetom da korištene tehnologije imaju visok stupanj pouzdanosti i vjerodostojnosti; budući da bi, međutim, mogućnost javne uprave, uključujući upravu Unije, da se koristi takvim novim tehnologijama trebala biti ograničena načelom zakonitosti i potrebom da se osigura poštovanje prava građana; </w:t>
      </w:r>
      <w:r>
        <w:t>budući da upotreba novih tehnologija, kao što su umjetna inteligencija i sustavi automatiziranog donošenja odluka, može predstavljati specifične probleme za načelo dobre uprave i pravo na pravnu reviziju te stoga zahtijeva posebnu analizu elemenata kao što su transparentnost, odgovornost, usklađenost i nediskriminacija rješavanjem problema rizika od algoritamske pristranosti;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333333"/>
        </w:rPr>
        <w:t xml:space="preserve">X. </w:t>
      </w:r>
      <w:r>
        <w:rPr>
          <w:color w:val="333333"/>
        </w:rPr>
        <w:tab/>
      </w:r>
      <w:r>
        <w:t>budući da bi trebalo priznati rizike koje sa sobom donosi upotreba umjetne inteligencije i strojnog učenja, posebno u kontekstu uprave Unije gdje može postojati znatan nesrazmjer moći između građana i uprave;</w:t>
      </w:r>
      <w:r>
        <w:rPr>
          <w:color w:val="000000"/>
        </w:rPr>
        <w:t xml:space="preserve"> budući da bi upotreba strojnog učenja u upravi Unije stoga trebala biti ograničena na prikupljanje, organiziranje, strukturiranje, pretvaranje, kombiniranje i prilagodbu podataka, primjerice na optičko prepoznavanje znakova, prepoznavanje predmeta ili pretvaranje govora u tekst;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rPr>
          <w:color w:val="333333"/>
        </w:rPr>
        <w:t>Y.</w:t>
      </w:r>
      <w:r>
        <w:rPr>
          <w:color w:val="333333"/>
        </w:rPr>
        <w:tab/>
      </w:r>
      <w:r>
        <w:t>budući da je Institut za europsko pravo 2022. predstavio izvješće s oglednim pravilima o procjeni učinka algoritamskih sustava za donošenje odluka kojima se koristi javna uprava, u kojem su predložena ogledna pravila kada takvi algoritamski sustavi za donošenje odluka donose odluke ili podupiru ljudsko donošenje odluka – odnosno odluku javnog tijela (uključujući na razini Unije) da poduzme ili ne poduzme mjere – što će vjerojatno imati znatan učinak na javnost</w:t>
      </w:r>
      <w:r>
        <w:rPr>
          <w:rStyle w:val="FootnoteReference"/>
        </w:rPr>
        <w:footnoteReference w:id="15"/>
      </w:r>
      <w:r>
        <w:t>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t>Z.</w:t>
      </w:r>
      <w:r>
        <w:tab/>
        <w:t>budući da je softver koji se razvijao za potrebe javne uprave u prošlosti često bio zatvorenog koda, odnosno da građani, čak i kada ga plate, ne mogu revidirati kod niti ga ponovno upotrijebiti; budući da treba priznati da uprava Unije razvija, objavljuje i upotrebljava otvoreni kod za softver, čime se doprinosi ispunjavanju načela „javni novac – javni kod”; budući da to načelo služi za promicanje ponovne upotrebe i poboljšanja postojećeg koda kako bi se smanjili troškovi razvoja softvera, a time i troškovi digitalizacije; budući da bi stoga upravu Unije trebalo stalno poticati da se koristi softverom otvorenog koda</w:t>
      </w:r>
      <w:r>
        <w:rPr>
          <w:rStyle w:val="FootnoteReference"/>
        </w:rPr>
        <w:footnoteReference w:id="16"/>
      </w:r>
      <w:r>
        <w:t>;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t xml:space="preserve">AA. </w:t>
      </w:r>
      <w:r>
        <w:tab/>
        <w:t xml:space="preserve">budući da na pristup građana Unije uslugama digitalne uprave utječu čimbenici kao što su dob, povjerenje ili spremnost na prihvaćanje tehnoloških rješenja; budući da bi stoga uprava Unije tu činjenicu trebala uzeti u obzir pri razvoju digitalnih rješenja za usluge koje pruža kako ne bi izgubila povjerenje građana i kako bi omogućila građanima da se prilagode na postojanje digitalne usluge; </w:t>
      </w:r>
    </w:p>
    <w:p w:rsidR="00085CD8" w:rsidRPr="00223428" w:rsidRDefault="00B45FA0" w:rsidP="00085CD8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AB.</w:t>
      </w:r>
      <w:r>
        <w:rPr>
          <w:color w:val="000000"/>
        </w:rPr>
        <w:tab/>
        <w:t>budući da su već utvrđena sljedeća načela za digitalne javne usluge i upravu: (i.) pristupačne digitalne javne usluge s čovjekom u središtu pozornosti na svim razinama, (ii.) mogućnost svake osobe da sudjeluje u stvaranju i poboljšanju digitalnih javnih usluga prilagođenih njezinim potrebama i željama, (iii.) načelo „samo jednom”, u skladu s kojim bi svaka osoba svoje podatke ili informacije trebala dostaviti samo jednom kada digitalno komunicira s javnim upravama diljem Unije, (iv.) interoperabilnost digitalnih usluga koje nudi javni sektor, kao što su rješenja za digitalni identitet s prenosivošću podataka koja je dopuštena diljem Unije, (v.) široka suradnja ljudi i suradnja s ljudima koju omogućuju digitalne tehnologije i rješenja te poticanje razvoja participativnih inicijativa na svim razinama, (vi.) doprinos digitalnih tehnologija i rješenja poboljšanju razina javne sigurnosti i zaštite;</w:t>
      </w:r>
    </w:p>
    <w:p w:rsidR="00085CD8" w:rsidRPr="00223428" w:rsidRDefault="00B45FA0" w:rsidP="00085CD8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smatra da nakon 70 godina kontinuiranog razvoja javne uprave Unije i 13 godina od stupanja na snagu Ugovora iz Lisabona, kojim se utvrđuje pravna osnova članka 298. UFEU-a, nema opravdanja da se načela dobre uprave ne ugrade u obvezujuće zakonodavstvo;</w:t>
      </w:r>
    </w:p>
    <w:p w:rsidR="00085CD8" w:rsidRPr="00223428" w:rsidRDefault="00B45FA0" w:rsidP="00085CD8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 xml:space="preserve">podsjeća da je u svojoj Rezoluciji od 15. siječnja 2013. i u Rezoluciji od 9. lipnja 2016. pozvao, u skladu s člankom 225. UFEU-a, na donošenje uredbe o otvorenoj, učinkovitoj i neovisnoj upravi Europske unije u skladu s člankom 298. UFEU-a; </w:t>
      </w:r>
      <w:r>
        <w:t>podsjeća da je u svojoj Rezoluciji od 9. lipnja 2016. posebno pozvao Komisiju da podnese zakonodavni prijedlog koji bi se uključio u njezin program rada za 2017. godinu;</w:t>
      </w:r>
      <w:r>
        <w:rPr>
          <w:color w:val="1E1E1F"/>
        </w:rPr>
        <w:t xml:space="preserve"> </w:t>
      </w:r>
      <w:r>
        <w:t>žali zbog toga što Komisija dosad nije odgovorila na zahtjeve Parlamenta podnošenjem prijedloga;</w:t>
      </w:r>
      <w:r>
        <w:rPr>
          <w:color w:val="000000"/>
        </w:rPr>
        <w:t xml:space="preserve"> </w:t>
      </w:r>
    </w:p>
    <w:p w:rsidR="00085CD8" w:rsidRPr="00223428" w:rsidRDefault="00B45FA0" w:rsidP="00085CD8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ab/>
        <w:t>konstatira da Komisija nije pružila nikakve potkrijepljene ili uvjerljive argumente za svoje nedjelovanje i žali zbog toga što Komisija do danas nije predstavila nikakvu temeljitu analizu ili studije o toj temi;</w:t>
      </w:r>
    </w:p>
    <w:p w:rsidR="00085CD8" w:rsidRPr="00223428" w:rsidRDefault="00B45FA0" w:rsidP="00085CD8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t>4.</w:t>
      </w:r>
      <w:r>
        <w:tab/>
        <w:t>traži od Komisije da hitno podnese zakonodavni prijedlog, na temelju članka 298. UFEU-a, za uredbu o otvorenoj, učinkovitoj i neovisnoj upravi Europske unije, koji će biti uključen u njezin program rada za 2024. godinu kako bi suzakonodavci mogli započeti s radom na njemu odmah na početku novog zakonodavnog razdoblja;</w:t>
      </w:r>
      <w:r>
        <w:rPr>
          <w:color w:val="000000"/>
        </w:rPr>
        <w:t xml:space="preserve"> </w:t>
      </w:r>
      <w:r>
        <w:t>traži da se pri sastavljanju prijedlog slijede preporuke navedene u Prilogu ovom dokumentu i poziva Komisiju da razmotri prijedlog uredbe u prilogu Rezoluciji od 9. lipnja 2016. kao polaznu točku za pripremu traženog prijedloga te da uzme u obzir napredak digitalizacije i njezin utjecaj na upravu i upravni postupak Unije;</w:t>
      </w:r>
    </w:p>
    <w:p w:rsidR="00085CD8" w:rsidRPr="00223428" w:rsidRDefault="00B45FA0" w:rsidP="00085CD8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5.</w:t>
      </w:r>
      <w:r>
        <w:rPr>
          <w:color w:val="000000"/>
        </w:rPr>
        <w:tab/>
        <w:t>smatra da zatraženi prijedlog nema financijskih implikacija;</w:t>
      </w:r>
    </w:p>
    <w:p w:rsidR="009E6E1A" w:rsidRPr="0091039D" w:rsidRDefault="00B45FA0">
      <w:pPr>
        <w:pStyle w:val="NormalHanging12a"/>
      </w:pPr>
      <w:r>
        <w:t>6.</w:t>
      </w:r>
      <w:r>
        <w:tab/>
        <w:t>nalaže svojoj predsjednici da ovu Rezoluciju i priložene preporuke proslijedi Komisiji i Vijeću.</w:t>
      </w:r>
    </w:p>
    <w:p w:rsidR="009F6042" w:rsidRPr="0091039D" w:rsidRDefault="009F6042" w:rsidP="006E50B6"/>
    <w:p w:rsidR="006E50B6" w:rsidRPr="0091039D" w:rsidRDefault="006E50B6" w:rsidP="006E50B6">
      <w:pPr>
        <w:sectPr w:rsidR="006E50B6" w:rsidRPr="0091039D" w:rsidSect="007E1C4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007EDE" w:rsidRPr="0091039D" w:rsidRDefault="00B45FA0" w:rsidP="007255C3">
      <w:pPr>
        <w:pStyle w:val="PageHeading"/>
      </w:pPr>
      <w:bookmarkStart w:id="1" w:name="_Toc138660974"/>
      <w:r>
        <w:t>PRILOG PRIJEDLOGU REZOLUCIJE:</w:t>
      </w:r>
      <w:r>
        <w:br/>
        <w:t>PREPORUKE O SADRŽAJU TRAŽENOG PRIJEDLOGA</w:t>
      </w:r>
      <w:bookmarkEnd w:id="1"/>
    </w:p>
    <w:p w:rsidR="00096F53" w:rsidRPr="00223428" w:rsidRDefault="00B45FA0" w:rsidP="00096F53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>
        <w:rPr>
          <w:b/>
          <w:color w:val="000000"/>
        </w:rPr>
        <w:t>Preporuka br. 1 (u vezi s temeljem za prijedlog Komisije za uredbu o otvorenoj, učinkovitoj i neovisnoj upravi Europske unije)</w:t>
      </w:r>
    </w:p>
    <w:p w:rsidR="00096F53" w:rsidRPr="00223428" w:rsidRDefault="00B45FA0" w:rsidP="00096F53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 xml:space="preserve">Europski parlament smatra da bi prijedlog Komisije trebao biti u obliku uredbe kojom se utvrđuje opći akt u vezi s upravnim postupkom, kako je navedeno u Prilogu Rezoluciji Parlamenta od 9. lipnja 2016. o otvorenoj, učinkovitoj i neovisnoj upravi Europske unije. </w:t>
      </w:r>
    </w:p>
    <w:p w:rsidR="00096F53" w:rsidRPr="00223428" w:rsidRDefault="00B45FA0" w:rsidP="00096F53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>
        <w:rPr>
          <w:b/>
          <w:color w:val="000000"/>
        </w:rPr>
        <w:t>Preporuka br. 2 (u vezi s načelima na kojima se temelji digitalizacija administrativnih postupaka Unije)</w:t>
      </w:r>
    </w:p>
    <w:p w:rsidR="00096F53" w:rsidRPr="00223428" w:rsidRDefault="00B45FA0" w:rsidP="00096F53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>Europski parlament smatra da bi Komisija pri predstavljanju prijedloga zatraženog ovom rezolucijom trebala uzeti u obzir napredak u digitalizaciji i njezin utjecaj na upravne postupke koji se odnose na upravu Unije.  Posebno bi trebalo uzeti u obzir sljedeće:</w:t>
      </w:r>
    </w:p>
    <w:p w:rsidR="00096F53" w:rsidRPr="00223428" w:rsidRDefault="00B45FA0" w:rsidP="00096F53">
      <w:pPr>
        <w:pBdr>
          <w:top w:val="nil"/>
          <w:left w:val="nil"/>
          <w:bottom w:val="nil"/>
          <w:right w:val="nil"/>
          <w:between w:val="nil"/>
        </w:pBdr>
        <w:spacing w:after="240"/>
      </w:pPr>
      <w:r>
        <w:t>1.</w:t>
      </w:r>
      <w:r>
        <w:tab/>
        <w:t>Kad je riječ o općim aspektima:</w:t>
      </w:r>
    </w:p>
    <w:p w:rsidR="00096F53" w:rsidRPr="00223428" w:rsidRDefault="00B45FA0" w:rsidP="00096F53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 xml:space="preserve">(i.) </w:t>
      </w:r>
      <w:r>
        <w:rPr>
          <w:color w:val="000000"/>
        </w:rPr>
        <w:tab/>
        <w:t xml:space="preserve">načelo „samo jednom”, u skladu s kojim bi svaka osoba svoje podatke ili informacije trebala dostaviti samo jednom kada komunicira s upravom Unije, oslanjajući se u tom pogledu i na uspostavu europske lisnice za digitalni identitet; </w:t>
      </w:r>
    </w:p>
    <w:p w:rsidR="00096F53" w:rsidRPr="00223428" w:rsidRDefault="00B45FA0" w:rsidP="00096F53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>(i</w:t>
      </w:r>
      <w:r>
        <w:t>i.</w:t>
      </w:r>
      <w:r>
        <w:rPr>
          <w:color w:val="000000"/>
        </w:rPr>
        <w:t xml:space="preserve">) </w:t>
      </w:r>
      <w:r>
        <w:rPr>
          <w:color w:val="000000"/>
        </w:rPr>
        <w:tab/>
        <w:t>interoperabilnost digitalnih usluga koje nudi uprava Unije;</w:t>
      </w:r>
    </w:p>
    <w:p w:rsidR="00096F53" w:rsidRPr="00223428" w:rsidRDefault="00B45FA0" w:rsidP="00096F53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>(</w:t>
      </w:r>
      <w:r>
        <w:t>iii.</w:t>
      </w:r>
      <w:r>
        <w:rPr>
          <w:color w:val="000000"/>
        </w:rPr>
        <w:t xml:space="preserve">) </w:t>
      </w:r>
      <w:r>
        <w:rPr>
          <w:color w:val="000000"/>
        </w:rPr>
        <w:tab/>
        <w:t xml:space="preserve">doprinos digitalnih tehnologija i rješenja višim razinama javne sigurnosti i zaštite; </w:t>
      </w:r>
    </w:p>
    <w:p w:rsidR="00096F53" w:rsidRPr="00223428" w:rsidRDefault="00B45FA0" w:rsidP="00096F53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>(</w:t>
      </w:r>
      <w:r>
        <w:t xml:space="preserve">iv.) </w:t>
      </w:r>
      <w:r>
        <w:tab/>
        <w:t>uspostava postupaka i pojašnjenje upotrebe digitalnih tehnologija u vanjskoj komunikaciji uprave Unije s ciljem poduzimanja protumjera za rješavanje postojećih nedostataka, povećanje pravne sigurnosti, osiguravanje povećanja broja slučajeva upravne nepravde koji se rješavaju i prekidanje kruga nepovjerenja;</w:t>
      </w:r>
    </w:p>
    <w:p w:rsidR="00096F53" w:rsidRPr="00223428" w:rsidRDefault="00B45FA0" w:rsidP="00096F53">
      <w:pPr>
        <w:spacing w:after="240"/>
      </w:pPr>
      <w:r>
        <w:t>2.</w:t>
      </w:r>
      <w:r>
        <w:tab/>
        <w:t>Kad je riječ o dostupnim, uključivim digitalnim javnim uslugama:</w:t>
      </w:r>
    </w:p>
    <w:p w:rsidR="00096F53" w:rsidRPr="00223428" w:rsidRDefault="00B45FA0" w:rsidP="00096F53">
      <w:pPr>
        <w:spacing w:after="240"/>
      </w:pPr>
      <w:r>
        <w:t xml:space="preserve">(i.) </w:t>
      </w:r>
      <w:r>
        <w:tab/>
        <w:t xml:space="preserve">digitalne javne usluge trebale bi biti pristupačne i imati čovjeka u središtu pozornosti na svim razinama; </w:t>
      </w:r>
    </w:p>
    <w:p w:rsidR="00096F53" w:rsidRPr="00223428" w:rsidRDefault="00B45FA0" w:rsidP="00096F53">
      <w:pPr>
        <w:spacing w:after="240"/>
      </w:pPr>
      <w:r>
        <w:t xml:space="preserve">(ii.) </w:t>
      </w:r>
      <w:r>
        <w:tab/>
        <w:t xml:space="preserve">svaka osoba trebala bi imati mogućnost sudjelovanja u stvaranju i poboljšanju digitalnih javnih usluga prilagođenih njezinim potrebama i željama; </w:t>
      </w:r>
    </w:p>
    <w:p w:rsidR="00096F53" w:rsidRPr="00223428" w:rsidRDefault="00B45FA0" w:rsidP="00096F53">
      <w:pPr>
        <w:spacing w:after="240"/>
      </w:pPr>
      <w:r>
        <w:t xml:space="preserve">(iii.) </w:t>
      </w:r>
      <w:r>
        <w:tab/>
        <w:t>uvijek bi trebalo osigurati analogne alternative digitalnim uslugama te bi trebala biti dostupna ljudska kontaktna točka kako bi se pomoglo u rješavanju svih problema koji se mogu pojaviti pri korištenju digitalnih usluga od strane građana Unije;</w:t>
      </w:r>
    </w:p>
    <w:p w:rsidR="00096F53" w:rsidRPr="00223428" w:rsidRDefault="00B45FA0" w:rsidP="00096F53">
      <w:pPr>
        <w:spacing w:after="240"/>
      </w:pPr>
      <w:r>
        <w:t xml:space="preserve">(iv) </w:t>
      </w:r>
      <w:r>
        <w:tab/>
        <w:t>digitalne javne usluge trebale bi biti dostupne osobama s invaliditetom;</w:t>
      </w:r>
    </w:p>
    <w:p w:rsidR="00096F53" w:rsidRPr="00223428" w:rsidRDefault="00B45FA0" w:rsidP="00096F53">
      <w:pPr>
        <w:spacing w:after="240"/>
      </w:pPr>
      <w:r>
        <w:t>(v</w:t>
      </w:r>
      <w:r w:rsidR="006139B7">
        <w:t>.</w:t>
      </w:r>
      <w:r>
        <w:t xml:space="preserve">) </w:t>
      </w:r>
      <w:r>
        <w:tab/>
        <w:t xml:space="preserve">digitalne javne usluge također bi trebale biti dostupne putem širokog raspona uređaja; </w:t>
      </w:r>
    </w:p>
    <w:p w:rsidR="00096F53" w:rsidRPr="00223428" w:rsidRDefault="00B45FA0" w:rsidP="00096F53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t>3.</w:t>
      </w:r>
      <w:r>
        <w:tab/>
        <w:t>Kad je riječ o sigurnosti, odgovornosti i zaštiti podataka,</w:t>
      </w:r>
    </w:p>
    <w:p w:rsidR="00096F53" w:rsidRPr="00223428" w:rsidRDefault="00B45FA0" w:rsidP="00096F53">
      <w:pPr>
        <w:spacing w:after="240"/>
      </w:pPr>
      <w:r>
        <w:t xml:space="preserve">(i.) </w:t>
      </w:r>
      <w:r>
        <w:tab/>
        <w:t xml:space="preserve">načelo „javni novac – javni kod”, u skladu s kojim bi izvorni kod bilo kojeg softvera razvijenog javnim novcem trebao biti dostupan javnosti za potrebe proučavanja i ponovne uporabe; </w:t>
      </w:r>
    </w:p>
    <w:p w:rsidR="00096F53" w:rsidRPr="00223428" w:rsidRDefault="00B45FA0" w:rsidP="00096F53">
      <w:pPr>
        <w:spacing w:after="240"/>
      </w:pPr>
      <w:r>
        <w:t xml:space="preserve">(ii.) </w:t>
      </w:r>
      <w:r>
        <w:tab/>
        <w:t>trebalo bi zaštititi privatnost i sigurnost korisnika digitalnih javnih usluga;</w:t>
      </w:r>
    </w:p>
    <w:p w:rsidR="00096F53" w:rsidRPr="00223428" w:rsidRDefault="00B45FA0" w:rsidP="00096F53">
      <w:pPr>
        <w:spacing w:after="240"/>
      </w:pPr>
      <w:r>
        <w:t xml:space="preserve">(iii.) </w:t>
      </w:r>
      <w:r>
        <w:tab/>
        <w:t xml:space="preserve">pravo na pogrešku i pravo na ispravak; </w:t>
      </w:r>
    </w:p>
    <w:p w:rsidR="00096F53" w:rsidRPr="00223428" w:rsidRDefault="00B45FA0" w:rsidP="00096F53">
      <w:pPr>
        <w:spacing w:after="240"/>
      </w:pPr>
      <w:r>
        <w:t>(iv.)</w:t>
      </w:r>
      <w:r>
        <w:tab/>
        <w:t>pravo na objašnjenje koje se tumači kao pravo osobe da dobije objašnjenje rezultata algoritma i odluke donesene nakon algoritamske procjene;</w:t>
      </w:r>
    </w:p>
    <w:p w:rsidR="00096F53" w:rsidRPr="00223428" w:rsidRDefault="00B45FA0" w:rsidP="00096F53">
      <w:pPr>
        <w:spacing w:after="240"/>
      </w:pPr>
      <w:r>
        <w:t xml:space="preserve">(v.) </w:t>
      </w:r>
      <w:r>
        <w:tab/>
        <w:t>načelo transparentnosti u pogledu kriterija na temelju kojih se donose automatizirane odluke ako te odluke utječu na građane.</w:t>
      </w:r>
    </w:p>
    <w:p w:rsidR="00096F53" w:rsidRPr="00223428" w:rsidRDefault="00B45FA0" w:rsidP="00096F53">
      <w:pPr>
        <w:spacing w:after="240"/>
        <w:rPr>
          <w:b/>
        </w:rPr>
      </w:pPr>
      <w:r>
        <w:rPr>
          <w:b/>
        </w:rPr>
        <w:t>Preporuka br. 3 (u vezi s načelima za razvoj i uvođenje digitalnih rješenja)</w:t>
      </w:r>
    </w:p>
    <w:p w:rsidR="00096F53" w:rsidRPr="00223428" w:rsidRDefault="00B45FA0" w:rsidP="00096F53">
      <w:pPr>
        <w:spacing w:after="240"/>
      </w:pPr>
      <w:r>
        <w:t xml:space="preserve">Trebalo bi priznati potrebu za razvojem novih digitalnih rješenja kako bi se zadovoljile potrebe uprave Unije u procesu digitalizacije. Kako bi se osiguralo da takva rješenja na najbolji mogući način služe građanima Unije i osoblju Unije, trebalo bi uzeti u obzir sljedeća načela: </w:t>
      </w:r>
    </w:p>
    <w:p w:rsidR="00096F53" w:rsidRPr="00223428" w:rsidRDefault="00B45FA0" w:rsidP="00096F53">
      <w:pPr>
        <w:shd w:val="clear" w:color="auto" w:fill="FFFFFF"/>
        <w:spacing w:after="240"/>
        <w:rPr>
          <w:color w:val="4D5156"/>
        </w:rPr>
      </w:pPr>
      <w:r>
        <w:t>(i</w:t>
      </w:r>
      <w:r w:rsidR="006139B7">
        <w:t>.</w:t>
      </w:r>
      <w:r>
        <w:t xml:space="preserve">) </w:t>
      </w:r>
      <w:r>
        <w:tab/>
        <w:t>osoblje Unije trebalo bi biti u središtu razvojnog procesa jer ono najbolje razumije upravne postupke i rubne slučajeve, odnosno probleme ili situacije koji se događaju samo na jednom ili drugom kraju spektra mogućih vrijednosti ili u ekstremnim situacijama;</w:t>
      </w:r>
    </w:p>
    <w:p w:rsidR="00096F53" w:rsidRPr="00223428" w:rsidRDefault="00B45FA0" w:rsidP="00096F53">
      <w:pPr>
        <w:spacing w:after="240"/>
      </w:pPr>
      <w:r>
        <w:t>(ii</w:t>
      </w:r>
      <w:r w:rsidR="006139B7">
        <w:t>.</w:t>
      </w:r>
      <w:r>
        <w:t xml:space="preserve">) </w:t>
      </w:r>
      <w:r>
        <w:tab/>
        <w:t xml:space="preserve">trebalo bi uzeti u obzir razvoj internih digitalnih rješenja koja su ključna za uvođenje dotične javne usluge; </w:t>
      </w:r>
    </w:p>
    <w:p w:rsidR="00096F53" w:rsidRPr="00223428" w:rsidRDefault="00B45FA0" w:rsidP="00096F53">
      <w:pPr>
        <w:spacing w:after="240"/>
      </w:pPr>
      <w:r>
        <w:t>(iii</w:t>
      </w:r>
      <w:r w:rsidR="006139B7">
        <w:t>.</w:t>
      </w:r>
      <w:r>
        <w:t xml:space="preserve">) </w:t>
      </w:r>
      <w:r>
        <w:tab/>
        <w:t>kad je riječ o eksternalizaciji, umjesto poziva na podnošenje prijedloga za monolitne megaprojekte za koje se može natjecati samo nekoliko velikih poduzeća i za koje postoji veći rizik od kašnjenja i prekoračenja proračuna, postupke javne nabave za digitalizaciju projekata i procesa trebalo bi podijeliti u pozive na podnošenje prijedloga za manje projekte kako bi ugovori o digitalizaciji bili dostupniji MSP-ovima;</w:t>
      </w:r>
    </w:p>
    <w:p w:rsidR="00096F53" w:rsidRPr="00223428" w:rsidRDefault="00B45FA0" w:rsidP="00096F53">
      <w:pPr>
        <w:spacing w:after="240"/>
      </w:pPr>
      <w:r>
        <w:t>(iv</w:t>
      </w:r>
      <w:r w:rsidR="006139B7">
        <w:t>.</w:t>
      </w:r>
      <w:r>
        <w:t xml:space="preserve">) </w:t>
      </w:r>
      <w:r>
        <w:tab/>
        <w:t>digitalizacija se ne bi trebala smatrati isključivo procesom koji dovodi do smanjenja troškova: važno je imati na umu da učinkovita digitalizacija također zahtijeva ulaganje i u tehnologiju i u osoblje;</w:t>
      </w:r>
    </w:p>
    <w:p w:rsidR="00096F53" w:rsidRPr="00223428" w:rsidRDefault="00B45FA0" w:rsidP="00096F53">
      <w:pPr>
        <w:spacing w:after="240"/>
      </w:pPr>
      <w:r>
        <w:t>(v</w:t>
      </w:r>
      <w:r w:rsidR="006139B7">
        <w:t>.</w:t>
      </w:r>
      <w:r>
        <w:t xml:space="preserve">) </w:t>
      </w:r>
      <w:r>
        <w:tab/>
        <w:t xml:space="preserve">digitalizacija bi se trebala provoditi tako da osoblje ima više vremena za obavljanje zadaća povezanih sa svojim stručnim znanjem, automatizacijom repetitivnih zadaća i pomaganjem osoblju kako bi se moglo osigurati da uprava Unije ispunjava načela i ciljeve sadržane u preporuci br. 2; </w:t>
      </w:r>
    </w:p>
    <w:p w:rsidR="00096F53" w:rsidRPr="0091039D" w:rsidRDefault="00B45FA0" w:rsidP="00096F53">
      <w:pPr>
        <w:spacing w:after="240"/>
      </w:pPr>
      <w:r>
        <w:t>(vi</w:t>
      </w:r>
      <w:r w:rsidR="006139B7">
        <w:t>.</w:t>
      </w:r>
      <w:bookmarkStart w:id="2" w:name="_GoBack"/>
      <w:bookmarkEnd w:id="2"/>
      <w:r>
        <w:t xml:space="preserve">) </w:t>
      </w:r>
      <w:r>
        <w:tab/>
        <w:t>digitalizacija ne bi smjela dovesti do prebacivanja stručnih zadaća na osoblje bez stručnih kompetencija koje nije osposobljeno niti ima resurse potrebne za obavljanje takvih zadaća.</w:t>
      </w:r>
    </w:p>
    <w:sectPr w:rsidR="00096F53" w:rsidRPr="0091039D" w:rsidSect="002B2D1A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F15" w:rsidRDefault="00B45FA0">
      <w:r>
        <w:separator/>
      </w:r>
    </w:p>
  </w:endnote>
  <w:endnote w:type="continuationSeparator" w:id="0">
    <w:p w:rsidR="00CE3F15" w:rsidRDefault="00B45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C3" w:rsidRPr="0091039D" w:rsidRDefault="00B45FA0" w:rsidP="00195D9E">
    <w:pPr>
      <w:pStyle w:val="EPFooter"/>
    </w:pPr>
    <w:r w:rsidRPr="0091039D">
      <w:t>PE</w:t>
    </w:r>
    <w:r w:rsidRPr="0091039D">
      <w:rPr>
        <w:rStyle w:val="HideTWBExt"/>
      </w:rPr>
      <w:t>&lt;NoPE&gt;</w:t>
    </w:r>
    <w:r w:rsidR="00096F53" w:rsidRPr="00096F53">
      <w:t>746.653</w:t>
    </w:r>
    <w:r w:rsidRPr="0091039D">
      <w:rPr>
        <w:rStyle w:val="HideTWBExt"/>
      </w:rPr>
      <w:t>&lt;/NoPE&gt;&lt;Version&gt;</w:t>
    </w:r>
    <w:r w:rsidR="0091039D" w:rsidRPr="0091039D">
      <w:t>v</w:t>
    </w:r>
    <w:r w:rsidR="00096F53" w:rsidRPr="00096F53">
      <w:t>01-00</w:t>
    </w:r>
    <w:r w:rsidRPr="0091039D">
      <w:rPr>
        <w:rStyle w:val="HideTWBExt"/>
      </w:rPr>
      <w:t>&lt;/Version&gt;</w:t>
    </w:r>
    <w:r w:rsidRPr="0091039D">
      <w:tab/>
    </w:r>
    <w:r w:rsidR="00FF6CAC" w:rsidRPr="0091039D">
      <w:fldChar w:fldCharType="begin"/>
    </w:r>
    <w:r w:rsidR="00FF6CAC" w:rsidRPr="0091039D">
      <w:instrText xml:space="preserve"> PAGE </w:instrText>
    </w:r>
    <w:r w:rsidR="00FF6CAC" w:rsidRPr="0091039D">
      <w:fldChar w:fldCharType="separate"/>
    </w:r>
    <w:r w:rsidR="006139B7">
      <w:rPr>
        <w:noProof/>
      </w:rPr>
      <w:t>12</w:t>
    </w:r>
    <w:r w:rsidR="00FF6CAC" w:rsidRPr="0091039D">
      <w:fldChar w:fldCharType="end"/>
    </w:r>
    <w:r w:rsidR="00FF6CAC" w:rsidRPr="0091039D">
      <w:t>/</w:t>
    </w:r>
    <w:r w:rsidR="006139B7">
      <w:fldChar w:fldCharType="begin"/>
    </w:r>
    <w:r w:rsidR="006139B7">
      <w:instrText xml:space="preserve"> NUMPAGES </w:instrText>
    </w:r>
    <w:r w:rsidR="006139B7">
      <w:fldChar w:fldCharType="separate"/>
    </w:r>
    <w:r w:rsidR="006139B7">
      <w:rPr>
        <w:noProof/>
      </w:rPr>
      <w:t>13</w:t>
    </w:r>
    <w:r w:rsidR="006139B7">
      <w:rPr>
        <w:noProof/>
      </w:rPr>
      <w:fldChar w:fldCharType="end"/>
    </w:r>
    <w:r w:rsidRPr="0091039D">
      <w:tab/>
    </w:r>
    <w:r w:rsidRPr="0091039D">
      <w:rPr>
        <w:rStyle w:val="HideTWBExt"/>
      </w:rPr>
      <w:t>&lt;PathFdR&gt;</w:t>
    </w:r>
    <w:r w:rsidR="00096F53" w:rsidRPr="00096F53">
      <w:t>PR\1276129HR.docx</w:t>
    </w:r>
    <w:r w:rsidRPr="0091039D">
      <w:rPr>
        <w:rStyle w:val="HideTWBExt"/>
      </w:rPr>
      <w:t>&lt;/PathFdR&gt;</w:t>
    </w:r>
  </w:p>
  <w:p w:rsidR="007255C3" w:rsidRPr="0091039D" w:rsidRDefault="00B45FA0">
    <w:pPr>
      <w:pStyle w:val="EPFooter2"/>
    </w:pPr>
    <w:fldSimple w:instr=" DOCPROPERTY &quot;&lt;Extension&gt;&quot; ">
      <w:r w:rsidR="006139B7">
        <w:t>HR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C3" w:rsidRPr="0091039D" w:rsidRDefault="00B45FA0" w:rsidP="00195D9E">
    <w:pPr>
      <w:pStyle w:val="EPFooter"/>
    </w:pPr>
    <w:r w:rsidRPr="0091039D">
      <w:rPr>
        <w:rStyle w:val="HideTWBExt"/>
      </w:rPr>
      <w:t>&lt;PathFdR&gt;</w:t>
    </w:r>
    <w:r w:rsidR="00096F53" w:rsidRPr="00096F53">
      <w:t>PR\1276129HR.docx</w:t>
    </w:r>
    <w:r w:rsidRPr="0091039D">
      <w:rPr>
        <w:rStyle w:val="HideTWBExt"/>
      </w:rPr>
      <w:t>&lt;/PathFdR&gt;</w:t>
    </w:r>
    <w:r w:rsidRPr="0091039D">
      <w:tab/>
    </w:r>
    <w:r w:rsidR="00FF6CAC" w:rsidRPr="0091039D">
      <w:fldChar w:fldCharType="begin"/>
    </w:r>
    <w:r w:rsidR="00FF6CAC" w:rsidRPr="0091039D">
      <w:instrText xml:space="preserve"> PAGE </w:instrText>
    </w:r>
    <w:r w:rsidR="00FF6CAC" w:rsidRPr="0091039D">
      <w:fldChar w:fldCharType="separate"/>
    </w:r>
    <w:r w:rsidR="006139B7">
      <w:rPr>
        <w:noProof/>
      </w:rPr>
      <w:t>13</w:t>
    </w:r>
    <w:r w:rsidR="00FF6CAC" w:rsidRPr="0091039D">
      <w:fldChar w:fldCharType="end"/>
    </w:r>
    <w:r w:rsidR="00FF6CAC" w:rsidRPr="0091039D">
      <w:t>/</w:t>
    </w:r>
    <w:r w:rsidR="006139B7">
      <w:fldChar w:fldCharType="begin"/>
    </w:r>
    <w:r w:rsidR="006139B7">
      <w:instrText xml:space="preserve"> NUMPAGES </w:instrText>
    </w:r>
    <w:r w:rsidR="006139B7">
      <w:fldChar w:fldCharType="separate"/>
    </w:r>
    <w:r w:rsidR="006139B7">
      <w:rPr>
        <w:noProof/>
      </w:rPr>
      <w:t>13</w:t>
    </w:r>
    <w:r w:rsidR="006139B7">
      <w:rPr>
        <w:noProof/>
      </w:rPr>
      <w:fldChar w:fldCharType="end"/>
    </w:r>
    <w:r w:rsidRPr="0091039D">
      <w:tab/>
      <w:t>PE</w:t>
    </w:r>
    <w:r w:rsidRPr="0091039D">
      <w:rPr>
        <w:rStyle w:val="HideTWBExt"/>
      </w:rPr>
      <w:t>&lt;NoPE&gt;</w:t>
    </w:r>
    <w:r w:rsidR="00096F53" w:rsidRPr="00096F53">
      <w:t>746.653</w:t>
    </w:r>
    <w:r w:rsidRPr="0091039D">
      <w:rPr>
        <w:rStyle w:val="HideTWBExt"/>
      </w:rPr>
      <w:t>&lt;/NoPE&gt;&lt;Version&gt;</w:t>
    </w:r>
    <w:r w:rsidR="0091039D" w:rsidRPr="0091039D">
      <w:t>v</w:t>
    </w:r>
    <w:r w:rsidR="00096F53" w:rsidRPr="00096F53">
      <w:t>01-00</w:t>
    </w:r>
    <w:r w:rsidRPr="0091039D">
      <w:rPr>
        <w:rStyle w:val="HideTWBExt"/>
      </w:rPr>
      <w:t>&lt;/Version&gt;</w:t>
    </w:r>
  </w:p>
  <w:p w:rsidR="007255C3" w:rsidRPr="0091039D" w:rsidRDefault="00B45FA0">
    <w:pPr>
      <w:pStyle w:val="EPFooter2"/>
    </w:pPr>
    <w:r w:rsidRPr="0091039D">
      <w:tab/>
    </w:r>
    <w:r w:rsidRPr="0091039D">
      <w:tab/>
    </w:r>
    <w:r w:rsidR="006139B7">
      <w:fldChar w:fldCharType="begin"/>
    </w:r>
    <w:r w:rsidR="006139B7">
      <w:instrText xml:space="preserve"> DOCPROPERTY "&lt;Extension&gt;" </w:instrText>
    </w:r>
    <w:r w:rsidR="006139B7">
      <w:fldChar w:fldCharType="separate"/>
    </w:r>
    <w:r w:rsidR="006139B7">
      <w:t>HR</w:t>
    </w:r>
    <w:r w:rsidR="006139B7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C3" w:rsidRPr="0091039D" w:rsidRDefault="00B45FA0" w:rsidP="00195D9E">
    <w:pPr>
      <w:pStyle w:val="EPFooter"/>
    </w:pPr>
    <w:r w:rsidRPr="0091039D">
      <w:rPr>
        <w:rStyle w:val="HideTWBExt"/>
      </w:rPr>
      <w:t>&lt;PathFdR&gt;</w:t>
    </w:r>
    <w:r w:rsidR="00CA0222" w:rsidRPr="00CA0222">
      <w:t>PR\1276129HR.docx</w:t>
    </w:r>
    <w:r w:rsidRPr="0091039D">
      <w:rPr>
        <w:rStyle w:val="HideTWBExt"/>
      </w:rPr>
      <w:t>&lt;/PathFdR&gt;</w:t>
    </w:r>
    <w:r w:rsidRPr="0091039D">
      <w:tab/>
    </w:r>
    <w:r w:rsidRPr="0091039D">
      <w:tab/>
      <w:t>PE</w:t>
    </w:r>
    <w:r w:rsidRPr="0091039D">
      <w:rPr>
        <w:rStyle w:val="HideTWBExt"/>
      </w:rPr>
      <w:t>&lt;NoPE&gt;</w:t>
    </w:r>
    <w:r w:rsidR="00CA0222" w:rsidRPr="00CA0222">
      <w:t>746.653</w:t>
    </w:r>
    <w:r w:rsidRPr="0091039D">
      <w:rPr>
        <w:rStyle w:val="HideTWBExt"/>
      </w:rPr>
      <w:t>&lt;/NoPE&gt;&lt;Version&gt;</w:t>
    </w:r>
    <w:r w:rsidR="0091039D" w:rsidRPr="0091039D">
      <w:t>v</w:t>
    </w:r>
    <w:r w:rsidR="00CA0222" w:rsidRPr="00CA0222">
      <w:t>01-00</w:t>
    </w:r>
    <w:r w:rsidRPr="0091039D">
      <w:rPr>
        <w:rStyle w:val="HideTWBExt"/>
      </w:rPr>
      <w:t>&lt;/Version&gt;</w:t>
    </w:r>
  </w:p>
  <w:p w:rsidR="007255C3" w:rsidRPr="0091039D" w:rsidRDefault="00B45FA0" w:rsidP="00921474">
    <w:pPr>
      <w:pStyle w:val="EPFooter2"/>
      <w:tabs>
        <w:tab w:val="clear" w:pos="4535"/>
        <w:tab w:val="center" w:pos="4536"/>
      </w:tabs>
    </w:pPr>
    <w:fldSimple w:instr=" DOCPROPERTY &quot;&lt;Extension&gt;&quot; ">
      <w:r w:rsidR="006139B7">
        <w:t>HR</w:t>
      </w:r>
    </w:fldSimple>
    <w:r w:rsidRPr="0091039D">
      <w:tab/>
    </w:r>
    <w:r w:rsidR="00CA0222">
      <w:rPr>
        <w:b w:val="0"/>
        <w:i/>
        <w:color w:val="C0C0C0"/>
        <w:sz w:val="22"/>
        <w:szCs w:val="22"/>
      </w:rPr>
      <w:t>Ujedinjena u raznolikosti</w:t>
    </w:r>
    <w:r w:rsidRPr="0091039D">
      <w:tab/>
    </w:r>
    <w:fldSimple w:instr=" DOCPROPERTY &quot;&lt;Extension&gt;&quot; ">
      <w:r w:rsidR="006139B7">
        <w:t>HR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39D" w:rsidRPr="0091039D" w:rsidRDefault="00B45FA0">
      <w:r w:rsidRPr="0091039D">
        <w:separator/>
      </w:r>
    </w:p>
  </w:footnote>
  <w:footnote w:type="continuationSeparator" w:id="0">
    <w:p w:rsidR="0091039D" w:rsidRPr="0091039D" w:rsidRDefault="00B45FA0">
      <w:r w:rsidRPr="0091039D">
        <w:continuationSeparator/>
      </w:r>
    </w:p>
  </w:footnote>
  <w:footnote w:id="1">
    <w:p w:rsidR="00AF5DF1" w:rsidRPr="00223428" w:rsidRDefault="00B45FA0" w:rsidP="00AF5DF1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2"/>
          <w:szCs w:val="22"/>
        </w:rPr>
      </w:pPr>
      <w:r>
        <w:rPr>
          <w:vertAlign w:val="superscript"/>
        </w:rPr>
        <w:footnoteRef/>
      </w:r>
      <w:r>
        <w:rPr>
          <w:color w:val="000000"/>
          <w:sz w:val="22"/>
        </w:rPr>
        <w:tab/>
      </w:r>
      <w:r>
        <w:rPr>
          <w:color w:val="000000"/>
          <w:sz w:val="20"/>
        </w:rPr>
        <w:t>SL L 295, 21.11.2018., str. 39.</w:t>
      </w:r>
    </w:p>
  </w:footnote>
  <w:footnote w:id="2">
    <w:p w:rsidR="00AF5DF1" w:rsidRPr="00223428" w:rsidRDefault="00B45FA0" w:rsidP="00AF5DF1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2"/>
          <w:szCs w:val="22"/>
        </w:rPr>
      </w:pPr>
      <w:r>
        <w:rPr>
          <w:vertAlign w:val="superscript"/>
        </w:rPr>
        <w:footnoteRef/>
      </w:r>
      <w:r>
        <w:rPr>
          <w:color w:val="000000"/>
          <w:sz w:val="22"/>
        </w:rPr>
        <w:tab/>
      </w:r>
      <w:r>
        <w:rPr>
          <w:color w:val="000000"/>
          <w:sz w:val="20"/>
        </w:rPr>
        <w:t>SL L 145, 31.5.2001., str. 43.</w:t>
      </w:r>
    </w:p>
  </w:footnote>
  <w:footnote w:id="3">
    <w:p w:rsidR="00AF5DF1" w:rsidRPr="00223428" w:rsidRDefault="00B45FA0" w:rsidP="00AF5DF1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>
        <w:rPr>
          <w:vertAlign w:val="superscript"/>
        </w:rPr>
        <w:footnoteRef/>
      </w:r>
      <w:r>
        <w:rPr>
          <w:color w:val="000000"/>
          <w:sz w:val="22"/>
        </w:rPr>
        <w:tab/>
      </w:r>
      <w:r>
        <w:rPr>
          <w:color w:val="000000"/>
          <w:sz w:val="20"/>
        </w:rPr>
        <w:t>SL C 72 E, 21.3.2002., str. 331.</w:t>
      </w:r>
    </w:p>
  </w:footnote>
  <w:footnote w:id="4">
    <w:p w:rsidR="00AF5DF1" w:rsidRPr="00223428" w:rsidRDefault="00B45FA0" w:rsidP="00AF5DF1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>
        <w:rPr>
          <w:sz w:val="20"/>
          <w:vertAlign w:val="superscript"/>
        </w:rPr>
        <w:footnoteRef/>
      </w:r>
      <w:r>
        <w:rPr>
          <w:color w:val="000000"/>
          <w:sz w:val="20"/>
        </w:rPr>
        <w:tab/>
        <w:t>SL L 267, 20.10.2000., str. 63.</w:t>
      </w:r>
    </w:p>
  </w:footnote>
  <w:footnote w:id="5">
    <w:p w:rsidR="00AF5DF1" w:rsidRPr="00223428" w:rsidRDefault="00B45FA0" w:rsidP="00AF5DF1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>
        <w:rPr>
          <w:sz w:val="20"/>
          <w:vertAlign w:val="superscript"/>
        </w:rPr>
        <w:footnoteRef/>
      </w:r>
      <w:r>
        <w:rPr>
          <w:color w:val="000000"/>
          <w:sz w:val="20"/>
        </w:rPr>
        <w:tab/>
        <w:t>SL C 189, 5.7.2001., str. 1.</w:t>
      </w:r>
    </w:p>
  </w:footnote>
  <w:footnote w:id="6">
    <w:p w:rsidR="00AF5DF1" w:rsidRPr="00223428" w:rsidRDefault="00B45FA0" w:rsidP="00AF5DF1">
      <w:pPr>
        <w:pStyle w:val="FootnoteText"/>
      </w:pPr>
      <w:r>
        <w:rPr>
          <w:rStyle w:val="FootnoteReference"/>
        </w:rPr>
        <w:footnoteRef/>
      </w:r>
      <w:r>
        <w:tab/>
      </w:r>
      <w:hyperlink r:id="rId1" w:history="1">
        <w:r>
          <w:rPr>
            <w:rStyle w:val="Hyperlink"/>
          </w:rPr>
          <w:t>https://www.europeanlawinstitute.eu/fileadmin/user_upload/p_eli/Publications/ELI_Model_Rules_on_Impact_Assessment_of_ADMSs_Used_by_Public_Administration.pdf</w:t>
        </w:r>
      </w:hyperlink>
      <w:r>
        <w:rPr>
          <w:rStyle w:val="Hyperlink"/>
        </w:rPr>
        <w:t>.</w:t>
      </w:r>
    </w:p>
  </w:footnote>
  <w:footnote w:id="7">
    <w:p w:rsidR="00AF5DF1" w:rsidRPr="00223428" w:rsidRDefault="00B45FA0" w:rsidP="00AF5DF1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>
        <w:rPr>
          <w:vertAlign w:val="superscript"/>
        </w:rPr>
        <w:footnoteRef/>
      </w:r>
      <w:r>
        <w:rPr>
          <w:color w:val="000000"/>
          <w:sz w:val="22"/>
        </w:rPr>
        <w:tab/>
        <w:t xml:space="preserve"> </w:t>
      </w:r>
      <w:hyperlink r:id="rId2" w:history="1">
        <w:r>
          <w:rPr>
            <w:rStyle w:val="Hyperlink"/>
            <w:sz w:val="20"/>
          </w:rPr>
          <w:t>http://www.europarl.europa.eu/committees/en/juri/studiesdownload.html?languageDocument=EN&amp;file=59983</w:t>
        </w:r>
      </w:hyperlink>
      <w:r>
        <w:rPr>
          <w:color w:val="000000"/>
          <w:sz w:val="20"/>
        </w:rPr>
        <w:t>.</w:t>
      </w:r>
    </w:p>
  </w:footnote>
  <w:footnote w:id="8">
    <w:p w:rsidR="00AF5DF1" w:rsidRPr="00223428" w:rsidRDefault="00B45FA0" w:rsidP="00AF5DF1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>
        <w:rPr>
          <w:sz w:val="20"/>
          <w:vertAlign w:val="superscript"/>
        </w:rPr>
        <w:footnoteRef/>
      </w:r>
      <w:r>
        <w:rPr>
          <w:color w:val="000000"/>
          <w:sz w:val="20"/>
        </w:rPr>
        <w:tab/>
        <w:t xml:space="preserve"> </w:t>
      </w:r>
      <w:hyperlink r:id="rId3" w:history="1">
        <w:r>
          <w:rPr>
            <w:rStyle w:val="Hyperlink"/>
            <w:sz w:val="20"/>
          </w:rPr>
          <w:t>http://www.europarl.europa.eu/meetdocs/2009_2014/documents/juri/dv/juri_wdadministrativelaw_/juri_wdadministrativelaw_en.pdf</w:t>
        </w:r>
      </w:hyperlink>
      <w:r>
        <w:rPr>
          <w:color w:val="000000"/>
          <w:sz w:val="20"/>
        </w:rPr>
        <w:t>.</w:t>
      </w:r>
    </w:p>
  </w:footnote>
  <w:footnote w:id="9">
    <w:p w:rsidR="00AF5DF1" w:rsidRPr="00223428" w:rsidRDefault="00B45FA0" w:rsidP="00AF5DF1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>
        <w:rPr>
          <w:sz w:val="20"/>
          <w:vertAlign w:val="superscript"/>
        </w:rPr>
        <w:footnoteRef/>
      </w:r>
      <w:r>
        <w:rPr>
          <w:color w:val="000000"/>
          <w:sz w:val="20"/>
        </w:rPr>
        <w:tab/>
        <w:t xml:space="preserve"> </w:t>
      </w:r>
      <w:hyperlink r:id="rId4" w:history="1">
        <w:r>
          <w:rPr>
            <w:rStyle w:val="Hyperlink"/>
            <w:sz w:val="20"/>
          </w:rPr>
          <w:t>http://www.europarl.europa.eu/meetdocs/2009_2014/documents/juri/dv/eav_lawofadminprocedure_/EAV_LawofAdminprocedure_EN.pdf</w:t>
        </w:r>
      </w:hyperlink>
      <w:r>
        <w:rPr>
          <w:color w:val="000000"/>
          <w:sz w:val="20"/>
        </w:rPr>
        <w:t>.</w:t>
      </w:r>
    </w:p>
  </w:footnote>
  <w:footnote w:id="10">
    <w:p w:rsidR="00AF5DF1" w:rsidRPr="00223428" w:rsidRDefault="00B45FA0" w:rsidP="00AF5DF1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>
        <w:rPr>
          <w:sz w:val="20"/>
          <w:vertAlign w:val="superscript"/>
        </w:rPr>
        <w:footnoteRef/>
      </w:r>
      <w:r>
        <w:rPr>
          <w:color w:val="000000"/>
          <w:sz w:val="20"/>
        </w:rPr>
        <w:tab/>
        <w:t xml:space="preserve"> </w:t>
      </w:r>
      <w:hyperlink r:id="rId5" w:history="1">
        <w:r>
          <w:rPr>
            <w:rStyle w:val="Hyperlink"/>
            <w:sz w:val="20"/>
          </w:rPr>
          <w:t>https://www.europarl.europa.eu/RegData/etudes/STUD/2018/621841/EPRS_STU(2018)621841_EN.pdf</w:t>
        </w:r>
      </w:hyperlink>
      <w:r>
        <w:rPr>
          <w:color w:val="000000"/>
          <w:sz w:val="20"/>
        </w:rPr>
        <w:t xml:space="preserve"> </w:t>
      </w:r>
    </w:p>
  </w:footnote>
  <w:footnote w:id="11">
    <w:p w:rsidR="00AF5DF1" w:rsidRPr="00223428" w:rsidRDefault="00B45FA0" w:rsidP="00AF5DF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hyperlink r:id="rId6" w:history="1">
        <w:r>
          <w:rPr>
            <w:rStyle w:val="Hyperlink"/>
          </w:rPr>
          <w:t>https://www.europarl.europa.eu/RegData/etudes/STUD/2018/621841/EPRS_STU(2018)621841_EN.pdf</w:t>
        </w:r>
      </w:hyperlink>
      <w:r>
        <w:t xml:space="preserve"> </w:t>
      </w:r>
    </w:p>
  </w:footnote>
  <w:footnote w:id="12">
    <w:p w:rsidR="00AF5DF1" w:rsidRPr="00223428" w:rsidRDefault="00B45FA0" w:rsidP="00AF5DF1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>
        <w:rPr>
          <w:sz w:val="20"/>
          <w:vertAlign w:val="superscript"/>
        </w:rPr>
        <w:footnoteRef/>
      </w:r>
      <w:r>
        <w:rPr>
          <w:color w:val="000000"/>
          <w:sz w:val="20"/>
        </w:rPr>
        <w:tab/>
      </w:r>
      <w:hyperlink r:id="rId7">
        <w:r>
          <w:rPr>
            <w:color w:val="0000FF"/>
            <w:sz w:val="20"/>
            <w:u w:val="single"/>
          </w:rPr>
          <w:t>https://www.europarl.europa.eu/thinktank/en/document/EPRS_STU(2022)730350</w:t>
        </w:r>
      </w:hyperlink>
      <w:r>
        <w:rPr>
          <w:color w:val="000000"/>
          <w:sz w:val="20"/>
        </w:rPr>
        <w:t xml:space="preserve"> </w:t>
      </w:r>
    </w:p>
  </w:footnote>
  <w:footnote w:id="13">
    <w:p w:rsidR="00AF5DF1" w:rsidRPr="00223428" w:rsidRDefault="00B45FA0" w:rsidP="00AF5DF1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>
        <w:rPr>
          <w:sz w:val="20"/>
          <w:vertAlign w:val="superscript"/>
        </w:rPr>
        <w:footnoteRef/>
      </w:r>
      <w:r>
        <w:rPr>
          <w:color w:val="000000"/>
          <w:sz w:val="20"/>
        </w:rPr>
        <w:tab/>
        <w:t xml:space="preserve"> SL C 440, 30.12.2015., str. 17.</w:t>
      </w:r>
    </w:p>
  </w:footnote>
  <w:footnote w:id="14">
    <w:p w:rsidR="00AF5DF1" w:rsidRPr="00223428" w:rsidRDefault="00B45FA0" w:rsidP="00AF5DF1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>
        <w:rPr>
          <w:sz w:val="20"/>
          <w:vertAlign w:val="superscript"/>
        </w:rPr>
        <w:footnoteRef/>
      </w:r>
      <w:r>
        <w:rPr>
          <w:color w:val="000000"/>
          <w:sz w:val="20"/>
        </w:rPr>
        <w:tab/>
        <w:t xml:space="preserve"> </w:t>
      </w:r>
      <w:hyperlink r:id="rId8">
        <w:r>
          <w:rPr>
            <w:color w:val="0000FF"/>
            <w:sz w:val="20"/>
            <w:u w:val="single"/>
          </w:rPr>
          <w:t>https://www.europarl.europa.eu/cmsdata/150700/consultation-eu-law-summary-report.pdf</w:t>
        </w:r>
      </w:hyperlink>
    </w:p>
  </w:footnote>
  <w:footnote w:id="15">
    <w:p w:rsidR="00085CD8" w:rsidRPr="00223428" w:rsidRDefault="00B45FA0" w:rsidP="00085CD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9" w:history="1">
        <w:r>
          <w:rPr>
            <w:rStyle w:val="Hyperlink"/>
          </w:rPr>
          <w:t>https://www.europeanlawinstitute.eu/fileadmin/user_upload/p_eli/Publications/ELI_Model_Rules_on_Impact_Assessment_of_ADMSs_Used_by_Public_Administration.pdf</w:t>
        </w:r>
      </w:hyperlink>
      <w:r>
        <w:t xml:space="preserve"> </w:t>
      </w:r>
    </w:p>
  </w:footnote>
  <w:footnote w:id="16">
    <w:p w:rsidR="00085CD8" w:rsidRPr="00223428" w:rsidRDefault="00B45FA0" w:rsidP="00085CD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0" w:anchor="opensourcesoftwarestrategy" w:history="1">
        <w:r>
          <w:rPr>
            <w:rStyle w:val="Hyperlink"/>
          </w:rPr>
          <w:t>https://commission.europa.eu/about-european-commission/departments-and-executive-agencies/informatics/open-source-software-strategy_en#opensourcesoftwarestrategy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F53" w:rsidRDefault="00096F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F53" w:rsidRDefault="00096F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F53" w:rsidRDefault="00096F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NU" w:val=" 2"/>
    <w:docVar w:name="COMKEY" w:val="JURI"/>
    <w:docVar w:name="LastEditedSection" w:val=" 1"/>
    <w:docVar w:name="strDocTypeID" w:val="PR_INL"/>
    <w:docVar w:name="strSubDir" w:val="1276"/>
    <w:docVar w:name="TXTLANGUE" w:val="HR"/>
    <w:docVar w:name="TXTLANGUEMIN" w:val="hr"/>
    <w:docVar w:name="TXTNRINL" w:val="2021/2161"/>
    <w:docVar w:name="TXTNRPE" w:val="746.653"/>
    <w:docVar w:name="TXTPEorAP" w:val="PE"/>
    <w:docVar w:name="TXTROUTE" w:val="PR\1276129HR.docx"/>
    <w:docVar w:name="TXTVERSION" w:val="01-00"/>
  </w:docVars>
  <w:rsids>
    <w:rsidRoot w:val="0091039D"/>
    <w:rsid w:val="000054D6"/>
    <w:rsid w:val="00007EDE"/>
    <w:rsid w:val="000163ED"/>
    <w:rsid w:val="00085CD8"/>
    <w:rsid w:val="00096F53"/>
    <w:rsid w:val="000B0AEA"/>
    <w:rsid w:val="000D2714"/>
    <w:rsid w:val="00126C3F"/>
    <w:rsid w:val="001514D5"/>
    <w:rsid w:val="00180885"/>
    <w:rsid w:val="00195D9E"/>
    <w:rsid w:val="001A502C"/>
    <w:rsid w:val="001B089B"/>
    <w:rsid w:val="00223428"/>
    <w:rsid w:val="00246FFC"/>
    <w:rsid w:val="002B2D1A"/>
    <w:rsid w:val="002E11C3"/>
    <w:rsid w:val="0032795A"/>
    <w:rsid w:val="003348FE"/>
    <w:rsid w:val="00387D72"/>
    <w:rsid w:val="0039462E"/>
    <w:rsid w:val="003F3152"/>
    <w:rsid w:val="003F3E62"/>
    <w:rsid w:val="00403FE0"/>
    <w:rsid w:val="00405688"/>
    <w:rsid w:val="00422FF9"/>
    <w:rsid w:val="00467F52"/>
    <w:rsid w:val="004C2744"/>
    <w:rsid w:val="004E7BFD"/>
    <w:rsid w:val="0050637F"/>
    <w:rsid w:val="00511904"/>
    <w:rsid w:val="00581D3F"/>
    <w:rsid w:val="00584FD7"/>
    <w:rsid w:val="005A5B05"/>
    <w:rsid w:val="005B4360"/>
    <w:rsid w:val="005C24FC"/>
    <w:rsid w:val="005F3B68"/>
    <w:rsid w:val="006139B7"/>
    <w:rsid w:val="00613DCC"/>
    <w:rsid w:val="006432B2"/>
    <w:rsid w:val="006968DA"/>
    <w:rsid w:val="006D5569"/>
    <w:rsid w:val="006E1DCB"/>
    <w:rsid w:val="006E50B6"/>
    <w:rsid w:val="007255C3"/>
    <w:rsid w:val="00736DD2"/>
    <w:rsid w:val="00764352"/>
    <w:rsid w:val="00773D6B"/>
    <w:rsid w:val="007E1C43"/>
    <w:rsid w:val="00814003"/>
    <w:rsid w:val="008E72B0"/>
    <w:rsid w:val="008F2355"/>
    <w:rsid w:val="0091039D"/>
    <w:rsid w:val="00921474"/>
    <w:rsid w:val="009271DD"/>
    <w:rsid w:val="009413AC"/>
    <w:rsid w:val="00957CA7"/>
    <w:rsid w:val="009C2AF9"/>
    <w:rsid w:val="009D1EB7"/>
    <w:rsid w:val="009E5AB9"/>
    <w:rsid w:val="009E5AF9"/>
    <w:rsid w:val="009E6E1A"/>
    <w:rsid w:val="009F6042"/>
    <w:rsid w:val="00A1070F"/>
    <w:rsid w:val="00A1681E"/>
    <w:rsid w:val="00A5291F"/>
    <w:rsid w:val="00AA7B89"/>
    <w:rsid w:val="00AB727F"/>
    <w:rsid w:val="00AF0D4F"/>
    <w:rsid w:val="00AF5DF1"/>
    <w:rsid w:val="00B27D4A"/>
    <w:rsid w:val="00B45FA0"/>
    <w:rsid w:val="00BD2C91"/>
    <w:rsid w:val="00BD7032"/>
    <w:rsid w:val="00BF1602"/>
    <w:rsid w:val="00C30980"/>
    <w:rsid w:val="00C44FB7"/>
    <w:rsid w:val="00C802B6"/>
    <w:rsid w:val="00C85D0F"/>
    <w:rsid w:val="00CA0222"/>
    <w:rsid w:val="00CA5063"/>
    <w:rsid w:val="00CB6B5C"/>
    <w:rsid w:val="00CB7130"/>
    <w:rsid w:val="00CE3F15"/>
    <w:rsid w:val="00D06A20"/>
    <w:rsid w:val="00D1551E"/>
    <w:rsid w:val="00D15D7A"/>
    <w:rsid w:val="00D20C91"/>
    <w:rsid w:val="00D4717C"/>
    <w:rsid w:val="00D65E7F"/>
    <w:rsid w:val="00DA5BEC"/>
    <w:rsid w:val="00DB5CF1"/>
    <w:rsid w:val="00DD249E"/>
    <w:rsid w:val="00E01DB3"/>
    <w:rsid w:val="00E0452E"/>
    <w:rsid w:val="00E4043F"/>
    <w:rsid w:val="00E71939"/>
    <w:rsid w:val="00EA0BB4"/>
    <w:rsid w:val="00EB420E"/>
    <w:rsid w:val="00ED096B"/>
    <w:rsid w:val="00EE7B71"/>
    <w:rsid w:val="00F314A1"/>
    <w:rsid w:val="00F663D3"/>
    <w:rsid w:val="00FF26C9"/>
    <w:rsid w:val="00FF5759"/>
    <w:rsid w:val="00FF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863185"/>
  <w15:chartTrackingRefBased/>
  <w15:docId w15:val="{0F0A2EC2-E4D7-4B7A-94CA-672041311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4F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84FD7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9E5AB9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46FF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12a">
    <w:name w:val="CoverNormal12a"/>
    <w:basedOn w:val="Normal"/>
    <w:rsid w:val="006968DA"/>
    <w:pPr>
      <w:spacing w:after="240"/>
      <w:ind w:left="1418"/>
    </w:pPr>
  </w:style>
  <w:style w:type="paragraph" w:customStyle="1" w:styleId="CoverNormal24a">
    <w:name w:val="CoverNormal24a"/>
    <w:basedOn w:val="Normal"/>
    <w:rsid w:val="0039462E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13DCC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195D9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D1EB7"/>
    <w:pPr>
      <w:tabs>
        <w:tab w:val="center" w:pos="4513"/>
        <w:tab w:val="right" w:pos="9026"/>
      </w:tabs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921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514D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2147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2147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46FF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46FFC"/>
    <w:pPr>
      <w:jc w:val="right"/>
    </w:pPr>
  </w:style>
  <w:style w:type="paragraph" w:customStyle="1" w:styleId="EPFooter">
    <w:name w:val="EPFooter"/>
    <w:basedOn w:val="Normal"/>
    <w:rsid w:val="00195D9E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9D1EB7"/>
    <w:rPr>
      <w:sz w:val="24"/>
    </w:rPr>
  </w:style>
  <w:style w:type="character" w:styleId="FootnoteReference">
    <w:name w:val="footnote reference"/>
    <w:rsid w:val="00AF5DF1"/>
    <w:rPr>
      <w:b w:val="0"/>
      <w:vertAlign w:val="superscript"/>
    </w:rPr>
  </w:style>
  <w:style w:type="character" w:customStyle="1" w:styleId="FootnoteTextChar">
    <w:name w:val="Footnote Text Char"/>
    <w:basedOn w:val="DefaultParagraphFont"/>
    <w:link w:val="FootnoteText"/>
    <w:qFormat/>
    <w:rsid w:val="00AF5DF1"/>
    <w:rPr>
      <w:lang w:val="hr-HR" w:eastAsia="fr-FR"/>
    </w:rPr>
  </w:style>
  <w:style w:type="character" w:styleId="Hyperlink">
    <w:name w:val="Hyperlink"/>
    <w:uiPriority w:val="99"/>
    <w:rsid w:val="00AF5DF1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AF5DF1"/>
    <w:pPr>
      <w:keepLines/>
      <w:widowControl/>
      <w:spacing w:line="260" w:lineRule="exact"/>
      <w:ind w:left="425" w:hanging="425"/>
    </w:pPr>
    <w:rPr>
      <w:sz w:val="20"/>
      <w:lang w:eastAsia="fr-FR"/>
    </w:rPr>
  </w:style>
  <w:style w:type="character" w:customStyle="1" w:styleId="FootnoteTextChar1">
    <w:name w:val="Footnote Text Char1"/>
    <w:basedOn w:val="DefaultParagraphFont"/>
    <w:rsid w:val="00AF5DF1"/>
    <w:rPr>
      <w:lang w:val="hr-HR"/>
    </w:rPr>
  </w:style>
  <w:style w:type="paragraph" w:styleId="Footer">
    <w:name w:val="footer"/>
    <w:basedOn w:val="Normal"/>
    <w:link w:val="FooterChar"/>
    <w:semiHidden/>
    <w:rsid w:val="00E01D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01DB3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parl.europa.eu/cmsdata/150700/consultation-eu-law-summary-report.pdf" TargetMode="External"/><Relationship Id="rId3" Type="http://schemas.openxmlformats.org/officeDocument/2006/relationships/hyperlink" Target="http://www.europarl.europa.eu/meetdocs/2009_2014/documents/juri/dv/juri_wdadministrativelaw_/juri_wdadministrativelaw_en.pdf" TargetMode="External"/><Relationship Id="rId7" Type="http://schemas.openxmlformats.org/officeDocument/2006/relationships/hyperlink" Target="https://www.europarl.europa.eu/thinktank/en/document/EPRS_STU(2022)730350" TargetMode="External"/><Relationship Id="rId2" Type="http://schemas.openxmlformats.org/officeDocument/2006/relationships/hyperlink" Target="http://www.europarl.europa.eu/committees/en/juri/studiesdownload.html?languageDocument=EN&amp;file=59983" TargetMode="External"/><Relationship Id="rId1" Type="http://schemas.openxmlformats.org/officeDocument/2006/relationships/hyperlink" Target="https://www.europeanlawinstitute.eu/fileadmin/user_upload/p_eli/Publications/ELI_Model_Rules_on_Impact_Assessment_of_ADMSs_Used_by_Public_Administration.pdf" TargetMode="External"/><Relationship Id="rId6" Type="http://schemas.openxmlformats.org/officeDocument/2006/relationships/hyperlink" Target="https://www.europarl.europa.eu/RegData/etudes/STUD/2018/621841/EPRS_STU(2018)621841_EN.pdf" TargetMode="External"/><Relationship Id="rId5" Type="http://schemas.openxmlformats.org/officeDocument/2006/relationships/hyperlink" Target="https://www.europarl.europa.eu/RegData/etudes/STUD/2018/621841/EPRS_STU(2018)621841_EN.pdf" TargetMode="External"/><Relationship Id="rId10" Type="http://schemas.openxmlformats.org/officeDocument/2006/relationships/hyperlink" Target="https://commission.europa.eu/about-european-commission/departments-and-executive-agencies/informatics/open-source-software-strategy_en" TargetMode="External"/><Relationship Id="rId4" Type="http://schemas.openxmlformats.org/officeDocument/2006/relationships/hyperlink" Target="http://www.europarl.europa.eu/meetdocs/2009_2014/documents/juri/dv/eav_lawofadminprocedure_/EAV_LawofAdminprocedure_EN.pdf" TargetMode="External"/><Relationship Id="rId9" Type="http://schemas.openxmlformats.org/officeDocument/2006/relationships/hyperlink" Target="https://www.europeanlawinstitute.eu/fileadmin/user_upload/p_eli/Publications/ELI_Model_Rules_on_Impact_Assessment_of_ADMSs_Used_by_Public_Administr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4155</Words>
  <Characters>24516</Characters>
  <Application>Microsoft Office Word</Application>
  <DocSecurity>0</DocSecurity>
  <Lines>408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PR_INL</vt:lpstr>
    </vt:vector>
  </TitlesOfParts>
  <Company/>
  <LinksUpToDate>false</LinksUpToDate>
  <CharactersWithSpaces>28529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PR_INL</dc:title>
  <dc:creator>BUTIGAN Gabrijela</dc:creator>
  <cp:lastModifiedBy>BULJAN Jakov</cp:lastModifiedBy>
  <cp:revision>2</cp:revision>
  <cp:lastPrinted>2004-12-08T15:27:00Z</cp:lastPrinted>
  <dcterms:created xsi:type="dcterms:W3CDTF">2023-06-26T06:36:00Z</dcterms:created>
  <dcterms:modified xsi:type="dcterms:W3CDTF">2023-06-26T06:36:00Z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1276129</vt:lpwstr>
  </property>
  <property fmtid="{D5CDD505-2E9C-101B-9397-08002B2CF9AE}" pid="4" name="&lt;Model&gt;">
    <vt:lpwstr>PR_INL</vt:lpwstr>
  </property>
  <property fmtid="{D5CDD505-2E9C-101B-9397-08002B2CF9AE}" pid="5" name="&lt;ModelCod&gt;">
    <vt:lpwstr>\\eiciLUXpr1\pdocep$\DocEP\DOCS\General\PR\PR_NonLeg\Other\PR_INL.dotx(16/12/2022 07:40:19)</vt:lpwstr>
  </property>
  <property fmtid="{D5CDD505-2E9C-101B-9397-08002B2CF9AE}" pid="6" name="&lt;ModelTra&gt;">
    <vt:lpwstr>\\eiciLUXpr1\pdocep$\DocEP\TRANSFIL\HR\PR_INL.HR(22/10/2019 16:17:00)</vt:lpwstr>
  </property>
  <property fmtid="{D5CDD505-2E9C-101B-9397-08002B2CF9AE}" pid="7" name="&lt;Type&gt;">
    <vt:lpwstr>PR</vt:lpwstr>
  </property>
  <property fmtid="{D5CDD505-2E9C-101B-9397-08002B2CF9AE}" pid="8" name="Bookout">
    <vt:lpwstr>OK - 2023/06/26 08:35</vt:lpwstr>
  </property>
  <property fmtid="{D5CDD505-2E9C-101B-9397-08002B2CF9AE}" pid="9" name="Created with">
    <vt:lpwstr>9.15.0 Build [20230501]</vt:lpwstr>
  </property>
  <property fmtid="{D5CDD505-2E9C-101B-9397-08002B2CF9AE}" pid="10" name="FooterPath">
    <vt:lpwstr>PR\1276129HR.docx</vt:lpwstr>
  </property>
  <property fmtid="{D5CDD505-2E9C-101B-9397-08002B2CF9AE}" pid="11" name="LastEdited with">
    <vt:lpwstr>9.15.0 Build [20230501]</vt:lpwstr>
  </property>
  <property fmtid="{D5CDD505-2E9C-101B-9397-08002B2CF9AE}" pid="12" name="PE number">
    <vt:lpwstr>746.653</vt:lpwstr>
  </property>
  <property fmtid="{D5CDD505-2E9C-101B-9397-08002B2CF9AE}" pid="13" name="SDLStudio">
    <vt:lpwstr/>
  </property>
</Properties>
</file>