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D5B69" w:rsidRPr="00375C8D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B0AEA" w:rsidRPr="00375C8D" w:rsidRDefault="00772FF8" w:rsidP="00873F47">
            <w:pPr>
              <w:pStyle w:val="EPName"/>
              <w:spacing w:before="0" w:after="240"/>
            </w:pPr>
            <w:r w:rsidRPr="00375C8D">
              <w:t>Európai Parlament</w:t>
            </w:r>
          </w:p>
          <w:p w:rsidR="000B0AEA" w:rsidRPr="00375C8D" w:rsidRDefault="00772FF8" w:rsidP="00873F47">
            <w:pPr>
              <w:pStyle w:val="EPTerm"/>
              <w:spacing w:after="240"/>
            </w:pPr>
            <w:r w:rsidRPr="00375C8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0B0AEA" w:rsidRPr="00375C8D" w:rsidRDefault="00772FF8" w:rsidP="00873F47">
            <w:pPr>
              <w:pStyle w:val="EPLogo"/>
              <w:spacing w:after="240"/>
            </w:pPr>
            <w:r w:rsidRPr="00375C8D">
              <w:rPr>
                <w:noProof/>
                <w:lang w:eastAsia="fr-FR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474" w:rsidRPr="00375C8D" w:rsidRDefault="00921474" w:rsidP="00873F47">
      <w:pPr>
        <w:pStyle w:val="LineTop"/>
        <w:spacing w:after="240"/>
      </w:pPr>
    </w:p>
    <w:p w:rsidR="00921474" w:rsidRPr="00375C8D" w:rsidRDefault="00772FF8" w:rsidP="00873F47">
      <w:pPr>
        <w:pStyle w:val="EPBody"/>
        <w:spacing w:after="240"/>
      </w:pPr>
      <w:r w:rsidRPr="00375C8D">
        <w:rPr>
          <w:rStyle w:val="HideTWBExt"/>
        </w:rPr>
        <w:t>&lt;</w:t>
      </w:r>
      <w:r w:rsidRPr="00375C8D">
        <w:rPr>
          <w:rStyle w:val="HideTWBExt"/>
          <w:i w:val="0"/>
        </w:rPr>
        <w:t>Commission</w:t>
      </w:r>
      <w:r w:rsidRPr="00375C8D">
        <w:rPr>
          <w:rStyle w:val="HideTWBExt"/>
        </w:rPr>
        <w:t>&gt;</w:t>
      </w:r>
      <w:r w:rsidRPr="00375C8D">
        <w:rPr>
          <w:rStyle w:val="HideTWBInt"/>
          <w:color w:val="auto"/>
        </w:rPr>
        <w:t>{JURI}</w:t>
      </w:r>
      <w:r w:rsidRPr="00375C8D">
        <w:t>Jogi Bizottság</w:t>
      </w:r>
      <w:r w:rsidRPr="00375C8D">
        <w:rPr>
          <w:rStyle w:val="HideTWBExt"/>
        </w:rPr>
        <w:t>&lt;/</w:t>
      </w:r>
      <w:r w:rsidRPr="00375C8D">
        <w:rPr>
          <w:rStyle w:val="HideTWBExt"/>
          <w:i w:val="0"/>
        </w:rPr>
        <w:t>Commission</w:t>
      </w:r>
      <w:r w:rsidRPr="00375C8D">
        <w:rPr>
          <w:rStyle w:val="HideTWBExt"/>
        </w:rPr>
        <w:t>&gt;</w:t>
      </w:r>
    </w:p>
    <w:p w:rsidR="00921474" w:rsidRPr="00375C8D" w:rsidRDefault="00921474" w:rsidP="00873F47">
      <w:pPr>
        <w:pStyle w:val="LineBottom"/>
      </w:pPr>
    </w:p>
    <w:p w:rsidR="009E6E1A" w:rsidRPr="00375C8D" w:rsidRDefault="00772FF8" w:rsidP="00873F47">
      <w:pPr>
        <w:pStyle w:val="CoverReference"/>
        <w:spacing w:before="0" w:after="240"/>
      </w:pPr>
      <w:r w:rsidRPr="00375C8D">
        <w:rPr>
          <w:rStyle w:val="HideTWBExt"/>
          <w:b w:val="0"/>
        </w:rPr>
        <w:t>&lt;RefProc&gt;</w:t>
      </w:r>
      <w:r w:rsidRPr="00375C8D">
        <w:t>2021/2161</w:t>
      </w:r>
      <w:r w:rsidRPr="00375C8D">
        <w:rPr>
          <w:rStyle w:val="HideTWBExt"/>
          <w:b w:val="0"/>
        </w:rPr>
        <w:t>&lt;/RefProc&gt;&lt;RefTypeProc&gt;</w:t>
      </w:r>
      <w:r w:rsidRPr="00375C8D">
        <w:t>(INL)</w:t>
      </w:r>
      <w:r w:rsidRPr="00375C8D">
        <w:rPr>
          <w:rStyle w:val="HideTWBExt"/>
          <w:b w:val="0"/>
        </w:rPr>
        <w:t>&lt;/RefTypeProc&gt;</w:t>
      </w:r>
    </w:p>
    <w:p w:rsidR="009E6E1A" w:rsidRPr="00375C8D" w:rsidRDefault="00772FF8" w:rsidP="00873F47">
      <w:pPr>
        <w:pStyle w:val="CoverDate"/>
        <w:spacing w:before="0" w:after="240"/>
      </w:pPr>
      <w:r w:rsidRPr="00375C8D">
        <w:rPr>
          <w:rStyle w:val="HideTWBExt"/>
        </w:rPr>
        <w:t>&lt;Date&gt;</w:t>
      </w:r>
      <w:r w:rsidRPr="00375C8D">
        <w:rPr>
          <w:rStyle w:val="HideTWBInt"/>
          <w:color w:val="auto"/>
        </w:rPr>
        <w:t>{09/06/2023}</w:t>
      </w:r>
      <w:r w:rsidRPr="00375C8D">
        <w:t>9.6.2023</w:t>
      </w:r>
      <w:r w:rsidRPr="00375C8D">
        <w:rPr>
          <w:rStyle w:val="HideTWBExt"/>
        </w:rPr>
        <w:t>&lt;/Date&gt;</w:t>
      </w:r>
    </w:p>
    <w:p w:rsidR="00721690" w:rsidRPr="00375C8D" w:rsidRDefault="00721690" w:rsidP="00721690">
      <w:pPr>
        <w:pStyle w:val="CoverDate"/>
        <w:spacing w:before="0" w:after="0"/>
      </w:pPr>
    </w:p>
    <w:p w:rsidR="00721690" w:rsidRPr="00375C8D" w:rsidRDefault="00721690" w:rsidP="00721690">
      <w:pPr>
        <w:pStyle w:val="CoverDate"/>
        <w:spacing w:before="0" w:after="0"/>
      </w:pPr>
    </w:p>
    <w:p w:rsidR="00721690" w:rsidRPr="00375C8D" w:rsidRDefault="00721690" w:rsidP="00721690">
      <w:pPr>
        <w:pStyle w:val="CoverDate"/>
        <w:spacing w:before="0" w:after="0"/>
      </w:pPr>
    </w:p>
    <w:p w:rsidR="00721690" w:rsidRPr="00375C8D" w:rsidRDefault="00721690" w:rsidP="00721690">
      <w:pPr>
        <w:pStyle w:val="CoverDate"/>
        <w:spacing w:before="0" w:after="0"/>
      </w:pPr>
    </w:p>
    <w:p w:rsidR="009E6E1A" w:rsidRPr="00375C8D" w:rsidRDefault="00772FF8" w:rsidP="00873F47">
      <w:pPr>
        <w:pStyle w:val="CoverDocType24a"/>
        <w:spacing w:after="240"/>
      </w:pPr>
      <w:r w:rsidRPr="00375C8D">
        <w:rPr>
          <w:rStyle w:val="HideTWBExt"/>
          <w:b w:val="0"/>
        </w:rPr>
        <w:t>&lt;TitreType&gt;</w:t>
      </w:r>
      <w:r w:rsidRPr="00375C8D">
        <w:t>JELENTÉSTERVEZET</w:t>
      </w:r>
      <w:r w:rsidRPr="00375C8D">
        <w:rPr>
          <w:rStyle w:val="HideTWBExt"/>
          <w:b w:val="0"/>
        </w:rPr>
        <w:t>&lt;/TitreType&gt;</w:t>
      </w:r>
    </w:p>
    <w:p w:rsidR="009E6E1A" w:rsidRPr="00375C8D" w:rsidRDefault="00772FF8" w:rsidP="00721690">
      <w:pPr>
        <w:pStyle w:val="CoverNormal"/>
      </w:pPr>
      <w:r w:rsidRPr="00375C8D">
        <w:rPr>
          <w:rStyle w:val="HideTWBExt"/>
        </w:rPr>
        <w:t>&lt;Titre&gt;</w:t>
      </w:r>
      <w:r w:rsidRPr="00375C8D">
        <w:t xml:space="preserve">a Bizottságnak szóló </w:t>
      </w:r>
      <w:r w:rsidRPr="00375C8D">
        <w:t>ajánlásokkal a digitalizációról és a közigazgatási jogról</w:t>
      </w:r>
      <w:r w:rsidRPr="00375C8D">
        <w:rPr>
          <w:rStyle w:val="HideTWBExt"/>
        </w:rPr>
        <w:t>&lt;/Titre&gt;</w:t>
      </w:r>
    </w:p>
    <w:p w:rsidR="009E6E1A" w:rsidRPr="00375C8D" w:rsidRDefault="00772FF8" w:rsidP="00721690">
      <w:pPr>
        <w:pStyle w:val="CoverNormal24a"/>
        <w:spacing w:after="240"/>
        <w:ind w:left="1418"/>
      </w:pPr>
      <w:r w:rsidRPr="00375C8D">
        <w:rPr>
          <w:rStyle w:val="HideTWBExt"/>
        </w:rPr>
        <w:t>&lt;DocRef&gt;</w:t>
      </w:r>
      <w:r w:rsidRPr="00375C8D">
        <w:t>(2021/2161(INL))</w:t>
      </w:r>
      <w:r w:rsidRPr="00375C8D">
        <w:rPr>
          <w:rStyle w:val="HideTWBExt"/>
        </w:rPr>
        <w:t>&lt;/DocRef&gt;</w:t>
      </w:r>
    </w:p>
    <w:p w:rsidR="00721690" w:rsidRPr="00375C8D" w:rsidRDefault="00721690" w:rsidP="00721690">
      <w:pPr>
        <w:pStyle w:val="CoverNormal24a"/>
        <w:spacing w:after="0"/>
        <w:ind w:left="1418"/>
      </w:pPr>
    </w:p>
    <w:p w:rsidR="00721690" w:rsidRPr="00375C8D" w:rsidRDefault="00721690" w:rsidP="00721690">
      <w:pPr>
        <w:pStyle w:val="CoverNormal24a"/>
        <w:spacing w:after="0"/>
        <w:ind w:left="1418"/>
      </w:pPr>
    </w:p>
    <w:p w:rsidR="009E6E1A" w:rsidRPr="00375C8D" w:rsidRDefault="00772FF8" w:rsidP="00873F47">
      <w:pPr>
        <w:pStyle w:val="CoverNormal24a"/>
        <w:spacing w:after="240"/>
      </w:pPr>
      <w:r w:rsidRPr="00375C8D">
        <w:rPr>
          <w:rStyle w:val="HideTWBExt"/>
        </w:rPr>
        <w:t>&lt;Commission&gt;</w:t>
      </w:r>
      <w:r w:rsidRPr="00375C8D">
        <w:rPr>
          <w:rStyle w:val="HideTWBInt"/>
          <w:color w:val="auto"/>
        </w:rPr>
        <w:t>{JURI}</w:t>
      </w:r>
      <w:r w:rsidRPr="00375C8D">
        <w:t>Jogi Bizottság</w:t>
      </w:r>
      <w:r w:rsidRPr="00375C8D">
        <w:rPr>
          <w:rStyle w:val="HideTWBExt"/>
        </w:rPr>
        <w:t>&lt;/Commission&gt;</w:t>
      </w:r>
    </w:p>
    <w:p w:rsidR="00721690" w:rsidRPr="00375C8D" w:rsidRDefault="00721690" w:rsidP="00721690">
      <w:pPr>
        <w:pStyle w:val="CoverNormal24a"/>
        <w:spacing w:after="0"/>
        <w:ind w:left="1418"/>
      </w:pPr>
    </w:p>
    <w:p w:rsidR="00721690" w:rsidRPr="00375C8D" w:rsidRDefault="00721690" w:rsidP="00721690">
      <w:pPr>
        <w:pStyle w:val="CoverNormal24a"/>
        <w:spacing w:after="0"/>
        <w:ind w:left="1418"/>
      </w:pPr>
    </w:p>
    <w:p w:rsidR="009E6E1A" w:rsidRPr="00375C8D" w:rsidRDefault="00772FF8" w:rsidP="00873F47">
      <w:pPr>
        <w:pStyle w:val="CoverNormal24a"/>
        <w:spacing w:after="240"/>
        <w:rPr>
          <w:rStyle w:val="HideTWBExt"/>
        </w:rPr>
      </w:pPr>
      <w:r w:rsidRPr="00375C8D">
        <w:t xml:space="preserve">Előadó: </w:t>
      </w:r>
      <w:r w:rsidRPr="00375C8D">
        <w:rPr>
          <w:rStyle w:val="HideTWBExt"/>
        </w:rPr>
        <w:t>&lt;Depute&gt;</w:t>
      </w:r>
      <w:r w:rsidRPr="00375C8D">
        <w:t>Karen Melchior</w:t>
      </w:r>
      <w:r w:rsidRPr="00375C8D">
        <w:rPr>
          <w:rStyle w:val="HideTWBExt"/>
        </w:rPr>
        <w:t>&lt;/Depute&gt;</w:t>
      </w:r>
    </w:p>
    <w:p w:rsidR="00721690" w:rsidRPr="00375C8D" w:rsidRDefault="00721690" w:rsidP="00721690">
      <w:pPr>
        <w:pStyle w:val="CoverNormal24a"/>
        <w:spacing w:after="0"/>
        <w:ind w:left="1418"/>
      </w:pPr>
    </w:p>
    <w:p w:rsidR="009E6E1A" w:rsidRPr="00375C8D" w:rsidRDefault="00772FF8" w:rsidP="00873F47">
      <w:pPr>
        <w:pStyle w:val="CoverNormal12a"/>
      </w:pPr>
      <w:r w:rsidRPr="00375C8D">
        <w:t>Társbizottsági eljárás – az eljárási szabályzat 47. cikke</w:t>
      </w:r>
    </w:p>
    <w:p w:rsidR="001A502C" w:rsidRPr="00375C8D" w:rsidRDefault="001A502C" w:rsidP="00873F47">
      <w:pPr>
        <w:pStyle w:val="CoverNormal"/>
        <w:spacing w:after="240"/>
      </w:pPr>
    </w:p>
    <w:p w:rsidR="009E6E1A" w:rsidRPr="00375C8D" w:rsidRDefault="00772FF8" w:rsidP="00873F47">
      <w:pPr>
        <w:widowControl/>
        <w:tabs>
          <w:tab w:val="center" w:pos="4677"/>
        </w:tabs>
        <w:spacing w:after="240"/>
      </w:pPr>
      <w:r w:rsidRPr="00375C8D">
        <w:br w:type="page"/>
      </w:r>
      <w:r w:rsidRPr="00375C8D">
        <w:lastRenderedPageBreak/>
        <w:t>PR_INL</w:t>
      </w:r>
    </w:p>
    <w:p w:rsidR="009E6E1A" w:rsidRPr="00375C8D" w:rsidRDefault="00772FF8" w:rsidP="00873F47">
      <w:pPr>
        <w:pStyle w:val="TOCHeading"/>
        <w:spacing w:before="0"/>
      </w:pPr>
      <w:r w:rsidRPr="00375C8D">
        <w:t>TARTALOM</w:t>
      </w:r>
    </w:p>
    <w:p w:rsidR="009E6E1A" w:rsidRPr="00375C8D" w:rsidRDefault="00772FF8" w:rsidP="00873F47">
      <w:pPr>
        <w:pStyle w:val="TOCPage"/>
      </w:pPr>
      <w:r w:rsidRPr="00375C8D">
        <w:t>Oldal</w:t>
      </w:r>
    </w:p>
    <w:bookmarkStart w:id="0" w:name="_GoBack"/>
    <w:p w:rsidR="00772FF8" w:rsidRDefault="00772FF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r w:rsidRPr="00375C8D">
        <w:fldChar w:fldCharType="begin"/>
      </w:r>
      <w:r w:rsidRPr="00375C8D">
        <w:instrText xml:space="preserve"> TOC \t "PageHeading</w:instrText>
      </w:r>
      <w:r w:rsidR="00F25FD5" w:rsidRPr="00375C8D">
        <w:instrText>;</w:instrText>
      </w:r>
      <w:r w:rsidRPr="00375C8D">
        <w:instrText xml:space="preserve">1" </w:instrText>
      </w:r>
      <w:r w:rsidRPr="00375C8D">
        <w:fldChar w:fldCharType="separate"/>
      </w:r>
      <w:r>
        <w:rPr>
          <w:noProof/>
        </w:rPr>
        <w:t>AZ EURÓPAI PARLAMENT ÁLLÁSFOGLALÁSÁRA IRÁNYULÓ INDÍTVÁNY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_Toc138326913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2FF8" w:rsidRDefault="00772FF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r>
        <w:rPr>
          <w:noProof/>
        </w:rPr>
        <w:t>MELLÉKLET AZ ÁLLÁSFOGLALÁSRA IRÁNYULÓ INDÍTVÁNYHOZ A KÉRT JAVASLAT TARTALMÁRA VONATKOZÓ AJÁNLÁSOK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_Toc138326914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502C" w:rsidRPr="00375C8D" w:rsidRDefault="00772FF8" w:rsidP="00873F47">
      <w:r w:rsidRPr="00375C8D">
        <w:fldChar w:fldCharType="end"/>
      </w:r>
      <w:bookmarkEnd w:id="0"/>
    </w:p>
    <w:p w:rsidR="009E6E1A" w:rsidRPr="00375C8D" w:rsidRDefault="00772FF8" w:rsidP="00873F47">
      <w:pPr>
        <w:pStyle w:val="PageHeading"/>
        <w:spacing w:after="240"/>
      </w:pPr>
      <w:r w:rsidRPr="00375C8D">
        <w:br w:type="page"/>
      </w:r>
      <w:bookmarkStart w:id="1" w:name="_Toc138326913"/>
      <w:r w:rsidRPr="00375C8D">
        <w:t>AZ EURÓPAI PARLAMENT ÁLLÁSFOGLALÁSÁRA IRÁNYULÓ INDÍTVÁNY</w:t>
      </w:r>
      <w:bookmarkEnd w:id="1"/>
    </w:p>
    <w:p w:rsidR="009E6E1A" w:rsidRPr="00375C8D" w:rsidRDefault="00772FF8" w:rsidP="00873F47">
      <w:pPr>
        <w:pStyle w:val="NormalBold"/>
        <w:spacing w:after="240"/>
      </w:pPr>
      <w:r w:rsidRPr="00375C8D">
        <w:t>a Bizottságnak szóló ajánlásokkal a digitalizációról és a közigazgatási</w:t>
      </w:r>
      <w:r w:rsidRPr="00375C8D">
        <w:t xml:space="preserve"> jogról</w:t>
      </w:r>
    </w:p>
    <w:p w:rsidR="009E6E1A" w:rsidRPr="00375C8D" w:rsidRDefault="00772FF8" w:rsidP="00873F47">
      <w:pPr>
        <w:pStyle w:val="NormalBold"/>
        <w:spacing w:after="240"/>
      </w:pPr>
      <w:r w:rsidRPr="00375C8D">
        <w:t>(2021/2161(INL))</w:t>
      </w:r>
    </w:p>
    <w:p w:rsidR="009E6E1A" w:rsidRPr="00375C8D" w:rsidRDefault="00772FF8" w:rsidP="00873F47">
      <w:pPr>
        <w:pStyle w:val="EPComma"/>
        <w:spacing w:before="0"/>
      </w:pPr>
      <w:r w:rsidRPr="00375C8D">
        <w:rPr>
          <w:i/>
        </w:rPr>
        <w:t>Az Európai Parlament</w:t>
      </w:r>
      <w:r w:rsidRPr="00375C8D">
        <w:t>,</w:t>
      </w:r>
    </w:p>
    <w:p w:rsidR="00873F47" w:rsidRPr="00375C8D" w:rsidRDefault="00772FF8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t>–</w:t>
      </w:r>
      <w:r w:rsidRPr="00375C8D">
        <w:tab/>
      </w:r>
      <w:r w:rsidRPr="00375C8D">
        <w:rPr>
          <w:color w:val="000000"/>
        </w:rPr>
        <w:t>tekintettel az Európai Unió működéséről szóló szerződés 225. cikkére,</w:t>
      </w:r>
    </w:p>
    <w:p w:rsidR="00873F47" w:rsidRPr="00375C8D" w:rsidRDefault="00772FF8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–</w:t>
      </w:r>
      <w:r w:rsidRPr="00375C8D">
        <w:rPr>
          <w:color w:val="000000"/>
        </w:rPr>
        <w:tab/>
        <w:t>tekintettel az Európai Unió működéséről szóló szerződés 298. cikkére,</w:t>
      </w:r>
    </w:p>
    <w:p w:rsidR="00873F47" w:rsidRPr="00375C8D" w:rsidRDefault="00772FF8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–</w:t>
      </w:r>
      <w:r w:rsidRPr="00375C8D">
        <w:rPr>
          <w:color w:val="000000"/>
        </w:rPr>
        <w:tab/>
        <w:t>tekintettel az Európai Unió Alapjogi Chartájának 41. cikkére, a</w:t>
      </w:r>
      <w:r w:rsidRPr="00375C8D">
        <w:rPr>
          <w:color w:val="000000"/>
        </w:rPr>
        <w:t>melynek értelmében a megfelelő ügyintézéshez való jog alapvető jog,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Parlament, a Tanács és a Bizottság 2022. december 15-i, a digitális évtizedben érvényre juttatandó digitális jogokról és elvekről szóló európai nyilatkozatról szól</w:t>
      </w:r>
      <w:r w:rsidRPr="00375C8D">
        <w:rPr>
          <w:color w:val="000000"/>
        </w:rPr>
        <w:t>ó közös nyilatkozatára,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természetes személyeknek a személyes adatok uniós intézmények, szervek, hivatalok és ügynökségek általi kezelése tekintetében való védelméről és az ilyen adatok szabad áramlásáról, valamint a 45/2001/EK rendelet és a</w:t>
      </w:r>
      <w:r w:rsidRPr="00375C8D">
        <w:rPr>
          <w:color w:val="000000"/>
        </w:rPr>
        <w:t>z 1247/2002/EK határozat hatályon kívül helyezéséről szóló, 2018. október 23-i (EU) 2018/1725 európai parlamenti és tanácsi rendeletre</w:t>
      </w:r>
      <w:r w:rsidRPr="00375C8D">
        <w:rPr>
          <w:color w:val="000000"/>
          <w:vertAlign w:val="superscript"/>
        </w:rPr>
        <w:footnoteReference w:id="1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Parlament, a Tanács és a Bizottság dokumentumaihoz való nyilvános hozzáférésről szóló, 2001. m</w:t>
      </w:r>
      <w:r w:rsidRPr="00375C8D">
        <w:rPr>
          <w:color w:val="000000"/>
        </w:rPr>
        <w:t>ájus 30-i 1049/2001/EK európai parlamenti és tanácsi rendeletre</w:t>
      </w:r>
      <w:r w:rsidRPr="00375C8D">
        <w:rPr>
          <w:color w:val="000000"/>
          <w:vertAlign w:val="superscript"/>
        </w:rPr>
        <w:footnoteReference w:id="2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uniós intézmények, szervek, hivatalok és ügynökségek információbiztonságáról szóló európai parlamenti és tanácsi rendeletre irányuló javaslatra (2022/0084(COD)),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t xml:space="preserve">tekintettel az uniós intézmények, szervek, hivatalok és ügynökségek egységesen magas szintű kiberbiztonságát biztosító intézkedések meghatározásáról szóló európai parlamenti és tanácsi rendeletre irányuló javaslatra </w:t>
      </w:r>
      <w:r w:rsidRPr="00375C8D">
        <w:rPr>
          <w:color w:val="000000"/>
        </w:rPr>
        <w:t>(</w:t>
      </w:r>
      <w:r w:rsidRPr="00375C8D">
        <w:rPr>
          <w:color w:val="333333"/>
        </w:rPr>
        <w:t>2022/0085(COD))</w:t>
      </w:r>
      <w:r w:rsidRPr="00375C8D"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</w:t>
      </w:r>
      <w:r w:rsidRPr="00375C8D">
        <w:rPr>
          <w:color w:val="000000"/>
        </w:rPr>
        <w:t>ai Unió Bíróságának kiterjedt ítélkezési gyakorlatára, amely a tagállamok alkotmányos hagyományai alapján a közigazgatási jog számos általános elvét elismerte,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digitális évtizedben érvényre juttatandó digitális jogokról és elvekről szóló eu</w:t>
      </w:r>
      <w:r w:rsidRPr="00375C8D">
        <w:rPr>
          <w:color w:val="000000"/>
        </w:rPr>
        <w:t>rópai nyilatkozat kidolgozásáról szóló, 2022. január 26-i bizottsági közleményre, valamint az e közleménnyel együtt közzétett, az érdekelt felekkel folytatott konzultációról és a szerepvállalással kapcsolatos tevékenységekről szóló jelentést tartalmazó biz</w:t>
      </w:r>
      <w:r w:rsidRPr="00375C8D">
        <w:rPr>
          <w:color w:val="000000"/>
        </w:rPr>
        <w:t>ottsági szolgálati munkadokumentumra (SWD(2022) 14 final),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Bizottság digitális stratégiájára: Új generációs digitális Bizottság, 2022. június 30. (C(2022)4388),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2001. szeptember 6-i állásfoglalására az európai ombudsmannak a k</w:t>
      </w:r>
      <w:r w:rsidRPr="00375C8D">
        <w:rPr>
          <w:color w:val="000000"/>
        </w:rPr>
        <w:t>ülönböző közösségi intézményekben és szervekben a helyes hivatali magatartásra vonatkozó szabályzat létezésével és az ahhoz való nyilvános hozzáféréssel kapcsolatos saját kezdeményezésű vizsgálatát követő, az Európai Parlamentnek benyújtott különjelentésér</w:t>
      </w:r>
      <w:r w:rsidRPr="00375C8D">
        <w:rPr>
          <w:color w:val="000000"/>
        </w:rPr>
        <w:t>ől</w:t>
      </w:r>
      <w:r w:rsidRPr="00375C8D">
        <w:rPr>
          <w:color w:val="000000"/>
          <w:vertAlign w:val="superscript"/>
        </w:rPr>
        <w:footnoteReference w:id="3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Bizottság eljárási szabályzatának a Bizottság személyzetének a nyilvánossággal fenntartott kapcsolatai során tanúsított helyes hivatali magatartására vonatkozó szabályzat mellékletként való csatolásával történő módosításáról szóló, 200</w:t>
      </w:r>
      <w:r w:rsidRPr="00375C8D">
        <w:rPr>
          <w:color w:val="000000"/>
        </w:rPr>
        <w:t>0. október 17-i 2000/633/EK, ESZAK, Euratom bizottsági határozatra</w:t>
      </w:r>
      <w:r w:rsidRPr="00375C8D">
        <w:rPr>
          <w:color w:val="000000"/>
          <w:vertAlign w:val="superscript"/>
        </w:rPr>
        <w:footnoteReference w:id="4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Tanács főtitkárának/a közös kül- és biztonságpolitika főképviselőjének a nyilvánosság felé irányuló szakmai kapcsolattartás tekintetében az Európai Unió Tanácsa Főtitkársá</w:t>
      </w:r>
      <w:r w:rsidRPr="00375C8D">
        <w:rPr>
          <w:color w:val="000000"/>
        </w:rPr>
        <w:t>gának és a Főtitkárság személyzetének helyes hivatali magatartásra vonatkozó szabályzatáról szóló, 2001. június 25-i határozatára</w:t>
      </w:r>
      <w:r w:rsidRPr="00375C8D">
        <w:rPr>
          <w:color w:val="000000"/>
          <w:vertAlign w:val="superscript"/>
        </w:rPr>
        <w:footnoteReference w:id="5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 xml:space="preserve">tekintettel az Európa Tanács Miniszteri Bizottságának a tagállamoknak szóló, a megfelelő ügyintézésre vonatkozó, 2007. </w:t>
      </w:r>
      <w:r w:rsidRPr="00375C8D">
        <w:rPr>
          <w:color w:val="000000"/>
        </w:rPr>
        <w:t>június 20-i CM/Rec(2007)7 ajánlására,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ombudsman által 2012. június 19-én megjelentetett „Közszolgálati alapelvek az uniós közszolgálatban” című dokumentumra,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Bizottság által online közzétett, a tagállamokat érintő d</w:t>
      </w:r>
      <w:r w:rsidRPr="00375C8D">
        <w:rPr>
          <w:color w:val="000000"/>
        </w:rPr>
        <w:t>igitális közigazgatásról szóló, egymást követő adatlapokra,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arra, hogy a tagállamokban léteznek mind a közigazgatási jog alapelveit rögzítő általános közigazgatási eljárási jogszabályok, mind pedig terület- vagy ágazatspecifikus jogszabályok,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svéd kormány megbízásából a svéd Államigazgatási Hivatal által elvégzett, az Európai Unió tagállamaiban a megfelelő ügyintézés elveire vonatkozó felmérésre,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375C8D">
        <w:rPr>
          <w:rFonts w:ascii="Noto Sans Symbols" w:hAnsi="Noto Sans Symbols"/>
        </w:rPr>
        <w:t>−</w:t>
      </w:r>
      <w:r w:rsidRPr="00375C8D">
        <w:rPr>
          <w:rFonts w:ascii="Noto Sans Symbols" w:hAnsi="Noto Sans Symbols"/>
        </w:rPr>
        <w:tab/>
      </w:r>
      <w:r w:rsidRPr="00375C8D">
        <w:t>tekintettel a dán kormány megbízásából a Dán Digitalizációs Ügynökség (digitalis</w:t>
      </w:r>
      <w:r w:rsidRPr="00375C8D">
        <w:t>eringsstyrelsen) által készített, a digitalizált közigazgatási szolgáltatások végrehajtása során az alapvető adatok helyes felhasználásának elveiről szóló tanulmányra,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375C8D">
        <w:rPr>
          <w:rFonts w:ascii="Noto Sans Symbols" w:hAnsi="Noto Sans Symbols"/>
        </w:rPr>
        <w:t>−</w:t>
      </w:r>
      <w:r w:rsidRPr="00375C8D">
        <w:rPr>
          <w:rFonts w:ascii="Noto Sans Symbols" w:hAnsi="Noto Sans Symbols"/>
        </w:rPr>
        <w:tab/>
      </w:r>
      <w:r w:rsidRPr="00375C8D">
        <w:t>tekintettel az Európai Jogi Intézetnek a közigazgatásban használt algoritmikus döntésh</w:t>
      </w:r>
      <w:r w:rsidRPr="00375C8D">
        <w:t>ozatali rendszerek hatásvizsgálatára vonatkozó mintaszabályokról szóló 2022. jelentésére</w:t>
      </w:r>
      <w:r w:rsidRPr="00375C8D">
        <w:rPr>
          <w:rStyle w:val="FootnoteReference"/>
        </w:rPr>
        <w:footnoteReference w:id="6"/>
      </w:r>
      <w:r w:rsidRPr="00375C8D"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Parlament Jogi Bizottságának Tematikus Főosztálya és a Leóni Egyetem által szervezett, az uniós közigazgatási jogról szóló konferencián (Leó</w:t>
      </w:r>
      <w:r w:rsidRPr="00375C8D">
        <w:rPr>
          <w:color w:val="000000"/>
        </w:rPr>
        <w:t>n, 2011. április 27–28.) ismertetett tájékoztató közleményekre</w:t>
      </w:r>
      <w:r w:rsidRPr="00375C8D">
        <w:rPr>
          <w:color w:val="000000"/>
          <w:vertAlign w:val="superscript"/>
        </w:rPr>
        <w:footnoteReference w:id="7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uniós közigazgatási joggal foglalkozó munkacsoport által 2011. november 22-én a Jogi Bizottságnak előterjesztett, az uniós közigazgatási jog jelenlegi helyzetéről és jövőbeni</w:t>
      </w:r>
      <w:r w:rsidRPr="00375C8D">
        <w:rPr>
          <w:color w:val="000000"/>
        </w:rPr>
        <w:t xml:space="preserve"> kilátásairól szóló munkadokumentumban foglalt ajánlásokra</w:t>
      </w:r>
      <w:r w:rsidRPr="00375C8D">
        <w:rPr>
          <w:color w:val="000000"/>
          <w:vertAlign w:val="superscript"/>
        </w:rPr>
        <w:footnoteReference w:id="8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Unió közigazgatási eljárásáról szóló jognak az Európai Hozzáadott Érték Osztály által a Jogi Bizottság számára elvégzett és 2012. november 6-án bemutatott, az európai hoz</w:t>
      </w:r>
      <w:r w:rsidRPr="00375C8D">
        <w:rPr>
          <w:color w:val="000000"/>
        </w:rPr>
        <w:t>záadott érték szempontjából való értékelésére</w:t>
      </w:r>
      <w:r w:rsidRPr="00375C8D">
        <w:rPr>
          <w:color w:val="000000"/>
          <w:vertAlign w:val="superscript"/>
        </w:rPr>
        <w:footnoteReference w:id="9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 xml:space="preserve">tekintettel a nyitott, független és hatékony európai igazgatás általános szabályairól szóló nyilvános konzultációra és az Európai Parlamenti Kutatási Szolgálatának Európai Hozzáadott Érték Osztálya által a </w:t>
      </w:r>
      <w:r w:rsidRPr="00375C8D">
        <w:rPr>
          <w:color w:val="000000"/>
        </w:rPr>
        <w:t>Jogi Bizottságnak 2018. július 10-én benyújtott összefoglaló jelentésre</w:t>
      </w:r>
      <w:r w:rsidRPr="00375C8D">
        <w:rPr>
          <w:color w:val="000000"/>
          <w:vertAlign w:val="superscript"/>
        </w:rPr>
        <w:footnoteReference w:id="10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 xml:space="preserve">tekintettel az Európai Parlamenti Kutatási Szolgálatának Előzetes Hatásvizsgálatok Osztálya által 2018 júliusában készített és a Jogi Bizottságnak 2018. július 10-én benyújtott, a </w:t>
      </w:r>
      <w:r w:rsidRPr="00375C8D">
        <w:rPr>
          <w:color w:val="000000"/>
        </w:rPr>
        <w:t>nyitott, hatékony és független uniós igazgatásra irányuló lehetséges uniós szintű intézkedésekre vonatkozó hatásvizsgálatra</w:t>
      </w:r>
      <w:r w:rsidRPr="00375C8D">
        <w:rPr>
          <w:rStyle w:val="FootnoteReference"/>
          <w:color w:val="000000"/>
        </w:rPr>
        <w:footnoteReference w:id="11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Hozzáadott Érték Osztálya által a Jogi Bizottságnak [2023. május 30-án] benyújtott, a digitalizációhoz és</w:t>
      </w:r>
      <w:r w:rsidRPr="00375C8D">
        <w:rPr>
          <w:color w:val="000000"/>
        </w:rPr>
        <w:t xml:space="preserve"> a közigazgatási joghoz kapcsolódó 2022. évi európai hozzáadottérték-értékelésre</w:t>
      </w:r>
      <w:r w:rsidRPr="00375C8D">
        <w:rPr>
          <w:color w:val="000000"/>
          <w:vertAlign w:val="superscript"/>
        </w:rPr>
        <w:footnoteReference w:id="12"/>
      </w:r>
      <w:r w:rsidRPr="00375C8D">
        <w:rPr>
          <w:color w:val="000000"/>
        </w:rPr>
        <w:t xml:space="preserve">, </w:t>
      </w:r>
    </w:p>
    <w:p w:rsidR="00873F47" w:rsidRPr="00375C8D" w:rsidRDefault="00772FF8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–</w:t>
      </w:r>
      <w:r w:rsidRPr="00375C8D">
        <w:rPr>
          <w:color w:val="000000"/>
        </w:rPr>
        <w:tab/>
        <w:t>tekintettel az Európai Unió közigazgatási eljárási jogáról szóló, a Bizottságnak szóló ajánlásokat tartalmazó, 2013. január 15-i állásfoglalására</w:t>
      </w:r>
      <w:r w:rsidRPr="00375C8D">
        <w:rPr>
          <w:color w:val="000000"/>
          <w:vertAlign w:val="superscript"/>
        </w:rPr>
        <w:footnoteReference w:id="13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–</w:t>
      </w:r>
      <w:r w:rsidRPr="00375C8D">
        <w:rPr>
          <w:color w:val="000000"/>
        </w:rPr>
        <w:tab/>
        <w:t>tekintettel a nyitot</w:t>
      </w:r>
      <w:r w:rsidRPr="00375C8D">
        <w:rPr>
          <w:color w:val="000000"/>
        </w:rPr>
        <w:t>t, hatékony és független európai uniós igazgatásról szóló 2016. június 9-i állásfoglalására, valamint a nyitott, hatékony és független európai uniós igazgatásról szóló európai parlamenti és tanácsi rendeletre irányuló javaslatra</w:t>
      </w:r>
      <w:r w:rsidRPr="00375C8D">
        <w:rPr>
          <w:color w:val="000000"/>
          <w:vertAlign w:val="superscript"/>
        </w:rPr>
        <w:footnoteReference w:id="14"/>
      </w:r>
      <w:r w:rsidRPr="00375C8D">
        <w:rPr>
          <w:color w:val="000000"/>
        </w:rPr>
        <w:t>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„Az uniós j</w:t>
      </w:r>
      <w:r w:rsidRPr="00375C8D">
        <w:rPr>
          <w:color w:val="000000"/>
        </w:rPr>
        <w:t>og alkalmazásának ellenőrzéséről szóló 2015. évi jelentés” című, 2017. október 26-i állásfoglalására (2017/2011(INI)),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t xml:space="preserve">tekintettel „A jogalkotás minőségének javítása: közös erővel a jobb jogszabályokért” című, 2022. július 7-i állásfoglalására </w:t>
      </w:r>
      <w:r w:rsidRPr="00375C8D">
        <w:t>(2021/2166(INI)),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t>tekintettel az Európai Parlament 2021. május 20-i állásfoglalására Európa digitális jövőjének alakításáról: a digitális egységes piac működése előtt álló akadályok felszámolása és a mesterséges intelligencia használatának javítása az eu</w:t>
      </w:r>
      <w:r w:rsidRPr="00375C8D">
        <w:t>rópai fogyasztók számára (2020/2216(INI)),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az Európai Unió közigazgatási eljárási jogáról szóló, a Bizottságnak szóló ajánlásokat tartalmazó európai parlamenti állásfoglalás nyomán a Bizottság által 2013. április 24-én elfogadott intézkedések</w:t>
      </w:r>
      <w:r w:rsidRPr="00375C8D">
        <w:rPr>
          <w:color w:val="000000"/>
        </w:rPr>
        <w:t xml:space="preserve">re, 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nyitott, hatékony és független európai uniós igazgatásról szóló európai parlamenti állásfoglalás nyomán a Bizottság által 2016. október 4-én elfogadott intézkedésekre,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jc w:val="both"/>
        <w:rPr>
          <w:b/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t>tekintettel „A jogalkotás minőségének javítása: közös erővel a jo</w:t>
      </w:r>
      <w:r w:rsidRPr="00375C8D">
        <w:t>bb jogszabályokért” című európai parlamenti állásfoglalás nyomán a Bizottság által 2022. október 22-én elfogadott intézkedésekre,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eljárási szabályzata 47. és 54. cikkére,</w:t>
      </w:r>
    </w:p>
    <w:p w:rsidR="00873F47" w:rsidRPr="00375C8D" w:rsidRDefault="00772FF8" w:rsidP="005102A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rFonts w:ascii="Noto Sans Symbols" w:hAnsi="Noto Sans Symbols"/>
          <w:color w:val="000000"/>
        </w:rPr>
        <w:t>−</w:t>
      </w:r>
      <w:r w:rsidRPr="00375C8D">
        <w:rPr>
          <w:rFonts w:ascii="Noto Sans Symbols" w:hAnsi="Noto Sans Symbols"/>
          <w:color w:val="000000"/>
        </w:rPr>
        <w:tab/>
      </w:r>
      <w:r w:rsidRPr="00375C8D">
        <w:rPr>
          <w:color w:val="000000"/>
        </w:rPr>
        <w:t>tekintettel a Jogi Bizottság jelentésére (A9-xxxx/xxxx),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A.</w:t>
      </w:r>
      <w:r w:rsidRPr="00375C8D">
        <w:rPr>
          <w:color w:val="000000"/>
        </w:rPr>
        <w:tab/>
        <w:t>mivel a L</w:t>
      </w:r>
      <w:r w:rsidRPr="00375C8D">
        <w:rPr>
          <w:color w:val="000000"/>
        </w:rPr>
        <w:t>isszaboni Szerződés hatálybalépése megfelelő jogalapot biztosít az Uniónak az európai közigazgatási eljárásról szóló jogszabály elfogadásához;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B.</w:t>
      </w:r>
      <w:r w:rsidRPr="00375C8D">
        <w:rPr>
          <w:color w:val="000000"/>
        </w:rPr>
        <w:tab/>
        <w:t xml:space="preserve">mivel az Európai Unió Alapjogi Chartájának 41. cikkében foglalt, a megfelelő ügyintézéshez való alapvető jog </w:t>
      </w:r>
      <w:r w:rsidRPr="00375C8D">
        <w:rPr>
          <w:color w:val="000000"/>
        </w:rPr>
        <w:t>elsődleges jogi rendelkezésként jogilag kötelező erejűvé vált;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rFonts w:ascii="Arial" w:hAnsi="Arial" w:cs="Arial"/>
          <w:sz w:val="18"/>
          <w:szCs w:val="18"/>
          <w:shd w:val="clear" w:color="auto" w:fill="FFFFFF"/>
        </w:rPr>
      </w:pPr>
      <w:r w:rsidRPr="00375C8D">
        <w:t>C.</w:t>
      </w:r>
      <w:r w:rsidRPr="00375C8D">
        <w:tab/>
        <w:t xml:space="preserve">mivel </w:t>
      </w:r>
      <w:r w:rsidRPr="00375C8D">
        <w:rPr>
          <w:shd w:val="clear" w:color="auto" w:fill="FFFFFF"/>
        </w:rPr>
        <w:t>az Unióban, amelyben a jogállamiság érvényesül, biztosítani kell, hogy az eljárási jogok és kötelezettségek meghatározása, kialakítása és teljesülése mindig megfelelő legyen; mivel a p</w:t>
      </w:r>
      <w:r w:rsidRPr="00375C8D">
        <w:rPr>
          <w:shd w:val="clear" w:color="auto" w:fill="FFFFFF"/>
        </w:rPr>
        <w:t xml:space="preserve">olgárok joggal várhatják el az Unió intézményeitől, szerveitől, hivatalaitól és ügynökségeitől a magas szintű átláthatóságot, hatékonyságot, reagálóképességet és a gyors végrehajtást, valamint mivel jogosultak arra, hogy tájékoztatást kapjanak arról, hogy </w:t>
      </w:r>
      <w:r w:rsidRPr="00375C8D">
        <w:rPr>
          <w:shd w:val="clear" w:color="auto" w:fill="FFFFFF"/>
        </w:rPr>
        <w:t>milyen lehetőségeik vannak arra, hogy az adott ügyben további lépéseket tegyenek;</w:t>
      </w:r>
      <w:r w:rsidRPr="00375C8D">
        <w:rPr>
          <w:rFonts w:ascii="Arial" w:hAnsi="Arial"/>
          <w:sz w:val="18"/>
          <w:shd w:val="clear" w:color="auto" w:fill="FFFFFF"/>
        </w:rPr>
        <w:t xml:space="preserve"> </w:t>
      </w:r>
    </w:p>
    <w:p w:rsidR="00873F47" w:rsidRPr="00375C8D" w:rsidRDefault="00772FF8" w:rsidP="00873F47">
      <w:pPr>
        <w:spacing w:after="240"/>
        <w:ind w:left="567" w:hanging="567"/>
        <w:rPr>
          <w:color w:val="000000"/>
        </w:rPr>
      </w:pPr>
      <w:r w:rsidRPr="00375C8D">
        <w:t>D.</w:t>
      </w:r>
      <w:r w:rsidRPr="00375C8D">
        <w:tab/>
        <w:t>mivel a hatékony uniós közigazgatás alapvető fontosságú a közérdek szempontjából, és a túl sok szabály és eljárás, illetve azok hiánya is vezethet hivatali visszássághoz,</w:t>
      </w:r>
      <w:r w:rsidRPr="00375C8D">
        <w:t xml:space="preserve"> ami az egymásnak ellentmondó, következetlen vagy nem egyértelmű szabályok és eljárások létezéséből is fakadhat;</w:t>
      </w:r>
      <w:r w:rsidRPr="00375C8D">
        <w:rPr>
          <w:color w:val="000000"/>
        </w:rPr>
        <w:t xml:space="preserve"> mivel a megfelelően strukturált és következetes közigazgatási eljárások támogatják mind a hatékony közigazgatást, mind a jó közigazgatáshoz val</w:t>
      </w:r>
      <w:r w:rsidRPr="00375C8D">
        <w:rPr>
          <w:color w:val="000000"/>
        </w:rPr>
        <w:t>ó alapvető jog megfelelő érvényesítését, és hozzáadott értéket jelentenek azzal, hogy elősegítik az átláthatóságot és az elszámoltathatóságot, ami által erősítik az Unió legitimitását és növelik a polgárok bizalmát az Unió közigazgatásában;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t>E</w:t>
      </w:r>
      <w:r w:rsidRPr="00375C8D">
        <w:rPr>
          <w:color w:val="000000"/>
        </w:rPr>
        <w:t>.</w:t>
      </w:r>
      <w:r w:rsidRPr="00375C8D">
        <w:rPr>
          <w:color w:val="000000"/>
        </w:rPr>
        <w:tab/>
        <w:t>mivel a polg</w:t>
      </w:r>
      <w:r w:rsidRPr="00375C8D">
        <w:rPr>
          <w:color w:val="000000"/>
        </w:rPr>
        <w:t>árok bizalomhiánya évek óta az Unió előtt álló sürgető probléma, amely hatással lehet az Unió legitimitására; mivel az Uniónak gyors, világos és látható válaszokat kell adnia az uniós polgároknak, hogy választ adjon aggodalmaikra;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F.</w:t>
      </w:r>
      <w:r w:rsidRPr="00375C8D">
        <w:rPr>
          <w:color w:val="000000"/>
        </w:rPr>
        <w:tab/>
        <w:t>mivel az Uniónak a meg</w:t>
      </w:r>
      <w:r w:rsidRPr="00375C8D">
        <w:rPr>
          <w:color w:val="000000"/>
        </w:rPr>
        <w:t>felelő ügyintézésre vonatkozó meglévő szabályai és elvei igen sokféle jogforrásban elszórtan találhatók meg: az elsődleges jogban, az Európai Unió Bíróságának ítélkezési gyakorlatában, a másodlagos jogban, a nem kötelező erejű szabályokban és az uniós inté</w:t>
      </w:r>
      <w:r w:rsidRPr="00375C8D">
        <w:rPr>
          <w:color w:val="000000"/>
        </w:rPr>
        <w:t xml:space="preserve">zmények egyoldalú kötelezettségvállalásaiban; 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G.</w:t>
      </w:r>
      <w:r w:rsidRPr="00375C8D">
        <w:rPr>
          <w:color w:val="000000"/>
        </w:rPr>
        <w:tab/>
        <w:t>mivel a különböző intézmények meglévő belső magatartási kódexei korlátozott hatásúak, egymástól különbözőek és jogilag nem kötelező erejűek;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H.</w:t>
      </w:r>
      <w:r w:rsidRPr="00375C8D">
        <w:rPr>
          <w:color w:val="000000"/>
        </w:rPr>
        <w:tab/>
        <w:t xml:space="preserve">mivel az Európa Tanács Korrupció Elleni Államok Csoportjának </w:t>
      </w:r>
      <w:r w:rsidRPr="00375C8D">
        <w:rPr>
          <w:color w:val="000000"/>
        </w:rPr>
        <w:t xml:space="preserve">(GRECO) ajánlásait figyelembe véve az Unió igazgatására vonatkozó egyértelmű és kötelező erejű szabályok pozitív jelzésként szolgálnának a közigazgatásokat érintő korrupció elleni harcban;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I.</w:t>
      </w:r>
      <w:r w:rsidRPr="00375C8D">
        <w:rPr>
          <w:color w:val="000000"/>
        </w:rPr>
        <w:tab/>
        <w:t>mivel a Parlament – állásfoglalásaiban és azok mellékleteiben –</w:t>
      </w:r>
      <w:r w:rsidRPr="00375C8D">
        <w:rPr>
          <w:color w:val="000000"/>
        </w:rPr>
        <w:t xml:space="preserve"> 2001 óta következetesen jogalkotási fellépést kér a Bizottságtól ezen a területen; mivel a Parlament 2013-ban kérte az Európai Unió közigazgatási eljárási jogáról szóló jogszabály, 2016-ban pedig különösen a nyitott, hatékony és független európai uniós ig</w:t>
      </w:r>
      <w:r w:rsidRPr="00375C8D">
        <w:rPr>
          <w:color w:val="000000"/>
        </w:rPr>
        <w:t xml:space="preserve">azgatásról szóló európai parlamenti és tanácsi rendeletre irányuló javaslat megalkotását; </w:t>
      </w:r>
      <w:r w:rsidRPr="00375C8D">
        <w:t>mivel a Parlament felhívásai lényegében több esetben is az Európai Unió közigazgatási eljárásáról szóló rendelet elfogadására irányulnak, amely általános eljárási sza</w:t>
      </w:r>
      <w:r w:rsidRPr="00375C8D">
        <w:t xml:space="preserve">bályokat állapítana meg az Unió közigazgatására, azaz az </w:t>
      </w:r>
      <w:r w:rsidRPr="00375C8D">
        <w:rPr>
          <w:shd w:val="clear" w:color="auto" w:fill="FFFFFF"/>
        </w:rPr>
        <w:t>Unió intézményeinek, szerveinek, hivatalainak és ügynökségeinek közigazgatási tevékenységére vonatkozóan (európai közigazgatási eljárásról szóló jogszabály)</w:t>
      </w:r>
      <w:r w:rsidRPr="00375C8D">
        <w:t>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J.</w:t>
      </w:r>
      <w:r w:rsidRPr="00375C8D">
        <w:rPr>
          <w:color w:val="000000"/>
        </w:rPr>
        <w:tab/>
        <w:t xml:space="preserve">mivel ez a felhívás részletes </w:t>
      </w:r>
      <w:r w:rsidRPr="00375C8D">
        <w:rPr>
          <w:color w:val="000000"/>
        </w:rPr>
        <w:t>hatásvizsgálatokon alapul, amelyek többek között számszerűsítik az adminisztratív eljárások költségeit; mivel a 2018-as hatásvizsgálat megállapította, hogy a közigazgatási eljárások uniós intézmények és szervek közötti széttagoltsága negatívan hat az EU ny</w:t>
      </w:r>
      <w:r w:rsidRPr="00375C8D">
        <w:rPr>
          <w:color w:val="000000"/>
        </w:rPr>
        <w:t>itottságára, hatékonyságára és függetlenségére, és arra a következtetésre jutott, hogy a digitalizált közigazgatásra való áttéréssel a negatív hatások valószínűleg súlyosbodni fognak; mivel a javaslat előterjesztésekor a Bizottságnak hatásvizsgálatot is be</w:t>
      </w:r>
      <w:r w:rsidRPr="00375C8D">
        <w:rPr>
          <w:color w:val="000000"/>
        </w:rPr>
        <w:t xml:space="preserve"> kell nyújtania;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K.</w:t>
      </w:r>
      <w:r w:rsidRPr="00375C8D">
        <w:rPr>
          <w:color w:val="000000"/>
        </w:rPr>
        <w:tab/>
        <w:t>mivel a Parlament nyilvános konzultációt folytatott az európai közigazgatási eljárásról szóló jogszabály megalkotásának szükségességéről, amelynek során a válaszadók 76%-a támogatta, hogy uniós szinten további intézkedéseket hozzanak az</w:t>
      </w:r>
      <w:r w:rsidRPr="00375C8D">
        <w:rPr>
          <w:color w:val="000000"/>
        </w:rPr>
        <w:t xml:space="preserve"> uniós közigazgatási eljárások javítása és egyszerűsítése érdekében, az uniós beavatkozás legfőbb indokai között említve a hatékonyság és az átláthatóság javítását, és a legproblémásabb kérdések közé sorolva a működési inkoherenciát és az adminisztratív te</w:t>
      </w:r>
      <w:r w:rsidRPr="00375C8D">
        <w:rPr>
          <w:color w:val="000000"/>
        </w:rPr>
        <w:t>rheket; mivel a Bizottságnak 2023-ban további megfelelő nyilvános konzultációt kell indítania minden érintett szereplő részvételével, és fel kell használnia mindenekelőtt az európai ombudsman egyedi ismereteit és szakértelmét, mivel az európai ombudsmanhoz</w:t>
      </w:r>
      <w:r w:rsidRPr="00375C8D">
        <w:rPr>
          <w:color w:val="000000"/>
        </w:rPr>
        <w:t xml:space="preserve"> nyújtják be az EU szerveinél és intézményeinél tapasztalt visszaélésekkel kapcsolatos állampolgári panaszokat;</w:t>
      </w:r>
    </w:p>
    <w:p w:rsidR="00873F47" w:rsidRPr="00375C8D" w:rsidRDefault="00772FF8" w:rsidP="00873F47">
      <w:pPr>
        <w:spacing w:after="240"/>
        <w:ind w:left="567" w:hanging="567"/>
      </w:pPr>
      <w:r w:rsidRPr="00375C8D">
        <w:t>L.</w:t>
      </w:r>
      <w:r w:rsidRPr="00375C8D">
        <w:tab/>
        <w:t>mivel a Parlament a nyitott, hatékony és független európai uniós igazgatásról szóló 2016. évi állásfoglalásának előkészítése során konzultáci</w:t>
      </w:r>
      <w:r w:rsidRPr="00375C8D">
        <w:t>ókat folytatott a tudományos élet képviselőivel, gyakorlati szakemberekkel és jogászokkal;</w:t>
      </w:r>
      <w:r w:rsidRPr="00375C8D">
        <w:rPr>
          <w:color w:val="000000"/>
        </w:rPr>
        <w:t xml:space="preserve"> </w:t>
      </w:r>
      <w:r w:rsidRPr="00375C8D">
        <w:t xml:space="preserve">mivel a Parlament 2013. január 15-i állásfoglalása nyomán a Bizottság a 2013. április 24-én elfogadott intézkedéseiben kijelentette, hogy részletes helyzetfelmérést </w:t>
      </w:r>
      <w:r w:rsidRPr="00375C8D">
        <w:t>fog végezni a meglévő uniós közigazgatási joganyaggal és az intézményen belül esetleg előforduló lehetséges hiányosságokkal kapcsolatban, értékelni fogja a tagállamokban e kérdésekben alkalmazott megközelítéseket, és konzultálni fog a tudományos élet képvi</w:t>
      </w:r>
      <w:r w:rsidRPr="00375C8D">
        <w:t>selőivel, gyakorlati szakemberekkel és jogászokkal annak érdekében, hogy a kérdés minden aspektusának mélyreható elemzését elvégezze; mivel tíz év elteltével a Bizottság továbbra sem tájékoztatta a Parlamentet a bejelentett helyzetfelmérés és mélyreható el</w:t>
      </w:r>
      <w:r w:rsidRPr="00375C8D">
        <w:t xml:space="preserve">emzés eredményeiről; </w:t>
      </w:r>
    </w:p>
    <w:p w:rsidR="00873F47" w:rsidRPr="00375C8D" w:rsidRDefault="00772FF8" w:rsidP="00873F47">
      <w:pPr>
        <w:spacing w:after="240"/>
        <w:ind w:left="567" w:hanging="567"/>
      </w:pPr>
      <w:r w:rsidRPr="00375C8D">
        <w:t xml:space="preserve">M. </w:t>
      </w:r>
      <w:r w:rsidRPr="00375C8D">
        <w:tab/>
        <w:t>mivel ugyanezen 2013. évi nyomon követő intézkedések keretében a Bizottság azt is kijelentette, hogy minden jövőbeli kezdeményezésnek figyelembe kell vennie a közigazgatási szabályok meglévő keretét, valamint a horizontális és ága</w:t>
      </w:r>
      <w:r w:rsidRPr="00375C8D">
        <w:t>zatspecifikus szabályok közötti összetett kapcsolatot; a lehetséges igazgatási hiányosságok sokféle okát és az ezek kezelésének számos lehetséges módját; valamint az EUMSZ 298. cikke alkalmazásának korlátait; mivel a Bizottság eddig nem nyújtott be ilyen é</w:t>
      </w:r>
      <w:r w:rsidRPr="00375C8D">
        <w:t xml:space="preserve">rtékelést; </w:t>
      </w:r>
    </w:p>
    <w:p w:rsidR="00873F47" w:rsidRPr="00375C8D" w:rsidRDefault="00772FF8" w:rsidP="00873F47">
      <w:pPr>
        <w:spacing w:after="240"/>
        <w:ind w:left="567" w:hanging="567"/>
      </w:pPr>
      <w:r w:rsidRPr="00375C8D">
        <w:t>N.</w:t>
      </w:r>
      <w:r w:rsidRPr="00375C8D">
        <w:tab/>
        <w:t>mivel a Bizottság 2022-ben, az EUMSZ 298. cikke alapján első alkalommal eljárva, két javaslatot terjesztett elő, egyrészt az uniós közigazgatás, azaz az uniós intézmények, szervek, hivatalok és ügynökségek információbiztonságára, másrészt mi</w:t>
      </w:r>
      <w:r w:rsidRPr="00375C8D">
        <w:t>ndezek kiberbiztonságára vonatkozóan, hogy kezelje az e területekre vonatkozó közös megközelítés hiányát és azt a tényt, hogy mindegyiküknek vagy saját, eljárási szabályzaton vagy alapító okiratokon alapuló szabályai vannak e területeken, vagy egyáltalán n</w:t>
      </w:r>
      <w:r w:rsidRPr="00375C8D">
        <w:t>em rendelkeznek szabályokkal;</w:t>
      </w:r>
    </w:p>
    <w:p w:rsidR="00873F47" w:rsidRPr="00375C8D" w:rsidRDefault="00772FF8" w:rsidP="00873F47">
      <w:pPr>
        <w:spacing w:after="240"/>
        <w:ind w:left="567" w:right="380" w:hanging="567"/>
      </w:pPr>
      <w:r w:rsidRPr="00375C8D">
        <w:t>O.</w:t>
      </w:r>
      <w:r w:rsidRPr="00375C8D">
        <w:tab/>
        <w:t>mivel a horizontális és ágazatspecifikus szabályok megléte nem jelenthet kifogást az európai közigazgatási eljárásról szóló jogszabály megalkotása ellen, illetve nem akadályozhatja egy ilyen jogszabály megalkotását, amely a</w:t>
      </w:r>
      <w:r w:rsidRPr="00375C8D">
        <w:t xml:space="preserve"> közigazgatási eljárási jog alapvető és általános referenciakeretét képezné, amelyet minden uniós közigazgatási hatóságnak alkalmaznia kellene, függetlenül attól, hogy milyen ágazatban tevékenykedik; mivel az Unió számos tagállamában léteznek ilyen általán</w:t>
      </w:r>
      <w:r w:rsidRPr="00375C8D">
        <w:t xml:space="preserve">os rendelkező részek, függetlenül azok szerkezetétől, területétől vagy ágazatától, és párhuzamosan az ágazatspecifikus szabályokkal;  </w:t>
      </w:r>
    </w:p>
    <w:p w:rsidR="00873F47" w:rsidRPr="00375C8D" w:rsidRDefault="00772FF8" w:rsidP="00873F47">
      <w:pPr>
        <w:spacing w:after="240"/>
        <w:ind w:left="567" w:right="380" w:hanging="567"/>
      </w:pPr>
      <w:r w:rsidRPr="00375C8D">
        <w:t>P.</w:t>
      </w:r>
      <w:r w:rsidRPr="00375C8D">
        <w:tab/>
        <w:t xml:space="preserve">mivel a vonatkozó jogi kereteknek az uniós közigazgatási szervek közötti széttagoltsága a belső szabályok létrehozása </w:t>
      </w:r>
      <w:r w:rsidRPr="00375C8D">
        <w:t>és fenntartása tekintetében jelentős átfedéseket, valamint nem interoperábilis igazgatási gyakorlatokat eredményez; mivel az uniós polgárok számára e szabályok sokfélesége növeli a félreértések, a félreértelmezések és a meg nem felelés kockázatát; mivel az</w:t>
      </w:r>
      <w:r w:rsidRPr="00375C8D">
        <w:t xml:space="preserve"> európai közigazgatási eljárásról szóló jogszabály alapvető és általános referenciakeretének létrehozása egységes elveket, szabályokat és alkalmazott bevált gyakorlatokat tartalmazó közigazgatási környezetet teremtene, mivel ez nem zárja ki a nemzeti szint</w:t>
      </w:r>
      <w:r w:rsidRPr="00375C8D">
        <w:t>en is ismert ágazatspecifikus szabályok meglétét; mivel továbbá az európai közigazgatási eljárásról szóló jogszabály létrehozása összhangban van azzal a követelménnyel, hogy az egyes uniós intézmények és szervek autonómiájának vagy hatásköreinek kellő tisz</w:t>
      </w:r>
      <w:r w:rsidRPr="00375C8D">
        <w:t xml:space="preserve">teletben tartásával kell eljárni, amelyek teljes mértékben megmaradnak; </w:t>
      </w:r>
    </w:p>
    <w:p w:rsidR="00873F47" w:rsidRPr="00375C8D" w:rsidRDefault="00772FF8" w:rsidP="00873F47">
      <w:pPr>
        <w:spacing w:after="240"/>
        <w:ind w:left="567" w:right="380" w:hanging="567"/>
        <w:rPr>
          <w:color w:val="000000"/>
        </w:rPr>
      </w:pPr>
      <w:r w:rsidRPr="00375C8D">
        <w:rPr>
          <w:color w:val="000000"/>
        </w:rPr>
        <w:t>Q.</w:t>
      </w:r>
      <w:r w:rsidRPr="00375C8D">
        <w:rPr>
          <w:color w:val="000000"/>
        </w:rPr>
        <w:tab/>
        <w:t>mivel a technológia fejlődésével és a tagállamok részéről – többek között a közigazgatásuk és közszolgáltatásaik tekintetében – szükséges digitalizációs erőfeszítésekkel párhuzamos</w:t>
      </w:r>
      <w:r w:rsidRPr="00375C8D">
        <w:rPr>
          <w:color w:val="000000"/>
        </w:rPr>
        <w:t xml:space="preserve">an az uniós közigazgatás is hasonló digitalizációs erőfeszítéseket tett; mivel az uniós közigazgatás egyre inkább nem különálló egységként működik, hanem a polgárok kiszolgálása érdekében összekapcsolódik a nemzeti közigazgatásokkal;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R.</w:t>
      </w:r>
      <w:r w:rsidRPr="00375C8D">
        <w:rPr>
          <w:color w:val="000000"/>
        </w:rPr>
        <w:tab/>
        <w:t xml:space="preserve">mivel a 2022. évi </w:t>
      </w:r>
      <w:r w:rsidRPr="00375C8D">
        <w:rPr>
          <w:color w:val="000000"/>
        </w:rPr>
        <w:t xml:space="preserve">európai hozzáadott értéket értékelő tanulmány – a 2018. évi hatásvizsgálathoz hasonlóan – hangsúlyozta, hogy a digitalizációval megnő a központosítás és a harmonizáció iránti igény, és hogy a folyamatban lévő digitalizáció új kérdéseket és kihívásokat vet </w:t>
      </w:r>
      <w:r w:rsidRPr="00375C8D">
        <w:rPr>
          <w:color w:val="000000"/>
        </w:rPr>
        <w:t xml:space="preserve">fel;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S.</w:t>
      </w:r>
      <w:r w:rsidRPr="00375C8D">
        <w:rPr>
          <w:color w:val="000000"/>
        </w:rPr>
        <w:tab/>
        <w:t>mivel a Bíróság ítélkezési gyakorlatában szilárd eljárási elveket dolgozott ki, amelyek az uniós ügyekben lefolytatott tagállami eljárásokra vonatkoznak, és amelyek analógia útján a közvetlen uniós közigazgatásra is alkalmazandók kellene, hogy leg</w:t>
      </w:r>
      <w:r w:rsidRPr="00375C8D">
        <w:rPr>
          <w:color w:val="000000"/>
        </w:rPr>
        <w:t>yenek; mivel a Bíróság ítélkezési gyakorlata várható hamarosan tovább bővül, és a közigazgatási eljárások digitalizációjának fejlődésével kapcsolatos jelenségekre, például az automatizált döntéshozatalra is ki fog terjedni;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T.</w:t>
      </w:r>
      <w:r w:rsidRPr="00375C8D">
        <w:rPr>
          <w:color w:val="000000"/>
        </w:rPr>
        <w:tab/>
        <w:t xml:space="preserve">mivel a digitális évtizedben </w:t>
      </w:r>
      <w:r w:rsidRPr="00375C8D">
        <w:rPr>
          <w:color w:val="000000"/>
        </w:rPr>
        <w:t>érvényre juttatandó digitális jogokról és elvekről szóló európai nyilatkozat digitális elveket hirdet minden európai polgár szolgálatában;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U.</w:t>
      </w:r>
      <w:r w:rsidRPr="00375C8D">
        <w:rPr>
          <w:color w:val="000000"/>
        </w:rPr>
        <w:tab/>
        <w:t xml:space="preserve">mivel a Bizottság a 2030-ig szóló digitális iránytűben egy olyan Európa jövőképét vázolta fel az Unió számára, </w:t>
      </w:r>
      <w:r w:rsidRPr="00375C8D">
        <w:rPr>
          <w:color w:val="000000"/>
        </w:rPr>
        <w:t>amely az európai értékekkel összhangban 2030-ra digitálisan átalakul; mivel a „Digitális évtized szakpolitikai program” célja a digitális vezető szerep további megerősítése, valamint a polgárok és a vállalkozások szerepének erősítése, ami által a digitális</w:t>
      </w:r>
      <w:r w:rsidRPr="00375C8D">
        <w:rPr>
          <w:color w:val="000000"/>
        </w:rPr>
        <w:t xml:space="preserve"> átalakulás a fenntartható gazdasági növekedés és a társadalmi jólét motorjává válik Európában, amit többek között egyfelől a munkavállalók digitális készségeinek és kompetenciáinak fejlesztésével kell elérni, hogy teljes mértékben részt tudjanak venni a d</w:t>
      </w:r>
      <w:r w:rsidRPr="00375C8D">
        <w:rPr>
          <w:color w:val="000000"/>
        </w:rPr>
        <w:t>igitális gazdaságban, másfelől a közszolgáltatások digitalizálásával, illetve hatékonyabbá és könnyebben használhatóvá tételével, ami társadalmunk minden tagjának javát szolgálja;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V.</w:t>
      </w:r>
      <w:r w:rsidRPr="00375C8D">
        <w:rPr>
          <w:color w:val="000000"/>
        </w:rPr>
        <w:tab/>
        <w:t>mivel a Bizottság 2022. évi digitális stratégiája: „Az új generációs digi</w:t>
      </w:r>
      <w:r w:rsidRPr="00375C8D">
        <w:rPr>
          <w:color w:val="000000"/>
        </w:rPr>
        <w:t>tális Bizottság” olyan célkitűzéseket fogalmaz meg, amelyek lehetővé teszik, hogy a Bizottság igazgatása támogassa az EU stratégiai prioritásainak megvalósítását, és példamutatóan járjon el, és többek között a következő elemeket sorolja fel: a személyzet s</w:t>
      </w:r>
      <w:r w:rsidRPr="00375C8D">
        <w:rPr>
          <w:color w:val="000000"/>
        </w:rPr>
        <w:t>zerepvállalásának erősítése, a digitális korhoz alkalmazkodó szakpolitikák kidolgozásának lehetővé tétele iránymutatásokkal és támogatással az uniós szakpolitikai ciklus egészére kiterjedően, valamint az adatok és az innovatív technológiák előnyeinek kihas</w:t>
      </w:r>
      <w:r w:rsidRPr="00375C8D">
        <w:rPr>
          <w:color w:val="000000"/>
        </w:rPr>
        <w:t>ználása az igazgatási folyamatok újratervezése érdekében; mindeközben a stratégia kifejti az azzal kapcsolatos szándékot, hogy hogyan fejlődjön az elkövetkező években a közigazgatási eljárások digitalizálása és az uniós közigazgatás és a polgárok közötti i</w:t>
      </w:r>
      <w:r w:rsidRPr="00375C8D">
        <w:rPr>
          <w:color w:val="000000"/>
        </w:rPr>
        <w:t xml:space="preserve">nterakció; mivel ezt a fejlődést a közigazgatási eljárásokra vonatkozó szabályrendszernek kell kísérnie, és azt minden uniós közigazgatásban harmonizálni kell;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333333"/>
        </w:rPr>
      </w:pPr>
      <w:r w:rsidRPr="00375C8D">
        <w:rPr>
          <w:color w:val="000000"/>
        </w:rPr>
        <w:t>W</w:t>
      </w:r>
      <w:r w:rsidRPr="00375C8D">
        <w:rPr>
          <w:b/>
          <w:color w:val="000000"/>
        </w:rPr>
        <w:t>.</w:t>
      </w:r>
      <w:r w:rsidRPr="00375C8D">
        <w:rPr>
          <w:b/>
          <w:color w:val="000000"/>
        </w:rPr>
        <w:tab/>
      </w:r>
      <w:r w:rsidRPr="00375C8D">
        <w:rPr>
          <w:color w:val="000000"/>
        </w:rPr>
        <w:t>mivel az új technológiák, például a mesterséges intelligencia és az automatizált döntéshozat</w:t>
      </w:r>
      <w:r w:rsidRPr="00375C8D">
        <w:rPr>
          <w:color w:val="000000"/>
        </w:rPr>
        <w:t>ali rendszerek fejlesztése fontos szerepet játszhat a közigazgatás modernizálásában és működésének javításában, feltéve, hogy az alkalmazott technológiák magas fokú megbízhatósággal rendelkeznek; mivel az ilyen új technológiák közigazgatás általi – beleért</w:t>
      </w:r>
      <w:r w:rsidRPr="00375C8D">
        <w:rPr>
          <w:color w:val="000000"/>
        </w:rPr>
        <w:t xml:space="preserve">ve az uniós közigazgatást – alkalmazásának lehetőségét azonban a jogszerűség elvének és a polgárok jogai szükséges tiszteletben tartásának kell korlátoznia; </w:t>
      </w:r>
      <w:r w:rsidRPr="00375C8D">
        <w:t xml:space="preserve">mivel az új technológiák, például a mesterséges intelligencia és az az automatizált döntéshozatali </w:t>
      </w:r>
      <w:r w:rsidRPr="00375C8D">
        <w:t>rendszerek használata sajátos problémákat vethet fel a jó közigazgatás elve és a jogi felülvizsgálathoz való jog szempontjából, és ezért különös elemzést igényel az olyan elemek tekintetében, mint az átláthatóság, az elszámoltathatóság, a megfelelőség és a</w:t>
      </w:r>
      <w:r w:rsidRPr="00375C8D">
        <w:t xml:space="preserve"> megkülönböztetésmentesség, valamint szükségessé teszi az algoritmikus torzítás kockázatának kezelését;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333333"/>
        </w:rPr>
        <w:t xml:space="preserve">X. </w:t>
      </w:r>
      <w:r w:rsidRPr="00375C8D">
        <w:rPr>
          <w:color w:val="333333"/>
        </w:rPr>
        <w:tab/>
      </w:r>
      <w:r w:rsidRPr="00375C8D">
        <w:t>mivel el kell ismerni a mesterséges intelligencia és a gépi tanulás alkalmazásának kockázatait, különösen az uniós közigazgatással összefüggésben, a</w:t>
      </w:r>
      <w:r w:rsidRPr="00375C8D">
        <w:t>hol jelentős hatalmi szakadék állhat fenn a polgárok és a közigazgatás között;</w:t>
      </w:r>
      <w:r w:rsidRPr="00375C8D">
        <w:rPr>
          <w:color w:val="000000"/>
        </w:rPr>
        <w:t xml:space="preserve"> mivel ezért a gépi tanulásnak az uniós közigazgatásban történő alkalmazását az adatok gyűjtésére, rendszerezésére, strukturálására, átalakítására, kombinálására és adaptálására </w:t>
      </w:r>
      <w:r w:rsidRPr="00375C8D">
        <w:rPr>
          <w:color w:val="000000"/>
        </w:rPr>
        <w:t>kell korlátozni, mint például az optikai karakterfelismerés, a tárgyfelismerés vagy a beszéd szöveggé alakítása;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375C8D">
        <w:rPr>
          <w:color w:val="333333"/>
        </w:rPr>
        <w:t>Y.</w:t>
      </w:r>
      <w:r w:rsidRPr="00375C8D">
        <w:rPr>
          <w:color w:val="333333"/>
        </w:rPr>
        <w:tab/>
      </w:r>
      <w:r w:rsidRPr="00375C8D">
        <w:t>mivel az Európai Jogi Intézet 2022-ben a közigazgatásban használt algoritmikus döntéshozatali rendszerek hatásvizsgálatára vonatkozó mintasz</w:t>
      </w:r>
      <w:r w:rsidRPr="00375C8D">
        <w:t>abályokról szóló jelentést tett közzé, amelyben a mintaszabályokokat akkor javasolják, ha az ilyen algoritmikus döntéshozatali rendszerek olyan döntést hoznak vagy oly módon támogatják az emberi döntéshozatalt – azaz egy (akár uniós szintű) hatóság arra vo</w:t>
      </w:r>
      <w:r w:rsidRPr="00375C8D">
        <w:t>natkozó elhatározását, hoz vagy nem hoz valamilyen intézkedést –, amely valószínűleg jelentős hatást gyakorol a lakosságra</w:t>
      </w:r>
      <w:r w:rsidRPr="00375C8D">
        <w:rPr>
          <w:rStyle w:val="FootnoteReference"/>
        </w:rPr>
        <w:footnoteReference w:id="15"/>
      </w:r>
      <w:r w:rsidRPr="00375C8D">
        <w:t>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375C8D">
        <w:t>Z.</w:t>
      </w:r>
      <w:r w:rsidRPr="00375C8D">
        <w:tab/>
        <w:t>mivel a múltban a közigazgatás céljaira kifejlesztett szoftverek gyakran zárt forráskódúak voltak, ami azt jelenti, hogy hiába f</w:t>
      </w:r>
      <w:r w:rsidRPr="00375C8D">
        <w:t>izettek érte, a polgárok nem ellenőrizhetik vagy használhatják újra a kódot; mivel érdemes elismerni, hogy az Unió közigazgatása nyílt forráskódú szoftvereket fejleszt, tesz közzé és használ, ami hozzájárul a „közpénz – nyilvános kód” elvének érvényesülésé</w:t>
      </w:r>
      <w:r w:rsidRPr="00375C8D">
        <w:t>hez; mivel ez az elv elősegíti a meglévő kód újrafelhasználását és javítását, hogy csökkentse a szoftverfejlesztés költségeit és ezáltal a digitalizáció költségeit; mivel ezért folyamatosan ösztönözni kell a nyílt forráskódú szoftverek használatát az uniós</w:t>
      </w:r>
      <w:r w:rsidRPr="00375C8D">
        <w:t xml:space="preserve"> közigazgatásban</w:t>
      </w:r>
      <w:r w:rsidRPr="00375C8D">
        <w:rPr>
          <w:rStyle w:val="FootnoteReference"/>
        </w:rPr>
        <w:footnoteReference w:id="16"/>
      </w:r>
      <w:r w:rsidRPr="00375C8D">
        <w:t>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375C8D">
        <w:t xml:space="preserve">AA. </w:t>
      </w:r>
      <w:r w:rsidRPr="00375C8D">
        <w:tab/>
        <w:t>mivel az uniós polgárok digitális közigazgatási szolgáltatásokhoz való hozzáférését olyan tényezők befolyásolják, mint az életkor, a bizalom vagy a technológiai megoldások elfogadására való hajlandóság; mivel ezért az uniós közigazg</w:t>
      </w:r>
      <w:r w:rsidRPr="00375C8D">
        <w:t>atásnak az általa nyújtott szolgáltatások digitális megoldásainak kidolgozásakor ezt figyelembe kell vennie, annak érdekében, hogy ne veszítse el a polgárok bizalmát, és lehetővé tegye a polgárok számára, hogy alkalmazkodjanak a digitális szolgáltatásokhoz</w:t>
      </w:r>
      <w:r w:rsidRPr="00375C8D">
        <w:t xml:space="preserve">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AB.</w:t>
      </w:r>
      <w:r w:rsidRPr="00375C8D">
        <w:rPr>
          <w:color w:val="000000"/>
        </w:rPr>
        <w:tab/>
        <w:t>mivel már léteznek a digitális közszolgáltatásokra és közigazgatásra vonatkozóan a következő elvek: i. emberközpontú és hozzáférhető digitális közszolgáltatások minden szinten, ii. lehetősége minden személy számára arra, hogy részt vegyen az igényei</w:t>
      </w:r>
      <w:r w:rsidRPr="00375C8D">
        <w:rPr>
          <w:color w:val="000000"/>
        </w:rPr>
        <w:t>hez és preferenciáihoz igazított digitális közszolgáltatások létrehozásában és fejlesztésében, iii. az egyszeri adatszolgáltatás elve, vagyis hogy minden személy csak egyszer adja meg adatait vagy a rá vonatkozó információkat, akkor, amikor az Unió terület</w:t>
      </w:r>
      <w:r w:rsidRPr="00375C8D">
        <w:rPr>
          <w:color w:val="000000"/>
        </w:rPr>
        <w:t>én digitálisan kapcsolatba lép a közigazgatással, iv. a közszféra által kínált digitális szolgáltatások – például a digitális személyazonossági megoldások – interoperabilitása, az adatok Unión belüli hordozhatóságának lehetővé tételével, v. a digitális tec</w:t>
      </w:r>
      <w:r w:rsidRPr="00375C8D">
        <w:rPr>
          <w:color w:val="000000"/>
        </w:rPr>
        <w:t>hnológiák és megoldások által lehetővé tett széles körű elkötelezettség az emberek részéről és az emberekkel szemben, valamint a részvételi kezdeményezések fejlesztésének ösztönzése minden szinten, vi. a digitális technológiák és megoldások hozzájárulása a</w:t>
      </w:r>
      <w:r w:rsidRPr="00375C8D">
        <w:rPr>
          <w:color w:val="000000"/>
        </w:rPr>
        <w:t xml:space="preserve"> közbiztonság és a közvédelem magasabb szintjéhez;</w:t>
      </w:r>
    </w:p>
    <w:p w:rsidR="00873F47" w:rsidRPr="00375C8D" w:rsidRDefault="00772FF8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1.</w:t>
      </w:r>
      <w:r w:rsidRPr="00375C8D">
        <w:rPr>
          <w:color w:val="000000"/>
        </w:rPr>
        <w:tab/>
        <w:t>úgy véli, hogy az Unió közigazgatásának 70 éves folyamatos fejlődése és 13 évvel az EUMSZ 298. cikkében foglalt jogalapot rögzítő Lisszaboni Szerződés hatálybalépése után nem indokolt, hogy a helyes köz</w:t>
      </w:r>
      <w:r w:rsidRPr="00375C8D">
        <w:rPr>
          <w:color w:val="000000"/>
        </w:rPr>
        <w:t>igazgatás elveit ne rögzítsék kötelező erejű jogszabályokban;</w:t>
      </w:r>
    </w:p>
    <w:p w:rsidR="00873F47" w:rsidRPr="00375C8D" w:rsidRDefault="00772FF8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2.</w:t>
      </w:r>
      <w:r w:rsidRPr="00375C8D">
        <w:rPr>
          <w:color w:val="000000"/>
        </w:rPr>
        <w:tab/>
        <w:t>emlékeztet arra, hogy a Parlament 2013. január 15-i állásfoglalásában és 2016. június 9-i állásfoglalásában az EUMSZ 225. cikke alapján az EUMSZ 298. cikke szerinti nyitott, hatékony és függe</w:t>
      </w:r>
      <w:r w:rsidRPr="00375C8D">
        <w:rPr>
          <w:color w:val="000000"/>
        </w:rPr>
        <w:t xml:space="preserve">tlen európai uniós igazgatásról szóló rendelet elfogadását kérte; </w:t>
      </w:r>
      <w:r w:rsidRPr="00375C8D">
        <w:t>emlékeztet arra, hogy 2016. június 9-i állásfoglalásában a Parlament különösen arra szólította fel a Bizottságot, hogy terjesszen elő a 2017. évi munkaprogramjába foglalandó jogalkotási java</w:t>
      </w:r>
      <w:r w:rsidRPr="00375C8D">
        <w:t>slatot;</w:t>
      </w:r>
      <w:r w:rsidRPr="00375C8D">
        <w:rPr>
          <w:color w:val="1E1E1F"/>
        </w:rPr>
        <w:t xml:space="preserve"> </w:t>
      </w:r>
      <w:r w:rsidRPr="00375C8D">
        <w:t>sajnálja, hogy a Parlament kéréseit eddig nem követte bizottsági javaslat;</w:t>
      </w:r>
      <w:r w:rsidRPr="00375C8D">
        <w:rPr>
          <w:color w:val="000000"/>
        </w:rPr>
        <w:t xml:space="preserve"> </w:t>
      </w:r>
    </w:p>
    <w:p w:rsidR="00873F47" w:rsidRPr="00375C8D" w:rsidRDefault="00772FF8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3.</w:t>
      </w:r>
      <w:r w:rsidRPr="00375C8D">
        <w:rPr>
          <w:color w:val="000000"/>
        </w:rPr>
        <w:tab/>
        <w:t>megjegyzi, hogy a Bizottság nem szolgáltatott semmilyen megalapozott vagy meggyőző érvet a tétlenségére, és sajnálja, hogy a Bizottság mindeddig nem nyújtott be mélyreha</w:t>
      </w:r>
      <w:r w:rsidRPr="00375C8D">
        <w:rPr>
          <w:color w:val="000000"/>
        </w:rPr>
        <w:t>tó elemzést vagy tanulmányt a témával kapcsolatban;</w:t>
      </w:r>
    </w:p>
    <w:p w:rsidR="00873F47" w:rsidRPr="00375C8D" w:rsidRDefault="00772FF8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375C8D">
        <w:t>4.</w:t>
      </w:r>
      <w:r w:rsidRPr="00375C8D">
        <w:tab/>
        <w:t>kéri a Bizottságot, hogy az EUMSZ 298. cikke alapján sürgősen terjesszen elő a nyitott, hatékony és független európai uniós igazgatásról szóló rendeletre irányuló jogalkotási javaslatot, és illessze az</w:t>
      </w:r>
      <w:r w:rsidRPr="00375C8D">
        <w:t>t a 2024. évi munkaprogramjába, hogy a társjogalkotók az új jogalkotási ciklus kezdetén azonnal megkezdhessék a munkát;</w:t>
      </w:r>
      <w:r w:rsidRPr="00375C8D">
        <w:rPr>
          <w:color w:val="000000"/>
        </w:rPr>
        <w:t xml:space="preserve"> </w:t>
      </w:r>
      <w:r w:rsidRPr="00375C8D">
        <w:t>kéri, hogy a javaslat kövesse a mellékletben foglalt ajánlásokat, és felkéri a Bizottságot, hogy a 2016. június 9-i állásfoglalásához cs</w:t>
      </w:r>
      <w:r w:rsidRPr="00375C8D">
        <w:t>atolt rendeletjavaslatot tekintse kiindulási alapnak a kért javaslat elkészítéséhez, és vegye figyelembe a digitalizáció előrehaladását és annak az uniós közigazgatásra és közigazgatási eljárásra gyakorolt hatását;</w:t>
      </w:r>
    </w:p>
    <w:p w:rsidR="00873F47" w:rsidRPr="00375C8D" w:rsidRDefault="00772FF8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5.</w:t>
      </w:r>
      <w:r w:rsidRPr="00375C8D">
        <w:rPr>
          <w:color w:val="000000"/>
        </w:rPr>
        <w:tab/>
        <w:t>úgy véli, hogy a kért javaslatnak ninc</w:t>
      </w:r>
      <w:r w:rsidRPr="00375C8D">
        <w:rPr>
          <w:color w:val="000000"/>
        </w:rPr>
        <w:t>senek pénzügyi vonatkozásai;</w:t>
      </w:r>
    </w:p>
    <w:p w:rsidR="00873F47" w:rsidRPr="00375C8D" w:rsidRDefault="00772FF8" w:rsidP="00392BD4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375C8D">
        <w:rPr>
          <w:color w:val="000000"/>
        </w:rPr>
        <w:t>6.</w:t>
      </w:r>
      <w:r w:rsidRPr="00375C8D">
        <w:rPr>
          <w:color w:val="000000"/>
        </w:rPr>
        <w:tab/>
        <w:t>utasítja elnökét, hogy továbbítsa ezt az állásfoglalást és a mellékelt ajánlásokat a Bizottságnak és a Tanácsnak.</w:t>
      </w:r>
    </w:p>
    <w:p w:rsidR="009F6042" w:rsidRPr="00375C8D" w:rsidRDefault="009F6042" w:rsidP="00873F47">
      <w:pPr>
        <w:pStyle w:val="NormalHanging12a"/>
      </w:pPr>
    </w:p>
    <w:p w:rsidR="006E50B6" w:rsidRPr="00375C8D" w:rsidRDefault="006E50B6" w:rsidP="00873F47">
      <w:pPr>
        <w:spacing w:after="240"/>
        <w:sectPr w:rsidR="006E50B6" w:rsidRPr="00375C8D" w:rsidSect="00375C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007EDE" w:rsidRPr="00375C8D" w:rsidRDefault="00772FF8" w:rsidP="00873F47">
      <w:pPr>
        <w:pStyle w:val="PageHeading"/>
        <w:spacing w:after="240"/>
      </w:pPr>
      <w:bookmarkStart w:id="2" w:name="_Toc138326914"/>
      <w:r w:rsidRPr="00375C8D">
        <w:t>MELLÉKLET AZ ÁLLÁSFOGLALÁSRA IRÁNYULÓ INDÍTVÁNYHOZ</w:t>
      </w:r>
      <w:r w:rsidRPr="00375C8D">
        <w:br/>
        <w:t>A KÉRT JAVASLAT TARTALMÁRA VONATKOZÓ AJÁNLÁSOK</w:t>
      </w:r>
      <w:bookmarkEnd w:id="2"/>
    </w:p>
    <w:p w:rsidR="00873F47" w:rsidRPr="00375C8D" w:rsidRDefault="00772FF8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 w:rsidRPr="00375C8D">
        <w:rPr>
          <w:b/>
          <w:color w:val="000000"/>
        </w:rPr>
        <w:t xml:space="preserve">1. számú </w:t>
      </w:r>
      <w:r w:rsidRPr="00375C8D">
        <w:rPr>
          <w:b/>
          <w:color w:val="000000"/>
        </w:rPr>
        <w:t>ajánlás (a nyitott, hatékony és független európai uniós igazgatásról szóló rendeletre irányuló bizottsági javaslat alapjára vonatkozóan):</w:t>
      </w:r>
    </w:p>
    <w:p w:rsidR="00873F47" w:rsidRPr="00375C8D" w:rsidRDefault="00772FF8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rPr>
          <w:color w:val="000000"/>
        </w:rPr>
        <w:t>Az Európai Parlament úgy véli, hogy a Bizottság javaslatának a közigazgatási eljárásra vonatkozó általános jogi aktust</w:t>
      </w:r>
      <w:r w:rsidRPr="00375C8D">
        <w:rPr>
          <w:color w:val="000000"/>
        </w:rPr>
        <w:t xml:space="preserve"> megállapító rendelet formájában kellene megvalósulnia, a nyitott, hatékony és független európai uniós igazgatásról szóló, 2016. június 9-i parlamenti állásfoglalás mellékletében foglaltaknak megfelelően. </w:t>
      </w:r>
    </w:p>
    <w:p w:rsidR="00873F47" w:rsidRPr="00375C8D" w:rsidRDefault="00772FF8" w:rsidP="00873F47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 w:rsidRPr="00375C8D">
        <w:rPr>
          <w:b/>
          <w:color w:val="000000"/>
        </w:rPr>
        <w:t>2. számú ajánlás (az uniós közigazgatási eljárások</w:t>
      </w:r>
      <w:r w:rsidRPr="00375C8D">
        <w:rPr>
          <w:b/>
          <w:color w:val="000000"/>
        </w:rPr>
        <w:t xml:space="preserve"> digitalizációjának vezérelveiről)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rPr>
          <w:color w:val="000000"/>
        </w:rPr>
        <w:t>Az Európai Parlament úgy véli, hogy a Bizottságnak az ezen állásfoglalás alapján kért javaslat előterjesztésekor figyelembe kell vennie a digitalizáció terén elért előrehaladást és annak az uniós közigazgatási eljárásokra</w:t>
      </w:r>
      <w:r w:rsidRPr="00375C8D">
        <w:rPr>
          <w:color w:val="000000"/>
        </w:rPr>
        <w:t xml:space="preserve"> gyakorolt hatását.  Különösen a következőket kell figyelembe venni: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</w:pPr>
      <w:r w:rsidRPr="00375C8D">
        <w:t>1.</w:t>
      </w:r>
      <w:r w:rsidRPr="00375C8D">
        <w:tab/>
        <w:t>Az általános szempontok tekintetében: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rPr>
          <w:color w:val="000000"/>
        </w:rPr>
        <w:t xml:space="preserve">i. </w:t>
      </w:r>
      <w:r w:rsidRPr="00375C8D">
        <w:rPr>
          <w:color w:val="000000"/>
        </w:rPr>
        <w:tab/>
        <w:t xml:space="preserve">az egyszeri adatszolgáltatás elve, vagyis, hogy minden személy csak egyszer adja meg adatait vagy a rá vonatkozó információkat, akkor, amikor </w:t>
      </w:r>
      <w:r w:rsidRPr="00375C8D">
        <w:rPr>
          <w:color w:val="000000"/>
        </w:rPr>
        <w:t xml:space="preserve">digitálisan kapcsolatba lép az uniós közigazgatással, e tekintetben az európai digitális személyazonossági tárca létrehozásához is kapcsolódva;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rPr>
          <w:color w:val="000000"/>
        </w:rPr>
        <w:t>i</w:t>
      </w:r>
      <w:r w:rsidRPr="00375C8D">
        <w:t>i</w:t>
      </w:r>
      <w:r w:rsidRPr="00375C8D">
        <w:rPr>
          <w:color w:val="000000"/>
        </w:rPr>
        <w:t xml:space="preserve">. </w:t>
      </w:r>
      <w:r w:rsidRPr="00375C8D">
        <w:rPr>
          <w:color w:val="000000"/>
        </w:rPr>
        <w:tab/>
        <w:t>az uniós közigazgatás által kínált digitális szolgáltatások interoperabilitása;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t>iii.</w:t>
      </w:r>
      <w:r w:rsidRPr="00375C8D">
        <w:rPr>
          <w:color w:val="000000"/>
        </w:rPr>
        <w:t xml:space="preserve"> </w:t>
      </w:r>
      <w:r w:rsidRPr="00375C8D">
        <w:rPr>
          <w:color w:val="000000"/>
        </w:rPr>
        <w:tab/>
        <w:t>a digitális technoló</w:t>
      </w:r>
      <w:r w:rsidRPr="00375C8D">
        <w:rPr>
          <w:color w:val="000000"/>
        </w:rPr>
        <w:t xml:space="preserve">giák és megoldások hozzájárulása a közbiztonság és a közvédelem magasabb szintjéhez;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t xml:space="preserve">iv. </w:t>
      </w:r>
      <w:r w:rsidRPr="00375C8D">
        <w:tab/>
        <w:t>eljárások kidolgozása és a digitális technológiák használatának tisztázása az Unió igazgatásának külső kommunikációja terén, azzal a céllal, hogy a meglévő hiányossá</w:t>
      </w:r>
      <w:r w:rsidRPr="00375C8D">
        <w:t>gok kezelésére irányuló ellenintézkedéseket hozzanak, növeljék a jogbiztonságot, növeljék azon ügyek számát, amelyek során kezelik a méltánytalan közigazgatási eljárásokat, és megszüntessék a bizalomhiány újratermelődését;</w:t>
      </w:r>
    </w:p>
    <w:p w:rsidR="00873F47" w:rsidRPr="00375C8D" w:rsidRDefault="00772FF8" w:rsidP="00873F47">
      <w:pPr>
        <w:spacing w:after="240"/>
      </w:pPr>
      <w:r w:rsidRPr="00375C8D">
        <w:t>2.</w:t>
      </w:r>
      <w:r w:rsidRPr="00375C8D">
        <w:tab/>
        <w:t>A hozzáférhető, inkluzív digit</w:t>
      </w:r>
      <w:r w:rsidRPr="00375C8D">
        <w:t>ális közszolgáltatások tekintetében:</w:t>
      </w:r>
    </w:p>
    <w:p w:rsidR="00873F47" w:rsidRPr="00375C8D" w:rsidRDefault="00772FF8" w:rsidP="00873F47">
      <w:pPr>
        <w:spacing w:after="240"/>
      </w:pPr>
      <w:r w:rsidRPr="00375C8D">
        <w:t xml:space="preserve">i. </w:t>
      </w:r>
      <w:r w:rsidRPr="00375C8D">
        <w:tab/>
        <w:t xml:space="preserve">a digitális közszolgáltatásoknak emberközpontúnak és minden szinten hozzáférhetőnek kell lenniük; </w:t>
      </w:r>
    </w:p>
    <w:p w:rsidR="00873F47" w:rsidRPr="00375C8D" w:rsidRDefault="00772FF8" w:rsidP="00873F47">
      <w:pPr>
        <w:spacing w:after="240"/>
      </w:pPr>
      <w:r w:rsidRPr="00375C8D">
        <w:t xml:space="preserve">ii. </w:t>
      </w:r>
      <w:r w:rsidRPr="00375C8D">
        <w:tab/>
        <w:t>minden embernek lehetőséget kell biztosítani arra, hogy részt vehessen az igényeihez és preferenciáihoz igazíto</w:t>
      </w:r>
      <w:r w:rsidRPr="00375C8D">
        <w:t xml:space="preserve">tt digitális közszolgáltatások létrehozásában és fejlesztésében; </w:t>
      </w:r>
    </w:p>
    <w:p w:rsidR="00873F47" w:rsidRPr="00375C8D" w:rsidRDefault="00772FF8" w:rsidP="00873F47">
      <w:pPr>
        <w:spacing w:after="240"/>
      </w:pPr>
      <w:r w:rsidRPr="00375C8D">
        <w:t xml:space="preserve">iii. </w:t>
      </w:r>
      <w:r w:rsidRPr="00375C8D">
        <w:tab/>
        <w:t>mindig biztosítani kell a digitális szolgáltatások analóg alternatíváit, és emberi kapcsolattartó pontot kell rendelkezésre bocsátani, amely segít a digitális szolgáltatások uniós polg</w:t>
      </w:r>
      <w:r w:rsidRPr="00375C8D">
        <w:t>árok általi használata során felmerülő problémák megoldásában;</w:t>
      </w:r>
    </w:p>
    <w:p w:rsidR="00873F47" w:rsidRPr="00375C8D" w:rsidRDefault="00772FF8" w:rsidP="00873F47">
      <w:pPr>
        <w:spacing w:after="240"/>
      </w:pPr>
      <w:r w:rsidRPr="00375C8D">
        <w:t xml:space="preserve">iv. </w:t>
      </w:r>
      <w:r w:rsidRPr="00375C8D">
        <w:tab/>
        <w:t>a digitális közszolgáltatásoknak hozzáférhetőnek kell lenniük a fogyatékossággal élők számára;</w:t>
      </w:r>
    </w:p>
    <w:p w:rsidR="00873F47" w:rsidRPr="00375C8D" w:rsidRDefault="00772FF8" w:rsidP="00873F47">
      <w:pPr>
        <w:spacing w:after="240"/>
      </w:pPr>
      <w:r w:rsidRPr="00375C8D">
        <w:t xml:space="preserve">v. </w:t>
      </w:r>
      <w:r w:rsidRPr="00375C8D">
        <w:tab/>
        <w:t>a digitális közszolgáltatásoknak ezenkívül az eszközök széles skáláján keresztül hozzáfér</w:t>
      </w:r>
      <w:r w:rsidRPr="00375C8D">
        <w:t xml:space="preserve">hetőnek kell lenniük; </w:t>
      </w:r>
    </w:p>
    <w:p w:rsidR="00873F47" w:rsidRPr="00375C8D" w:rsidRDefault="00772FF8" w:rsidP="00873F4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375C8D">
        <w:t>3.</w:t>
      </w:r>
      <w:r w:rsidRPr="00375C8D">
        <w:tab/>
        <w:t>A biztonság, az elszámoltathatóság és az adatvédelem tekintetében:</w:t>
      </w:r>
    </w:p>
    <w:p w:rsidR="00873F47" w:rsidRPr="00375C8D" w:rsidRDefault="00772FF8" w:rsidP="00873F47">
      <w:pPr>
        <w:spacing w:after="240"/>
      </w:pPr>
      <w:r w:rsidRPr="00375C8D">
        <w:t xml:space="preserve">i. </w:t>
      </w:r>
      <w:r w:rsidRPr="00375C8D">
        <w:tab/>
        <w:t>a „közpénz – nyilvános kód” elve, vagyis, hogy a közpénzből fejlesztett szoftverek forráskódját tanulmányozás és újrafelhasználás céljából a nyilvánosság számá</w:t>
      </w:r>
      <w:r w:rsidRPr="00375C8D">
        <w:t xml:space="preserve">ra hozzáférhetővé kell tenni; </w:t>
      </w:r>
    </w:p>
    <w:p w:rsidR="00873F47" w:rsidRPr="00375C8D" w:rsidRDefault="00772FF8" w:rsidP="00873F47">
      <w:pPr>
        <w:spacing w:after="240"/>
      </w:pPr>
      <w:r w:rsidRPr="00375C8D">
        <w:t xml:space="preserve">ii. </w:t>
      </w:r>
      <w:r w:rsidRPr="00375C8D">
        <w:tab/>
        <w:t>a digitális közszolgáltatások felhasználóinak magánéletét és biztonságát védeni kell;</w:t>
      </w:r>
    </w:p>
    <w:p w:rsidR="00873F47" w:rsidRPr="00375C8D" w:rsidRDefault="00772FF8" w:rsidP="00873F47">
      <w:pPr>
        <w:spacing w:after="240"/>
      </w:pPr>
      <w:r w:rsidRPr="00375C8D">
        <w:t xml:space="preserve">iii. </w:t>
      </w:r>
      <w:r w:rsidRPr="00375C8D">
        <w:tab/>
        <w:t xml:space="preserve">a tévedéshez és a helyesbítéshez való jog; </w:t>
      </w:r>
    </w:p>
    <w:p w:rsidR="00873F47" w:rsidRPr="00375C8D" w:rsidRDefault="00772FF8" w:rsidP="00873F47">
      <w:pPr>
        <w:spacing w:after="240"/>
      </w:pPr>
      <w:r w:rsidRPr="00375C8D">
        <w:t>iv.</w:t>
      </w:r>
      <w:r w:rsidRPr="00375C8D">
        <w:tab/>
        <w:t>a magyarázathoz való jog, amely alatt az algoritmus által nyújtott eredményre és</w:t>
      </w:r>
      <w:r w:rsidRPr="00375C8D">
        <w:t xml:space="preserve"> az algoritmikus értékelés nyomán hozott döntésre vonatkozó magyarázathoz való jog értendő;</w:t>
      </w:r>
    </w:p>
    <w:p w:rsidR="00873F47" w:rsidRPr="00375C8D" w:rsidRDefault="00772FF8" w:rsidP="00873F47">
      <w:pPr>
        <w:spacing w:after="240"/>
      </w:pPr>
      <w:r w:rsidRPr="00375C8D">
        <w:t xml:space="preserve">v. </w:t>
      </w:r>
      <w:r w:rsidRPr="00375C8D">
        <w:tab/>
        <w:t>az átláthatóság elve azon kritériumok tekintetében, amelyek alapján sor kerül az automatizált döntések meghozatalára, amennyiben ezek a döntések érintik a polgá</w:t>
      </w:r>
      <w:r w:rsidRPr="00375C8D">
        <w:t>rokat.</w:t>
      </w:r>
    </w:p>
    <w:p w:rsidR="00873F47" w:rsidRPr="00375C8D" w:rsidRDefault="00772FF8" w:rsidP="00873F47">
      <w:pPr>
        <w:spacing w:after="240"/>
        <w:rPr>
          <w:b/>
        </w:rPr>
      </w:pPr>
      <w:r w:rsidRPr="00375C8D">
        <w:rPr>
          <w:b/>
        </w:rPr>
        <w:t>3. számú ajánlás (a digitális megoldások fejlesztésének és bevezetésének elveiről)</w:t>
      </w:r>
    </w:p>
    <w:p w:rsidR="00873F47" w:rsidRPr="00375C8D" w:rsidRDefault="00772FF8" w:rsidP="00873F47">
      <w:pPr>
        <w:spacing w:after="240"/>
      </w:pPr>
      <w:r w:rsidRPr="00375C8D">
        <w:t>El kell ismerni, hogy új digitális megoldások kifejlesztésére van szükség az uniós közigazgatás digitalizációs folyamat során felmerülő igényeinek kielégítése érdekéb</w:t>
      </w:r>
      <w:r w:rsidRPr="00375C8D">
        <w:t xml:space="preserve">en. Annak biztosítása érdekében, hogy ezek a megoldások a lehető legjobban szolgálják az uniós polgárokat és az uniós személyzetet, az alábbi elveket kell figyelembe venni: </w:t>
      </w:r>
    </w:p>
    <w:p w:rsidR="00873F47" w:rsidRPr="00375C8D" w:rsidRDefault="00772FF8" w:rsidP="00873F47">
      <w:pPr>
        <w:shd w:val="clear" w:color="auto" w:fill="FFFFFF"/>
        <w:spacing w:after="240"/>
        <w:rPr>
          <w:color w:val="4D5156"/>
        </w:rPr>
      </w:pPr>
      <w:r w:rsidRPr="00375C8D">
        <w:t xml:space="preserve">i. </w:t>
      </w:r>
      <w:r w:rsidRPr="00375C8D">
        <w:tab/>
        <w:t>Az uniós személyzetnek kell a fejlesztési folyamat középpontjában állnia, mive</w:t>
      </w:r>
      <w:r w:rsidRPr="00375C8D">
        <w:t>l ők ismerik a legjobban az igazgatási eljárásokat és a szélsőséges eseteket, azaz az olyan problémákat vagy helyzeteket, amelyek csak a lehetséges értéktartomány legmagasabb vagy legalacsonyabb értékeinél vagy szélsőséges esetekben fordulnak elő;</w:t>
      </w:r>
    </w:p>
    <w:p w:rsidR="00873F47" w:rsidRPr="00375C8D" w:rsidRDefault="00772FF8" w:rsidP="00873F47">
      <w:pPr>
        <w:spacing w:after="240"/>
      </w:pPr>
      <w:r w:rsidRPr="00375C8D">
        <w:t xml:space="preserve">ii. </w:t>
      </w:r>
      <w:r w:rsidRPr="00375C8D">
        <w:tab/>
        <w:t>meg</w:t>
      </w:r>
      <w:r w:rsidRPr="00375C8D">
        <w:t xml:space="preserve"> kell fontolni az érintett közszolgáltatás kiépítéséhez elengedhetetlenül szükséges, házon belüli digitális megoldások kifejlesztését; </w:t>
      </w:r>
    </w:p>
    <w:p w:rsidR="00873F47" w:rsidRPr="00375C8D" w:rsidRDefault="00772FF8" w:rsidP="00873F47">
      <w:pPr>
        <w:spacing w:after="240"/>
      </w:pPr>
      <w:r w:rsidRPr="00375C8D">
        <w:t xml:space="preserve">iii. </w:t>
      </w:r>
      <w:r w:rsidRPr="00375C8D">
        <w:tab/>
        <w:t>a kiszervezések során az átfogó óriásprojektekre vonatkozó ajánlati felhívások kiírása helyett, amelyekre csak néh</w:t>
      </w:r>
      <w:r w:rsidRPr="00375C8D">
        <w:t>ány nagyvállalat tud ajánlatot tenni, és amelyeknél nagyobb a késedelem és a költségvetés túllépésének kockázata, a projektek és eljárások digitalizálására irányuló közbeszerzési eljárásokat kisebb projektekre vonatkozó ajánlati felhívásokra kellene bontan</w:t>
      </w:r>
      <w:r w:rsidRPr="00375C8D">
        <w:t>i, hogy a digitalizációs szerződések a kkv-k számára is hozzáférhetőbbek legyenek;</w:t>
      </w:r>
    </w:p>
    <w:p w:rsidR="00873F47" w:rsidRPr="00375C8D" w:rsidRDefault="00772FF8" w:rsidP="00873F47">
      <w:pPr>
        <w:spacing w:after="240"/>
      </w:pPr>
      <w:r w:rsidRPr="00375C8D">
        <w:t xml:space="preserve">iv. </w:t>
      </w:r>
      <w:r w:rsidRPr="00375C8D">
        <w:tab/>
        <w:t>a digitalizáció nem tekinthető kizárólag költségcsökkentési eljárásnak: fontos megjegyezni, hogy a hatékony digitalizációhoz a technológiába és a személyzetbe történő b</w:t>
      </w:r>
      <w:r w:rsidRPr="00375C8D">
        <w:t>eruházásokra is szükség van;</w:t>
      </w:r>
    </w:p>
    <w:p w:rsidR="00873F47" w:rsidRPr="00375C8D" w:rsidRDefault="00772FF8" w:rsidP="00873F47">
      <w:pPr>
        <w:spacing w:after="240"/>
      </w:pPr>
      <w:r w:rsidRPr="00375C8D">
        <w:t xml:space="preserve">v. </w:t>
      </w:r>
      <w:r w:rsidRPr="00375C8D">
        <w:tab/>
        <w:t>a digitalizációt oly módon kell végrehajtani, hogy a személyzetnek több ideje maradjon a szakterületéhez kapcsolódó feladatok elvégzésére; e célból automatizálni kell az ismétlődő feladatokat, és segíteni kell a személyzete</w:t>
      </w:r>
      <w:r w:rsidRPr="00375C8D">
        <w:t xml:space="preserve">t abban, hogy az Unió igazgatása megfeleljen a 2. ajánlásban említett elveknek és céloknak; </w:t>
      </w:r>
    </w:p>
    <w:p w:rsidR="00007EDE" w:rsidRPr="00375C8D" w:rsidRDefault="00772FF8" w:rsidP="00873F47">
      <w:pPr>
        <w:spacing w:after="240"/>
      </w:pPr>
      <w:r w:rsidRPr="00375C8D">
        <w:t xml:space="preserve">vi. </w:t>
      </w:r>
      <w:r w:rsidRPr="00375C8D">
        <w:tab/>
        <w:t>a digitalizáció nem vezethet ahhoz, hogy a speciális feladatokat olyan, nem speciális kompetenciákkal rendelkező alkalmazottakhoz rendelik, akik nem rendelkez</w:t>
      </w:r>
      <w:r w:rsidRPr="00375C8D">
        <w:t>nek az ilyen feladatok elvégzéséhez szükséges képzettséggel és erőforrásokkal.</w:t>
      </w:r>
    </w:p>
    <w:sectPr w:rsidR="00007EDE" w:rsidRPr="00375C8D" w:rsidSect="002B2D1A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375C8D" w:rsidRDefault="00772FF8">
      <w:r w:rsidRPr="00375C8D">
        <w:separator/>
      </w:r>
    </w:p>
  </w:endnote>
  <w:endnote w:type="continuationSeparator" w:id="0">
    <w:p w:rsidR="00000000" w:rsidRPr="00375C8D" w:rsidRDefault="00772FF8">
      <w:r w:rsidRPr="00375C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8D" w:rsidRPr="00375C8D" w:rsidRDefault="00375C8D" w:rsidP="00375C8D">
    <w:pPr>
      <w:pStyle w:val="EPFooter"/>
    </w:pPr>
    <w:r w:rsidRPr="00375C8D">
      <w:t>PE</w:t>
    </w:r>
    <w:r w:rsidRPr="00375C8D">
      <w:rPr>
        <w:rStyle w:val="HideTWBExt"/>
      </w:rPr>
      <w:t>&lt;NoPE&gt;</w:t>
    </w:r>
    <w:r w:rsidRPr="00375C8D">
      <w:t>746.653</w:t>
    </w:r>
    <w:r w:rsidRPr="00375C8D">
      <w:rPr>
        <w:rStyle w:val="HideTWBExt"/>
      </w:rPr>
      <w:t>&lt;/NoPE&gt;&lt;Version&gt;</w:t>
    </w:r>
    <w:r w:rsidRPr="00375C8D">
      <w:t>v01-00</w:t>
    </w:r>
    <w:r w:rsidRPr="00375C8D">
      <w:rPr>
        <w:rStyle w:val="HideTWBExt"/>
      </w:rPr>
      <w:t>&lt;/Version&gt;</w:t>
    </w:r>
    <w:r w:rsidRPr="00375C8D">
      <w:tab/>
    </w:r>
    <w:r w:rsidRPr="00375C8D">
      <w:fldChar w:fldCharType="begin"/>
    </w:r>
    <w:r w:rsidRPr="00375C8D">
      <w:instrText xml:space="preserve"> PAGE  \* MERGEFORMAT </w:instrText>
    </w:r>
    <w:r w:rsidRPr="00375C8D">
      <w:fldChar w:fldCharType="separate"/>
    </w:r>
    <w:r w:rsidR="00772FF8">
      <w:rPr>
        <w:noProof/>
      </w:rPr>
      <w:t>2</w:t>
    </w:r>
    <w:r w:rsidRPr="00375C8D">
      <w:fldChar w:fldCharType="end"/>
    </w:r>
    <w:r w:rsidRPr="00375C8D">
      <w:t>/</w:t>
    </w:r>
    <w:fldSimple w:instr=" NUMPAGES  \* MERGEFORMAT ">
      <w:r w:rsidR="00772FF8">
        <w:rPr>
          <w:noProof/>
        </w:rPr>
        <w:t>14</w:t>
      </w:r>
    </w:fldSimple>
    <w:r w:rsidRPr="00375C8D">
      <w:tab/>
    </w:r>
    <w:r w:rsidRPr="00375C8D">
      <w:rPr>
        <w:rStyle w:val="HideTWBExt"/>
      </w:rPr>
      <w:t>&lt;PathFdR&gt;</w:t>
    </w:r>
    <w:r w:rsidRPr="00375C8D">
      <w:t>PR\1276129HU.docx</w:t>
    </w:r>
    <w:r w:rsidRPr="00375C8D">
      <w:rPr>
        <w:rStyle w:val="HideTWBExt"/>
      </w:rPr>
      <w:t>&lt;/PathFdR&gt;</w:t>
    </w:r>
  </w:p>
  <w:p w:rsidR="007255C3" w:rsidRPr="00375C8D" w:rsidRDefault="00375C8D" w:rsidP="00375C8D">
    <w:pPr>
      <w:pStyle w:val="EPFooter2"/>
    </w:pPr>
    <w:r w:rsidRPr="00375C8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8D" w:rsidRPr="00375C8D" w:rsidRDefault="00375C8D" w:rsidP="00375C8D">
    <w:pPr>
      <w:pStyle w:val="EPFooter"/>
    </w:pPr>
    <w:r w:rsidRPr="00375C8D">
      <w:rPr>
        <w:rStyle w:val="HideTWBExt"/>
      </w:rPr>
      <w:t>&lt;PathFdR&gt;</w:t>
    </w:r>
    <w:r w:rsidRPr="00375C8D">
      <w:t>PR\1276129HU.docx</w:t>
    </w:r>
    <w:r w:rsidRPr="00375C8D">
      <w:rPr>
        <w:rStyle w:val="HideTWBExt"/>
      </w:rPr>
      <w:t>&lt;/PathFdR&gt;</w:t>
    </w:r>
    <w:r w:rsidRPr="00375C8D">
      <w:tab/>
    </w:r>
    <w:r w:rsidRPr="00375C8D">
      <w:fldChar w:fldCharType="begin"/>
    </w:r>
    <w:r w:rsidRPr="00375C8D">
      <w:instrText xml:space="preserve"> PAGE  \* MERGEFORMAT </w:instrText>
    </w:r>
    <w:r w:rsidRPr="00375C8D">
      <w:fldChar w:fldCharType="separate"/>
    </w:r>
    <w:r w:rsidR="00772FF8">
      <w:rPr>
        <w:noProof/>
      </w:rPr>
      <w:t>14</w:t>
    </w:r>
    <w:r w:rsidRPr="00375C8D">
      <w:fldChar w:fldCharType="end"/>
    </w:r>
    <w:r w:rsidRPr="00375C8D">
      <w:t>/</w:t>
    </w:r>
    <w:fldSimple w:instr=" NUMPAGES  \* MERGEFORMAT ">
      <w:r w:rsidR="00772FF8">
        <w:rPr>
          <w:noProof/>
        </w:rPr>
        <w:t>14</w:t>
      </w:r>
    </w:fldSimple>
    <w:r w:rsidRPr="00375C8D">
      <w:tab/>
      <w:t>PE</w:t>
    </w:r>
    <w:r w:rsidRPr="00375C8D">
      <w:rPr>
        <w:rStyle w:val="HideTWBExt"/>
      </w:rPr>
      <w:t>&lt;NoPE&gt;</w:t>
    </w:r>
    <w:r w:rsidRPr="00375C8D">
      <w:t>746.653</w:t>
    </w:r>
    <w:r w:rsidRPr="00375C8D">
      <w:rPr>
        <w:rStyle w:val="HideTWBExt"/>
      </w:rPr>
      <w:t>&lt;/NoPE&gt;&lt;Version&gt;</w:t>
    </w:r>
    <w:r w:rsidRPr="00375C8D">
      <w:t>v01-00</w:t>
    </w:r>
    <w:r w:rsidRPr="00375C8D">
      <w:rPr>
        <w:rStyle w:val="HideTWBExt"/>
      </w:rPr>
      <w:t>&lt;/Version&gt;</w:t>
    </w:r>
  </w:p>
  <w:p w:rsidR="007255C3" w:rsidRPr="00375C8D" w:rsidRDefault="00375C8D" w:rsidP="00375C8D">
    <w:pPr>
      <w:pStyle w:val="EPFooter2"/>
    </w:pPr>
    <w:r w:rsidRPr="00375C8D">
      <w:tab/>
    </w:r>
    <w:r w:rsidRPr="00375C8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C8D" w:rsidRPr="00375C8D" w:rsidRDefault="00375C8D" w:rsidP="00375C8D">
    <w:pPr>
      <w:pStyle w:val="EPFooter"/>
    </w:pPr>
    <w:r w:rsidRPr="00375C8D">
      <w:rPr>
        <w:rStyle w:val="HideTWBExt"/>
      </w:rPr>
      <w:t>&lt;PathFdR&gt;</w:t>
    </w:r>
    <w:r w:rsidRPr="00375C8D">
      <w:t>PR\1276129HU.docx</w:t>
    </w:r>
    <w:r w:rsidRPr="00375C8D">
      <w:rPr>
        <w:rStyle w:val="HideTWBExt"/>
      </w:rPr>
      <w:t>&lt;/PathFdR&gt;</w:t>
    </w:r>
    <w:r w:rsidRPr="00375C8D">
      <w:tab/>
    </w:r>
    <w:r w:rsidRPr="00375C8D">
      <w:tab/>
      <w:t>PE</w:t>
    </w:r>
    <w:r w:rsidRPr="00375C8D">
      <w:rPr>
        <w:rStyle w:val="HideTWBExt"/>
      </w:rPr>
      <w:t>&lt;NoPE&gt;</w:t>
    </w:r>
    <w:r w:rsidRPr="00375C8D">
      <w:t>746.653</w:t>
    </w:r>
    <w:r w:rsidRPr="00375C8D">
      <w:rPr>
        <w:rStyle w:val="HideTWBExt"/>
      </w:rPr>
      <w:t>&lt;/NoPE&gt;&lt;Version&gt;</w:t>
    </w:r>
    <w:r w:rsidRPr="00375C8D">
      <w:t>v01-00</w:t>
    </w:r>
    <w:r w:rsidRPr="00375C8D">
      <w:rPr>
        <w:rStyle w:val="HideTWBExt"/>
      </w:rPr>
      <w:t>&lt;/Version&gt;</w:t>
    </w:r>
  </w:p>
  <w:p w:rsidR="007255C3" w:rsidRPr="00375C8D" w:rsidRDefault="00375C8D" w:rsidP="00375C8D">
    <w:pPr>
      <w:pStyle w:val="EPFooter2"/>
    </w:pPr>
    <w:r w:rsidRPr="00375C8D">
      <w:t>HU</w:t>
    </w:r>
    <w:r w:rsidRPr="00375C8D">
      <w:tab/>
    </w:r>
    <w:r w:rsidRPr="00375C8D">
      <w:rPr>
        <w:b w:val="0"/>
        <w:i/>
        <w:color w:val="C0C0C0"/>
        <w:sz w:val="22"/>
      </w:rPr>
      <w:t>Egyesülve a sokféleségben</w:t>
    </w:r>
    <w:r w:rsidRPr="00375C8D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E25" w:rsidRPr="00375C8D" w:rsidRDefault="00772FF8">
      <w:r w:rsidRPr="00375C8D">
        <w:separator/>
      </w:r>
    </w:p>
  </w:footnote>
  <w:footnote w:type="continuationSeparator" w:id="0">
    <w:p w:rsidR="005D4E25" w:rsidRPr="00375C8D" w:rsidRDefault="00772FF8">
      <w:r w:rsidRPr="00375C8D">
        <w:continuationSeparator/>
      </w:r>
    </w:p>
  </w:footnote>
  <w:footnote w:id="1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2"/>
          <w:szCs w:val="22"/>
        </w:rPr>
      </w:pPr>
      <w:r w:rsidRPr="00375C8D">
        <w:rPr>
          <w:vertAlign w:val="superscript"/>
        </w:rPr>
        <w:footnoteRef/>
      </w:r>
      <w:r w:rsidRPr="00375C8D">
        <w:tab/>
        <w:t>HL L 295., 2018.11.21., 39. o.</w:t>
      </w:r>
    </w:p>
  </w:footnote>
  <w:footnote w:id="2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2"/>
          <w:szCs w:val="22"/>
        </w:rPr>
      </w:pPr>
      <w:r w:rsidRPr="00375C8D">
        <w:rPr>
          <w:vertAlign w:val="superscript"/>
        </w:rPr>
        <w:footnoteRef/>
      </w:r>
      <w:r w:rsidRPr="00375C8D">
        <w:tab/>
        <w:t>HL L 145., 2001.5.31., 43. o.</w:t>
      </w:r>
    </w:p>
  </w:footnote>
  <w:footnote w:id="3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vertAlign w:val="superscript"/>
        </w:rPr>
        <w:footnoteRef/>
      </w:r>
      <w:r w:rsidRPr="00375C8D">
        <w:tab/>
        <w:t>HL C 72. E, 2002.3.21., 331. o.</w:t>
      </w:r>
    </w:p>
  </w:footnote>
  <w:footnote w:id="4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tab/>
        <w:t>HL L 267., 2000.10.20., 63. o.</w:t>
      </w:r>
    </w:p>
  </w:footnote>
  <w:footnote w:id="5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tab/>
        <w:t>HL C 189., 2001.7.5., 1. o.</w:t>
      </w:r>
    </w:p>
  </w:footnote>
  <w:footnote w:id="6">
    <w:p w:rsidR="004027C0" w:rsidRPr="00375C8D" w:rsidRDefault="00772FF8">
      <w:pPr>
        <w:pStyle w:val="FootnoteText"/>
      </w:pPr>
      <w:r w:rsidRPr="00375C8D">
        <w:rPr>
          <w:rStyle w:val="FootnoteReference"/>
        </w:rPr>
        <w:footnoteRef/>
      </w:r>
      <w:r w:rsidRPr="00375C8D">
        <w:tab/>
      </w:r>
      <w:hyperlink r:id="rId1" w:history="1">
        <w:r w:rsidRPr="00375C8D">
          <w:rPr>
            <w:rStyle w:val="Hyperlink"/>
          </w:rPr>
          <w:t>https://www.europeanlawinstitute.eu/fileadmin/user_upload/p_eli/Publications/ELI_Mode</w:t>
        </w:r>
        <w:r w:rsidRPr="00375C8D">
          <w:rPr>
            <w:rStyle w:val="Hyperlink"/>
          </w:rPr>
          <w:t>l_Rules_on_Impact_Assessment_of_ADMSs_Used_by_Public_Administration.pdf</w:t>
        </w:r>
      </w:hyperlink>
      <w:r w:rsidRPr="00375C8D">
        <w:rPr>
          <w:rStyle w:val="Hyperlink"/>
        </w:rPr>
        <w:t>.</w:t>
      </w:r>
    </w:p>
  </w:footnote>
  <w:footnote w:id="7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vertAlign w:val="superscript"/>
        </w:rPr>
        <w:footnoteRef/>
      </w:r>
      <w:r w:rsidRPr="00375C8D">
        <w:rPr>
          <w:color w:val="000000"/>
          <w:sz w:val="22"/>
        </w:rPr>
        <w:tab/>
        <w:t xml:space="preserve"> </w:t>
      </w:r>
      <w:hyperlink r:id="rId2" w:history="1">
        <w:r w:rsidRPr="00375C8D">
          <w:rPr>
            <w:rStyle w:val="Hyperlink"/>
            <w:sz w:val="20"/>
          </w:rPr>
          <w:t>http://www.europarl.europa.eu/committees/en/juri/studiesdownload.html?languageDocument=EN&amp;file=59983</w:t>
        </w:r>
      </w:hyperlink>
      <w:r w:rsidRPr="00375C8D">
        <w:rPr>
          <w:color w:val="000000"/>
          <w:sz w:val="20"/>
        </w:rPr>
        <w:t>.</w:t>
      </w:r>
    </w:p>
  </w:footnote>
  <w:footnote w:id="8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rPr>
          <w:color w:val="000000"/>
          <w:sz w:val="20"/>
        </w:rPr>
        <w:tab/>
        <w:t xml:space="preserve"> </w:t>
      </w:r>
      <w:hyperlink r:id="rId3" w:history="1">
        <w:r w:rsidRPr="00375C8D">
          <w:rPr>
            <w:rStyle w:val="Hyperlink"/>
            <w:sz w:val="20"/>
          </w:rPr>
          <w:t>http://www</w:t>
        </w:r>
        <w:r w:rsidRPr="00375C8D">
          <w:rPr>
            <w:rStyle w:val="Hyperlink"/>
            <w:sz w:val="20"/>
          </w:rPr>
          <w:t>.europarl.europa.eu/meetdocs/2009_2014/documents/juri/dv/juri_wdadministrativelaw_/juri_wdadministrativelaw_en.pdf</w:t>
        </w:r>
      </w:hyperlink>
      <w:r w:rsidRPr="00375C8D">
        <w:rPr>
          <w:color w:val="000000"/>
          <w:sz w:val="20"/>
        </w:rPr>
        <w:t>.</w:t>
      </w:r>
    </w:p>
  </w:footnote>
  <w:footnote w:id="9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rPr>
          <w:color w:val="000000"/>
          <w:sz w:val="20"/>
        </w:rPr>
        <w:tab/>
        <w:t xml:space="preserve"> </w:t>
      </w:r>
      <w:hyperlink r:id="rId4" w:history="1">
        <w:r w:rsidRPr="00375C8D">
          <w:rPr>
            <w:rStyle w:val="Hyperlink"/>
            <w:sz w:val="20"/>
          </w:rPr>
          <w:t>http://www.europarl.europa.eu/meetdocs/2009_2014/documents/juri/dv/eav_lawofadminprocedure_/EAV_LawofAdminprocedure_EN.pdf</w:t>
        </w:r>
      </w:hyperlink>
      <w:r w:rsidRPr="00375C8D">
        <w:rPr>
          <w:color w:val="000000"/>
          <w:sz w:val="20"/>
        </w:rPr>
        <w:t>.</w:t>
      </w:r>
    </w:p>
  </w:footnote>
  <w:footnote w:id="10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rPr>
          <w:color w:val="000000"/>
          <w:sz w:val="20"/>
        </w:rPr>
        <w:tab/>
        <w:t xml:space="preserve"> </w:t>
      </w:r>
      <w:hyperlink r:id="rId5" w:history="1">
        <w:r w:rsidRPr="00375C8D">
          <w:rPr>
            <w:rStyle w:val="Hyperlink"/>
            <w:sz w:val="20"/>
          </w:rPr>
          <w:t>https://www.europarl</w:t>
        </w:r>
        <w:r w:rsidRPr="00375C8D">
          <w:rPr>
            <w:rStyle w:val="Hyperlink"/>
            <w:sz w:val="20"/>
          </w:rPr>
          <w:t>.europa.eu/RegData/etudes/STUD/2018/621841/EPRS_STU(2018)621841_EN.pdf</w:t>
        </w:r>
      </w:hyperlink>
      <w:r w:rsidRPr="00375C8D">
        <w:rPr>
          <w:color w:val="000000"/>
          <w:sz w:val="20"/>
        </w:rPr>
        <w:t xml:space="preserve"> </w:t>
      </w:r>
    </w:p>
  </w:footnote>
  <w:footnote w:id="11">
    <w:p w:rsidR="00F25FD5" w:rsidRPr="00375C8D" w:rsidRDefault="00772FF8">
      <w:pPr>
        <w:pStyle w:val="FootnoteText"/>
      </w:pPr>
      <w:r w:rsidRPr="00375C8D">
        <w:rPr>
          <w:rStyle w:val="FootnoteReference"/>
        </w:rPr>
        <w:footnoteRef/>
      </w:r>
      <w:r w:rsidRPr="00375C8D">
        <w:tab/>
      </w:r>
      <w:hyperlink r:id="rId6" w:history="1">
        <w:r w:rsidRPr="00375C8D">
          <w:rPr>
            <w:rStyle w:val="Hyperlink"/>
          </w:rPr>
          <w:t>https://www.europarl.europa.eu/RegData/etudes/STUD/2018/621841/EPRS_STU(201</w:t>
        </w:r>
        <w:r w:rsidRPr="00375C8D">
          <w:rPr>
            <w:rStyle w:val="Hyperlink"/>
          </w:rPr>
          <w:t>8)621841_EN.pdf</w:t>
        </w:r>
      </w:hyperlink>
      <w:r w:rsidRPr="00375C8D">
        <w:t xml:space="preserve"> </w:t>
      </w:r>
    </w:p>
  </w:footnote>
  <w:footnote w:id="12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rPr>
          <w:color w:val="000000"/>
          <w:sz w:val="20"/>
        </w:rPr>
        <w:tab/>
      </w:r>
      <w:hyperlink r:id="rId7">
        <w:r w:rsidRPr="00375C8D">
          <w:rPr>
            <w:color w:val="0000FF"/>
            <w:sz w:val="20"/>
            <w:u w:val="single"/>
          </w:rPr>
          <w:t>https://www.europarl.europa.eu/thinktank/en/document/EPRS_STU(2022)730350</w:t>
        </w:r>
      </w:hyperlink>
      <w:r w:rsidRPr="00375C8D">
        <w:rPr>
          <w:color w:val="000000"/>
          <w:sz w:val="20"/>
        </w:rPr>
        <w:t xml:space="preserve"> </w:t>
      </w:r>
    </w:p>
  </w:footnote>
  <w:footnote w:id="13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357" w:hanging="357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tab/>
        <w:t>HL C 440., 2015.12.30., 17. o.</w:t>
      </w:r>
    </w:p>
  </w:footnote>
  <w:footnote w:id="14">
    <w:p w:rsidR="00873F47" w:rsidRPr="00375C8D" w:rsidRDefault="00772FF8" w:rsidP="00873F47">
      <w:pPr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425" w:hanging="425"/>
        <w:rPr>
          <w:color w:val="000000"/>
          <w:sz w:val="20"/>
        </w:rPr>
      </w:pPr>
      <w:r w:rsidRPr="00375C8D">
        <w:rPr>
          <w:sz w:val="20"/>
          <w:vertAlign w:val="superscript"/>
        </w:rPr>
        <w:footnoteRef/>
      </w:r>
      <w:r w:rsidRPr="00375C8D">
        <w:rPr>
          <w:color w:val="000000"/>
          <w:sz w:val="20"/>
        </w:rPr>
        <w:tab/>
        <w:t xml:space="preserve"> </w:t>
      </w:r>
      <w:hyperlink r:id="rId8">
        <w:r w:rsidRPr="00375C8D">
          <w:rPr>
            <w:color w:val="0000FF"/>
            <w:sz w:val="20"/>
            <w:u w:val="single"/>
          </w:rPr>
          <w:t>https://www.europarl.europa.eu/cmsdata/150700/consultation-eu-law-summary-report.pdf</w:t>
        </w:r>
      </w:hyperlink>
    </w:p>
  </w:footnote>
  <w:footnote w:id="15">
    <w:p w:rsidR="00873F47" w:rsidRPr="00375C8D" w:rsidRDefault="00772FF8" w:rsidP="00873F47">
      <w:pPr>
        <w:pStyle w:val="FootnoteText"/>
      </w:pPr>
      <w:r w:rsidRPr="00375C8D">
        <w:rPr>
          <w:rStyle w:val="FootnoteReference"/>
        </w:rPr>
        <w:footnoteRef/>
      </w:r>
      <w:r w:rsidRPr="00375C8D">
        <w:t xml:space="preserve"> </w:t>
      </w:r>
      <w:hyperlink r:id="rId9" w:history="1">
        <w:r w:rsidRPr="00375C8D">
          <w:rPr>
            <w:rStyle w:val="Hyperlink"/>
          </w:rPr>
          <w:t>https://www.europeanlawinstitute.eu/fileadmin/user_upload/p_eli/Publications/ELI_Model_Rules_on_Impact_Assessment_of_ADMSs_Used_by_Public_Administrati</w:t>
        </w:r>
        <w:r w:rsidRPr="00375C8D">
          <w:rPr>
            <w:rStyle w:val="Hyperlink"/>
          </w:rPr>
          <w:t>on.pdf</w:t>
        </w:r>
      </w:hyperlink>
      <w:r w:rsidRPr="00375C8D">
        <w:t xml:space="preserve"> </w:t>
      </w:r>
    </w:p>
  </w:footnote>
  <w:footnote w:id="16">
    <w:p w:rsidR="00873F47" w:rsidRPr="00375C8D" w:rsidRDefault="00772FF8" w:rsidP="00873F47">
      <w:pPr>
        <w:pStyle w:val="FootnoteText"/>
      </w:pPr>
      <w:r w:rsidRPr="00375C8D">
        <w:rPr>
          <w:rStyle w:val="FootnoteReference"/>
        </w:rPr>
        <w:footnoteRef/>
      </w:r>
      <w:r w:rsidRPr="00375C8D">
        <w:t xml:space="preserve"> </w:t>
      </w:r>
      <w:hyperlink r:id="rId10" w:anchor="opensourcesoftwarestrategy" w:history="1">
        <w:r w:rsidRPr="00375C8D">
          <w:rPr>
            <w:rStyle w:val="Hyperlink"/>
          </w:rPr>
          <w:t>https://commission.europa.eu/about-european-commission/departme</w:t>
        </w:r>
        <w:r w:rsidRPr="00375C8D">
          <w:rPr>
            <w:rStyle w:val="Hyperlink"/>
          </w:rPr>
          <w:t>nts-and-executive-agencies/informatics/open-source-software-strategy_en#opensourcesoftwarestrategy</w:t>
        </w:r>
      </w:hyperlink>
      <w:r w:rsidRPr="00375C8D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FF8" w:rsidRDefault="00772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FF8" w:rsidRDefault="00772F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FF8" w:rsidRDefault="00772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043A4D"/>
    <w:multiLevelType w:val="multilevel"/>
    <w:tmpl w:val="D3A62DA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BC15D9"/>
    <w:multiLevelType w:val="multilevel"/>
    <w:tmpl w:val="90360D5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EF1417A"/>
    <w:multiLevelType w:val="multilevel"/>
    <w:tmpl w:val="63E016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MNU" w:val=" 3"/>
    <w:docVar w:name="COMKEY" w:val="JURI"/>
    <w:docVar w:name="CopyToNetwork" w:val="-1"/>
    <w:docVar w:name="LastEditedSection" w:val=" 1"/>
    <w:docVar w:name="strDocTypeID" w:val="PR_INL"/>
    <w:docVar w:name="strSubDir" w:val="1276"/>
    <w:docVar w:name="TXTLANGUE" w:val="EN"/>
    <w:docVar w:name="TXTLANGUEMIN" w:val="en"/>
    <w:docVar w:name="TXTNRINL" w:val="2021/2161"/>
    <w:docVar w:name="TXTNRPE" w:val="746.653"/>
    <w:docVar w:name="TXTPEorAP" w:val="PE"/>
    <w:docVar w:name="TXTROUTE" w:val="PR\1276129EN.docx"/>
    <w:docVar w:name="TXTTITLE" w:val=" Digitalisation and Administrative Law"/>
    <w:docVar w:name="TXTVERSION" w:val="01-00"/>
  </w:docVars>
  <w:rsids>
    <w:rsidRoot w:val="005D4E25"/>
    <w:rsid w:val="000054D6"/>
    <w:rsid w:val="00007EDE"/>
    <w:rsid w:val="000163ED"/>
    <w:rsid w:val="00094CB3"/>
    <w:rsid w:val="000B0AEA"/>
    <w:rsid w:val="000D2714"/>
    <w:rsid w:val="000E7053"/>
    <w:rsid w:val="00126C3F"/>
    <w:rsid w:val="001514D5"/>
    <w:rsid w:val="00180885"/>
    <w:rsid w:val="00195D9E"/>
    <w:rsid w:val="001A502C"/>
    <w:rsid w:val="001A7362"/>
    <w:rsid w:val="001B089B"/>
    <w:rsid w:val="001E6D01"/>
    <w:rsid w:val="00223428"/>
    <w:rsid w:val="00246FFC"/>
    <w:rsid w:val="002B2D1A"/>
    <w:rsid w:val="002E11C3"/>
    <w:rsid w:val="003012E3"/>
    <w:rsid w:val="003065EF"/>
    <w:rsid w:val="0032795A"/>
    <w:rsid w:val="003348FE"/>
    <w:rsid w:val="00375C8D"/>
    <w:rsid w:val="00387D72"/>
    <w:rsid w:val="00392BD4"/>
    <w:rsid w:val="0039462E"/>
    <w:rsid w:val="003D5B69"/>
    <w:rsid w:val="003F3152"/>
    <w:rsid w:val="003F3E62"/>
    <w:rsid w:val="004027C0"/>
    <w:rsid w:val="00403FE0"/>
    <w:rsid w:val="00405688"/>
    <w:rsid w:val="00420F4D"/>
    <w:rsid w:val="00422FF9"/>
    <w:rsid w:val="00467F52"/>
    <w:rsid w:val="00486F5A"/>
    <w:rsid w:val="004877AE"/>
    <w:rsid w:val="004C2744"/>
    <w:rsid w:val="004E7BFD"/>
    <w:rsid w:val="005102A9"/>
    <w:rsid w:val="00511904"/>
    <w:rsid w:val="00581D3F"/>
    <w:rsid w:val="00584FD7"/>
    <w:rsid w:val="005A5B05"/>
    <w:rsid w:val="005B4360"/>
    <w:rsid w:val="005C24FC"/>
    <w:rsid w:val="005D4E25"/>
    <w:rsid w:val="005F3B68"/>
    <w:rsid w:val="006054FC"/>
    <w:rsid w:val="00613DCC"/>
    <w:rsid w:val="006432B2"/>
    <w:rsid w:val="00666059"/>
    <w:rsid w:val="00681C9C"/>
    <w:rsid w:val="006968DA"/>
    <w:rsid w:val="006D5569"/>
    <w:rsid w:val="006E1DCB"/>
    <w:rsid w:val="006E50B6"/>
    <w:rsid w:val="00721690"/>
    <w:rsid w:val="007255C3"/>
    <w:rsid w:val="00736DD2"/>
    <w:rsid w:val="007473CF"/>
    <w:rsid w:val="00764352"/>
    <w:rsid w:val="00772FF8"/>
    <w:rsid w:val="00773D6B"/>
    <w:rsid w:val="007E1C43"/>
    <w:rsid w:val="00814003"/>
    <w:rsid w:val="00864CA1"/>
    <w:rsid w:val="00873F47"/>
    <w:rsid w:val="008E72B0"/>
    <w:rsid w:val="008F2355"/>
    <w:rsid w:val="00921474"/>
    <w:rsid w:val="009271DD"/>
    <w:rsid w:val="009413AC"/>
    <w:rsid w:val="00957CA7"/>
    <w:rsid w:val="009C2AF9"/>
    <w:rsid w:val="009D1EB7"/>
    <w:rsid w:val="009E5AB9"/>
    <w:rsid w:val="009E5AF9"/>
    <w:rsid w:val="009E6E1A"/>
    <w:rsid w:val="009F6042"/>
    <w:rsid w:val="00A1070F"/>
    <w:rsid w:val="00A1681E"/>
    <w:rsid w:val="00A5291F"/>
    <w:rsid w:val="00AA7B89"/>
    <w:rsid w:val="00AB727F"/>
    <w:rsid w:val="00AF0D4F"/>
    <w:rsid w:val="00B22CCD"/>
    <w:rsid w:val="00B27D4A"/>
    <w:rsid w:val="00BB2884"/>
    <w:rsid w:val="00BD2C91"/>
    <w:rsid w:val="00BD7032"/>
    <w:rsid w:val="00BF1602"/>
    <w:rsid w:val="00BF2276"/>
    <w:rsid w:val="00C07DA0"/>
    <w:rsid w:val="00C30980"/>
    <w:rsid w:val="00C44FB7"/>
    <w:rsid w:val="00C802B6"/>
    <w:rsid w:val="00CA5063"/>
    <w:rsid w:val="00CB6B5C"/>
    <w:rsid w:val="00CB7130"/>
    <w:rsid w:val="00CF7E82"/>
    <w:rsid w:val="00D06A20"/>
    <w:rsid w:val="00D11934"/>
    <w:rsid w:val="00D1551E"/>
    <w:rsid w:val="00D15D7A"/>
    <w:rsid w:val="00D20C91"/>
    <w:rsid w:val="00D4717C"/>
    <w:rsid w:val="00D62793"/>
    <w:rsid w:val="00D65E7F"/>
    <w:rsid w:val="00DA5BEC"/>
    <w:rsid w:val="00DB5CF1"/>
    <w:rsid w:val="00DB6E1C"/>
    <w:rsid w:val="00DD249E"/>
    <w:rsid w:val="00E0452E"/>
    <w:rsid w:val="00E4043F"/>
    <w:rsid w:val="00E71939"/>
    <w:rsid w:val="00EA0BB4"/>
    <w:rsid w:val="00EB420E"/>
    <w:rsid w:val="00EE7B71"/>
    <w:rsid w:val="00F25FD5"/>
    <w:rsid w:val="00F314A1"/>
    <w:rsid w:val="00F663D3"/>
    <w:rsid w:val="00FD4CD8"/>
    <w:rsid w:val="00FD73D9"/>
    <w:rsid w:val="00FF26C9"/>
    <w:rsid w:val="00FF5759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BCABC-3A31-46D3-A192-04E53703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footer" w:semiHidden="1"/>
    <w:lsdException w:name="caption" w:semiHidden="1" w:unhideWhenUsed="1" w:qFormat="1"/>
    <w:lsdException w:name="annotation reference" w:uiPriority="99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4F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84FD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9E5AB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46FF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12a">
    <w:name w:val="CoverNormal12a"/>
    <w:basedOn w:val="Normal"/>
    <w:rsid w:val="006968DA"/>
    <w:pPr>
      <w:spacing w:after="240"/>
      <w:ind w:left="1418"/>
    </w:pPr>
  </w:style>
  <w:style w:type="paragraph" w:customStyle="1" w:styleId="CoverNormal24a">
    <w:name w:val="CoverNormal24a"/>
    <w:basedOn w:val="Normal"/>
    <w:rsid w:val="0039462E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13DCC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95D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D1EB7"/>
    <w:pPr>
      <w:tabs>
        <w:tab w:val="center" w:pos="4513"/>
        <w:tab w:val="right" w:pos="9026"/>
      </w:tabs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table" w:styleId="TableGrid">
    <w:name w:val="Table Grid"/>
    <w:basedOn w:val="TableNormal"/>
    <w:rsid w:val="00921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14D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2147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2147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46FF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46FFC"/>
    <w:pPr>
      <w:jc w:val="right"/>
    </w:pPr>
  </w:style>
  <w:style w:type="paragraph" w:customStyle="1" w:styleId="EPFooter">
    <w:name w:val="EPFooter"/>
    <w:basedOn w:val="Normal"/>
    <w:rsid w:val="00195D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D1EB7"/>
    <w:rPr>
      <w:sz w:val="24"/>
    </w:rPr>
  </w:style>
  <w:style w:type="character" w:customStyle="1" w:styleId="Heading9Char">
    <w:name w:val="Heading 9 Char"/>
    <w:basedOn w:val="DefaultParagraphFont"/>
    <w:link w:val="Heading9"/>
    <w:semiHidden/>
    <w:qFormat/>
    <w:rsid w:val="00873F47"/>
    <w:rPr>
      <w:rFonts w:ascii="Arial" w:hAnsi="Arial"/>
      <w:b/>
      <w:i/>
      <w:sz w:val="18"/>
    </w:rPr>
  </w:style>
  <w:style w:type="character" w:styleId="FootnoteReference">
    <w:name w:val="footnote reference"/>
    <w:rsid w:val="00873F47"/>
    <w:rPr>
      <w:b w:val="0"/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873F47"/>
    <w:rPr>
      <w:lang w:val="hu-HU" w:eastAsia="fr-FR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73F47"/>
    <w:rPr>
      <w:rFonts w:ascii="Calibri" w:hAnsi="Calibri"/>
    </w:rPr>
  </w:style>
  <w:style w:type="character" w:styleId="CommentReference">
    <w:name w:val="annotation reference"/>
    <w:uiPriority w:val="99"/>
    <w:unhideWhenUsed/>
    <w:qFormat/>
    <w:rsid w:val="00873F47"/>
    <w:rPr>
      <w:rFonts w:ascii="Times New Roman" w:hAnsi="Times New Roman" w:cs="Times New Roman"/>
      <w:sz w:val="16"/>
      <w:szCs w:val="16"/>
    </w:rPr>
  </w:style>
  <w:style w:type="character" w:styleId="Hyperlink">
    <w:name w:val="Hyperlink"/>
    <w:uiPriority w:val="99"/>
    <w:rsid w:val="00873F47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873F47"/>
    <w:pPr>
      <w:keepLines/>
      <w:widowControl/>
      <w:spacing w:line="260" w:lineRule="exact"/>
      <w:ind w:left="425" w:hanging="425"/>
    </w:pPr>
    <w:rPr>
      <w:sz w:val="20"/>
      <w:lang w:eastAsia="fr-FR"/>
    </w:rPr>
  </w:style>
  <w:style w:type="character" w:customStyle="1" w:styleId="FootnoteTextChar1">
    <w:name w:val="Footnote Text Char1"/>
    <w:basedOn w:val="DefaultParagraphFont"/>
    <w:rsid w:val="00873F47"/>
  </w:style>
  <w:style w:type="paragraph" w:styleId="CommentText">
    <w:name w:val="annotation text"/>
    <w:basedOn w:val="Normal"/>
    <w:link w:val="CommentTextChar"/>
    <w:uiPriority w:val="99"/>
    <w:unhideWhenUsed/>
    <w:qFormat/>
    <w:rsid w:val="00873F47"/>
    <w:pPr>
      <w:widowControl/>
      <w:spacing w:after="200" w:line="276" w:lineRule="auto"/>
    </w:pPr>
    <w:rPr>
      <w:rFonts w:ascii="Calibri" w:hAnsi="Calibri"/>
      <w:sz w:val="20"/>
    </w:rPr>
  </w:style>
  <w:style w:type="character" w:customStyle="1" w:styleId="CommentTextChar1">
    <w:name w:val="Comment Text Char1"/>
    <w:basedOn w:val="DefaultParagraphFont"/>
    <w:rsid w:val="00873F47"/>
  </w:style>
  <w:style w:type="paragraph" w:styleId="BalloonText">
    <w:name w:val="Balloon Text"/>
    <w:basedOn w:val="Normal"/>
    <w:link w:val="BalloonTextChar"/>
    <w:semiHidden/>
    <w:unhideWhenUsed/>
    <w:rsid w:val="00873F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3F47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rsid w:val="00F25F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25FD5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20F4D"/>
    <w:pPr>
      <w:widowControl w:val="0"/>
      <w:spacing w:after="0" w:line="240" w:lineRule="auto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20F4D"/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parl.europa.eu/cmsdata/150700/consultation-eu-law-summary-report.pdf" TargetMode="External"/><Relationship Id="rId3" Type="http://schemas.openxmlformats.org/officeDocument/2006/relationships/hyperlink" Target="http://www.europarl.europa.eu/meetdocs/2009_2014/documents/juri/dv/juri_wdadministrativelaw_/juri_wdadministrativelaw_en.pdf" TargetMode="External"/><Relationship Id="rId7" Type="http://schemas.openxmlformats.org/officeDocument/2006/relationships/hyperlink" Target="https://www.europarl.europa.eu/thinktank/en/document/EPRS_STU(2022)730350" TargetMode="External"/><Relationship Id="rId2" Type="http://schemas.openxmlformats.org/officeDocument/2006/relationships/hyperlink" Target="http://www.europarl.europa.eu/committees/en/juri/studiesdownload.html?languageDocument=EN&amp;file=59983" TargetMode="External"/><Relationship Id="rId1" Type="http://schemas.openxmlformats.org/officeDocument/2006/relationships/hyperlink" Target="https://www.europeanlawinstitute.eu/fileadmin/user_upload/p_eli/Publications/ELI_Model_Rules_on_Impact_Assessment_of_ADMSs_Used_by_Public_Administration.pdf" TargetMode="External"/><Relationship Id="rId6" Type="http://schemas.openxmlformats.org/officeDocument/2006/relationships/hyperlink" Target="https://www.europarl.europa.eu/RegData/etudes/STUD/2018/621841/EPRS_STU(2018)621841_EN.pdf" TargetMode="External"/><Relationship Id="rId5" Type="http://schemas.openxmlformats.org/officeDocument/2006/relationships/hyperlink" Target="https://www.europarl.europa.eu/RegData/etudes/STUD/2018/621841/EPRS_STU(2018)621841_EN.pdf" TargetMode="External"/><Relationship Id="rId10" Type="http://schemas.openxmlformats.org/officeDocument/2006/relationships/hyperlink" Target="https://commission.europa.eu/about-european-commission/departments-and-executive-agencies/informatics/open-source-software-strategy_en" TargetMode="External"/><Relationship Id="rId4" Type="http://schemas.openxmlformats.org/officeDocument/2006/relationships/hyperlink" Target="http://www.europarl.europa.eu/meetdocs/2009_2014/documents/juri/dv/eav_lawofadminprocedure_/EAV_LawofAdminprocedure_EN.pdf" TargetMode="External"/><Relationship Id="rId9" Type="http://schemas.openxmlformats.org/officeDocument/2006/relationships/hyperlink" Target="https://www.europeanlawinstitute.eu/fileadmin/user_upload/p_eli/Publications/ELI_Model_Rules_on_Impact_Assessment_of_ADMSs_Used_by_Public_Administr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A799A-4612-4351-AC08-013D1855D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3875</Words>
  <Characters>27785</Characters>
  <Application>Microsoft Office Word</Application>
  <DocSecurity>0</DocSecurity>
  <Lines>455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PR_INL</vt:lpstr>
    </vt:vector>
  </TitlesOfParts>
  <Company/>
  <LinksUpToDate>false</LinksUpToDate>
  <CharactersWithSpaces>31521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PR_INL</dc:title>
  <dc:creator>RODRIGUEZ MALNERO Yolanda</dc:creator>
  <dc:description>FLT</dc:description>
  <cp:lastModifiedBy>KERTESZ Maria Eva</cp:lastModifiedBy>
  <cp:revision>2</cp:revision>
  <cp:lastPrinted>2004-12-08T15:27:00Z</cp:lastPrinted>
  <dcterms:created xsi:type="dcterms:W3CDTF">2023-06-22T09:48:00Z</dcterms:created>
  <dcterms:modified xsi:type="dcterms:W3CDTF">2023-06-22T09:48:00Z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1276129</vt:lpwstr>
  </property>
  <property fmtid="{D5CDD505-2E9C-101B-9397-08002B2CF9AE}" pid="4" name="&lt;Model&gt;">
    <vt:lpwstr>PR_INL</vt:lpwstr>
  </property>
  <property fmtid="{D5CDD505-2E9C-101B-9397-08002B2CF9AE}" pid="5" name="&lt;ModelCod&gt;">
    <vt:lpwstr>\\eiciBRUpr1\pdocep$\DocEP\DOCS\General\PR\PR_NonLeg\Other\PR_INL.dotx(16/12/2022 07:40:19)</vt:lpwstr>
  </property>
  <property fmtid="{D5CDD505-2E9C-101B-9397-08002B2CF9AE}" pid="6" name="&lt;ModelTra&gt;">
    <vt:lpwstr>\\eiciBRUpr1\pdocep$\DocEP\TRANSFIL\EN\PR_INL.EN(16/10/2019 10:24:00)</vt:lpwstr>
  </property>
  <property fmtid="{D5CDD505-2E9C-101B-9397-08002B2CF9AE}" pid="7" name="&lt;Type&gt;">
    <vt:lpwstr>PR</vt:lpwstr>
  </property>
  <property fmtid="{D5CDD505-2E9C-101B-9397-08002B2CF9AE}" pid="8" name="Created with">
    <vt:lpwstr>9.15.0 Build [20230501]</vt:lpwstr>
  </property>
  <property fmtid="{D5CDD505-2E9C-101B-9397-08002B2CF9AE}" pid="9" name="FooterPath">
    <vt:lpwstr>PR\1276129HU.docx</vt:lpwstr>
  </property>
  <property fmtid="{D5CDD505-2E9C-101B-9397-08002B2CF9AE}" pid="10" name="LastEdited with">
    <vt:lpwstr>9.15.0 Build [20230501]</vt:lpwstr>
  </property>
  <property fmtid="{D5CDD505-2E9C-101B-9397-08002B2CF9AE}" pid="11" name="PE number">
    <vt:lpwstr>746.653</vt:lpwstr>
  </property>
  <property fmtid="{D5CDD505-2E9C-101B-9397-08002B2CF9AE}" pid="12" name="SDLStudio">
    <vt:lpwstr/>
  </property>
  <property fmtid="{D5CDD505-2E9C-101B-9397-08002B2CF9AE}" pid="13" name="SendToEpades">
    <vt:lpwstr>OK - 2023/06/12 10:25</vt:lpwstr>
  </property>
  <property fmtid="{D5CDD505-2E9C-101B-9397-08002B2CF9AE}" pid="14" name="Bookout">
    <vt:lpwstr>OK - 2023/06/22 11:48</vt:lpwstr>
  </property>
</Properties>
</file>